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Lead Generation API Platform — Installation and Sales Roadmap</w:t>
      </w:r>
    </w:p>
    <w:p>
      <w:r>
        <w:rPr>
          <w:b/>
        </w:rPr>
        <w:t>Owner:</w:t>
      </w:r>
      <w:r>
        <w:t xml:space="preserve"> Sadeq Obaid </w:t>
      </w:r>
      <w:r>
        <w:rPr>
          <w:b/>
        </w:rPr>
        <w:t>Release:</w:t>
      </w:r>
      <w:r>
        <w:t xml:space="preserve"> 0.1.0 </w:t>
      </w:r>
      <w:r>
        <w:rPr>
          <w:b/>
        </w:rPr>
        <w:t>Current classification:</w:t>
      </w:r>
      <w:r>
        <w:t xml:space="preserve"> Self-hosted commercial API source package with a synthetic demonstration provider</w:t>
      </w:r>
    </w:p>
    <w:p>
      <w:pPr>
        <w:pStyle w:val="Heading2"/>
      </w:pPr>
      <w:r>
        <w:t>Current status</w:t>
      </w:r>
    </w:p>
    <w:p>
      <w:r>
        <w:t>The uploaded release archive was extracted and validated in an isolated Python environment. Python compilation passed, the automated test suite passed, the local API started successfully with SQLite, and the end-to-end smoke test passed for health checks, tenant registration, API-key creation, synthetic lead search, and usage reporting. Docker and Docker Compose were not available in the validation environment, so the container stack still needs to be tested on a laptop or another machine with Docker installed.</w:t>
      </w:r>
    </w:p>
    <w:p>
      <w:r>
        <w:t xml:space="preserve">A small packaging correction was applied before rebuilding the archive: </w:t>
      </w:r>
      <w:r>
        <w:rPr>
          <w:rFonts w:ascii="Courier New" w:hAnsi="Courier New"/>
          <w:sz w:val="18"/>
        </w:rPr>
        <w:t>APP_NAME</w:t>
      </w:r>
      <w:r>
        <w:t xml:space="preserve"> in </w:t>
      </w:r>
      <w:r>
        <w:rPr>
          <w:rFonts w:ascii="Courier New" w:hAnsi="Courier New"/>
          <w:sz w:val="18"/>
        </w:rPr>
        <w:t>.env.example</w:t>
      </w:r>
      <w:r>
        <w:t xml:space="preserve"> is now quoted, so the documented </w:t>
      </w:r>
      <w:r>
        <w:rPr>
          <w:rFonts w:ascii="Courier New" w:hAnsi="Courier New"/>
          <w:sz w:val="18"/>
        </w:rPr>
        <w:t>source .env</w:t>
      </w:r>
      <w:r>
        <w:t xml:space="preserve"> command works in Linux and macOS shells. The rebuilt archive remains version 0.1.0 and is located in </w:t>
      </w:r>
      <w:r>
        <w:rPr>
          <w:rFonts w:ascii="Courier New" w:hAnsi="Courier New"/>
          <w:sz w:val="18"/>
        </w:rPr>
        <w:t>dist/</w:t>
      </w:r>
      <w:r>
        <w:t>.</w:t>
      </w:r>
    </w:p>
    <w:p>
      <w:pPr>
        <w:ind w:left="504" w:right="288"/>
      </w:pPr>
      <w:r>
        <w:rPr>
          <w:b/>
          <w:i/>
        </w:rPr>
        <w:t>Important boundary:</w:t>
      </w:r>
      <w:r>
        <w:rPr>
          <w:i/>
        </w:rPr>
        <w:t xml:space="preserve"> The package contains synthetic records only. It does not include real leads, personal contact data, provider credentials, or permission to scrape, resell, or contact people. Do not market it as a lead database, a universal compliance solution, or a guaranteed source of accurate or deliverable leads.</w:t>
      </w:r>
    </w:p>
    <w:p>
      <w:pPr>
        <w:pStyle w:val="Heading2"/>
      </w:pPr>
      <w:r>
        <w:t>Install it on your laptop</w:t>
      </w:r>
    </w:p>
    <w:p>
      <w:pPr>
        <w:pStyle w:val="Heading3"/>
      </w:pPr>
      <w:r>
        <w:t>Prerequisites</w:t>
      </w:r>
    </w:p>
    <w:p>
      <w:r>
        <w:t xml:space="preserve">For the fastest local demonstration, install Python 3.11 or newer. Docker Desktop is optional for the first run; the direct SQLite installation does not require PostgreSQL or Redis. </w:t>
      </w:r>
      <w:r>
        <w:rPr>
          <w:rFonts w:ascii="Courier New" w:hAnsi="Courier New"/>
          <w:sz w:val="18"/>
        </w:rPr>
        <w:t>curl</w:t>
      </w:r>
      <w:r>
        <w:t xml:space="preserve"> is useful for command-line testing.</w:t>
      </w:r>
    </w:p>
    <w:p>
      <w:pPr>
        <w:pStyle w:val="Heading3"/>
      </w:pPr>
      <w:r>
        <w:t>Linux or macOS</w:t>
      </w:r>
    </w:p>
    <w:p>
      <w:r>
        <w:t>Extract the archive and enter the inner project directory:</w:t>
      </w:r>
    </w:p>
    <w:p>
      <w:pPr>
        <w:pStyle w:val="NoSpacing"/>
        <w:ind w:left="432" w:right="432"/>
      </w:pPr>
      <w:r>
        <w:rPr>
          <w:rFonts w:ascii="Courier New" w:hAnsi="Courier New"/>
          <w:sz w:val="17"/>
        </w:rPr>
        <w:t>unzip lead-generation-api-0.1.0.zip</w:t>
        <w:br/>
        <w:t>cd lead-generation-api-0.1.0</w:t>
      </w:r>
    </w:p>
    <w:p>
      <w:r>
        <w:t>Create and activate an isolated environment, then install dependencies:</w:t>
      </w:r>
    </w:p>
    <w:p>
      <w:pPr>
        <w:pStyle w:val="NoSpacing"/>
        <w:ind w:left="432" w:right="432"/>
      </w:pPr>
      <w:r>
        <w:rPr>
          <w:rFonts w:ascii="Courier New" w:hAnsi="Courier New"/>
          <w:sz w:val="17"/>
        </w:rPr>
        <w:t>python3 -m venv .venv</w:t>
        <w:br/>
        <w:t>source .venv/bin/activate</w:t>
        <w:br/>
        <w:t>python -m pip install --upgrade pip</w:t>
        <w:br/>
        <w:t>python -m pip install -r requirements.txt</w:t>
      </w:r>
    </w:p>
    <w:p>
      <w:r>
        <w:t>Create the local environment file and replace both placeholder secrets:</w:t>
      </w:r>
    </w:p>
    <w:p>
      <w:pPr>
        <w:pStyle w:val="NoSpacing"/>
        <w:ind w:left="432" w:right="432"/>
      </w:pPr>
      <w:r>
        <w:rPr>
          <w:rFonts w:ascii="Courier New" w:hAnsi="Courier New"/>
          <w:sz w:val="17"/>
        </w:rPr>
        <w:t>cp .env.example .env</w:t>
        <w:br/>
        <w:t>python -c "import secrets; print(secrets.token_urlsafe(48))"</w:t>
        <w:br/>
        <w:t>python -c "import secrets; print(secrets.token_urlsafe(48))"</w:t>
      </w:r>
    </w:p>
    <w:p>
      <w:r>
        <w:t xml:space="preserve">Put the first generated value into </w:t>
      </w:r>
      <w:r>
        <w:rPr>
          <w:rFonts w:ascii="Courier New" w:hAnsi="Courier New"/>
          <w:sz w:val="18"/>
        </w:rPr>
        <w:t>JWT_SECRET</w:t>
      </w:r>
      <w:r>
        <w:t xml:space="preserve"> and the second into </w:t>
      </w:r>
      <w:r>
        <w:rPr>
          <w:rFonts w:ascii="Courier New" w:hAnsi="Courier New"/>
          <w:sz w:val="18"/>
        </w:rPr>
        <w:t>API_KEY_PEPPER</w:t>
      </w:r>
      <w:r>
        <w:t xml:space="preserve"> in </w:t>
      </w:r>
      <w:r>
        <w:rPr>
          <w:rFonts w:ascii="Courier New" w:hAnsi="Courier New"/>
          <w:sz w:val="18"/>
        </w:rPr>
        <w:t>.env</w:t>
      </w:r>
      <w:r>
        <w:t>. Keep this file private. Then load it and start the API:</w:t>
      </w:r>
    </w:p>
    <w:p>
      <w:pPr>
        <w:pStyle w:val="NoSpacing"/>
        <w:ind w:left="432" w:right="432"/>
      </w:pPr>
      <w:r>
        <w:rPr>
          <w:rFonts w:ascii="Courier New" w:hAnsi="Courier New"/>
          <w:sz w:val="17"/>
        </w:rPr>
        <w:t>set -a</w:t>
        <w:br/>
        <w:t>source .env</w:t>
        <w:br/>
        <w:t>set +a</w:t>
        <w:br/>
        <w:t>uvicorn app.main:app --reload --host 127.0.0.1 --port 8000</w:t>
      </w:r>
    </w:p>
    <w:p>
      <w:r>
        <w:t xml:space="preserve">Open </w:t>
      </w:r>
      <w:r>
        <w:rPr>
          <w:rFonts w:ascii="Courier New" w:hAnsi="Courier New"/>
          <w:sz w:val="18"/>
        </w:rPr>
        <w:t>http://127.0.0.1:8000/docs</w:t>
      </w:r>
      <w:r>
        <w:t xml:space="preserve"> in a browser. In a second terminal, activate the same virtual environment and run:</w:t>
      </w:r>
    </w:p>
    <w:p>
      <w:pPr>
        <w:pStyle w:val="NoSpacing"/>
        <w:ind w:left="432" w:right="432"/>
      </w:pPr>
      <w:r>
        <w:rPr>
          <w:rFonts w:ascii="Courier New" w:hAnsi="Courier New"/>
          <w:sz w:val="17"/>
        </w:rPr>
        <w:t>BASE_URL=http://127.0.0.1:8000 python scripts/smoke_test.py</w:t>
      </w:r>
    </w:p>
    <w:p>
      <w:r>
        <w:t xml:space="preserve">The expected result is </w:t>
      </w:r>
      <w:r>
        <w:rPr>
          <w:rFonts w:ascii="Courier New" w:hAnsi="Courier New"/>
          <w:sz w:val="18"/>
        </w:rPr>
        <w:t>smoke test passed</w:t>
      </w:r>
      <w:r>
        <w:t>.</w:t>
      </w:r>
    </w:p>
    <w:p>
      <w:pPr>
        <w:pStyle w:val="Heading3"/>
      </w:pPr>
      <w:r>
        <w:t>Windows PowerShell</w:t>
      </w:r>
    </w:p>
    <w:p>
      <w:r>
        <w:t>Extract the archive, open PowerShell in the inner project directory, and create the environment:</w:t>
      </w:r>
    </w:p>
    <w:p>
      <w:pPr>
        <w:pStyle w:val="NoSpacing"/>
        <w:ind w:left="432" w:right="432"/>
      </w:pPr>
      <w:r>
        <w:rPr>
          <w:rFonts w:ascii="Courier New" w:hAnsi="Courier New"/>
          <w:sz w:val="17"/>
        </w:rPr>
        <w:t>py -3 -m venv .venv</w:t>
        <w:br/>
        <w:t>.\venv\Scripts\Activate.ps1</w:t>
        <w:br/>
        <w:t>python -m pip install --upgrade pip</w:t>
        <w:br/>
        <w:t>python -m pip install -r requirements.txt</w:t>
        <w:br/>
        <w:t>Copy-Item .env.example .env</w:t>
      </w:r>
    </w:p>
    <w:p>
      <w:r>
        <w:t>Generate two secrets:</w:t>
      </w:r>
    </w:p>
    <w:p>
      <w:pPr>
        <w:pStyle w:val="NoSpacing"/>
        <w:ind w:left="432" w:right="432"/>
      </w:pPr>
      <w:r>
        <w:rPr>
          <w:rFonts w:ascii="Courier New" w:hAnsi="Courier New"/>
          <w:sz w:val="17"/>
        </w:rPr>
        <w:t>python -c "import secrets; print(secrets.token_urlsafe(48))"</w:t>
        <w:br/>
        <w:t>python -c "import secrets; print(secrets.token_urlsafe(48))"</w:t>
      </w:r>
    </w:p>
    <w:p>
      <w:r>
        <w:t xml:space="preserve">Edit </w:t>
      </w:r>
      <w:r>
        <w:rPr>
          <w:rFonts w:ascii="Courier New" w:hAnsi="Courier New"/>
          <w:sz w:val="18"/>
        </w:rPr>
        <w:t>.env</w:t>
      </w:r>
      <w:r>
        <w:t xml:space="preserve"> and replace the two placeholder values. Before starting the API, set the same values in the current PowerShell session because the application reads environment variables directly:</w:t>
      </w:r>
    </w:p>
    <w:p>
      <w:pPr>
        <w:pStyle w:val="NoSpacing"/>
        <w:ind w:left="432" w:right="432"/>
      </w:pPr>
      <w:r>
        <w:rPr>
          <w:rFonts w:ascii="Courier New" w:hAnsi="Courier New"/>
          <w:sz w:val="17"/>
        </w:rPr>
        <w:t>$env:APP_NAME = "Lead Generation API"</w:t>
        <w:br/>
        <w:t>$env:APP_ENV = "development"</w:t>
        <w:br/>
        <w:t>$env:DATABASE_URL = "sqlite:///./lead_generation.db"</w:t>
        <w:br/>
        <w:t>$env:JWT_SECRET = "paste-the-first-generated-secret"</w:t>
        <w:br/>
        <w:t>$env:JWT_ALGORITHM = "HS256"</w:t>
        <w:br/>
        <w:t>$env:ACCESS_TOKEN_MINUTES = "30"</w:t>
        <w:br/>
        <w:t>$env:API_KEY_PEPPER = "paste-the-second-generated-secret"</w:t>
        <w:br/>
        <w:t>$env:DEFAULT_CREDITS = "100"</w:t>
        <w:br/>
        <w:t>$env:RATE_LIMIT_PER_MINUTE = "60"</w:t>
        <w:br/>
        <w:t>$env:RATE_LIMIT_BACKEND = "memory"</w:t>
        <w:br/>
        <w:t>$env:CORS_ORIGINS = "http://localhost:3000"</w:t>
        <w:br/>
        <w:t>$env:REDIS_URL = "redis://localhost:6379/0"</w:t>
        <w:br/>
        <w:t>uvicorn app.main:app --reload --host 127.0.0.1 --port 8000</w:t>
      </w:r>
    </w:p>
    <w:p>
      <w:r>
        <w:t xml:space="preserve">Open </w:t>
      </w:r>
      <w:r>
        <w:rPr>
          <w:rFonts w:ascii="Courier New" w:hAnsi="Courier New"/>
          <w:sz w:val="18"/>
        </w:rPr>
        <w:t>http://127.0.0.1:8000/docs</w:t>
      </w:r>
      <w:r>
        <w:t>. In a second PowerShell window, activate the environment and run:</w:t>
      </w:r>
    </w:p>
    <w:p>
      <w:pPr>
        <w:pStyle w:val="NoSpacing"/>
        <w:ind w:left="432" w:right="432"/>
      </w:pPr>
      <w:r>
        <w:rPr>
          <w:rFonts w:ascii="Courier New" w:hAnsi="Courier New"/>
          <w:sz w:val="17"/>
        </w:rPr>
        <w:t>$env:BASE_URL = "http://127.0.0.1:8000"</w:t>
        <w:br/>
        <w:t>python scripts/smoke_test.py</w:t>
      </w:r>
    </w:p>
    <w:p>
      <w:pPr>
        <w:pStyle w:val="Heading2"/>
      </w:pPr>
      <w:r>
        <w:t>What to sell first</w:t>
      </w:r>
    </w:p>
    <w:p>
      <w:r>
        <w:t xml:space="preserve">The best first offer is the </w:t>
      </w:r>
      <w:r>
        <w:rPr>
          <w:b/>
        </w:rPr>
        <w:t>Self-Hosted Source Edition</w:t>
      </w:r>
      <w:r>
        <w:t>. The buyer receives the FastAPI source, tests, Docker assets, OpenAPI contract, setup documentation, and synthetic provider. The buyer operates the infrastructure and supplies or licenses any real provider data.</w:t>
      </w:r>
    </w:p>
    <w:p>
      <w:r>
        <w:t>A digital-product checkout is more appropriate for the current ZIP than an API marketplace. Lemon Squeezy and Paddle both document digital-file delivery and software-license workflows; Gumroad documents downloadable products and optional license-key generation [1] [2] [3]. The product page should deliver the ZIP, checksum, license, and support instructions after payment.</w:t>
      </w:r>
    </w:p>
    <w:p>
      <w:r>
        <w:t xml:space="preserve">RapidAPI/Nokia API Hub is a separate route for a </w:t>
      </w:r>
      <w:r>
        <w:rPr>
          <w:b/>
        </w:rPr>
        <w:t>hosted API</w:t>
      </w:r>
      <w:r>
        <w:t>. Its official documentation describes public API publishing and monetization plans for API consumption, including free, pay-per-use, freemium, and paid plans [4]. The current package is not yet a suitable paid hosted lead-data API because it has no real provider, hosted infrastructure, production billing, or production-grade coordination layer. Use an API marketplace only after you operate a public endpoint and clearly disclose the synthetic or licensed data source.</w:t>
      </w:r>
    </w:p>
    <w:p>
      <w:pPr>
        <w:pStyle w:val="Heading2"/>
      </w:pPr>
      <w:r>
        <w:t>Sales packages to prepare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Offer</w:t>
            </w:r>
          </w:p>
        </w:tc>
        <w:tc>
          <w:tcPr>
            <w:tcW w:type="dxa" w:w="2880"/>
          </w:tcPr>
          <w:p>
            <w:r>
              <w:rPr>
                <w:b/>
              </w:rPr>
              <w:t>Buyer receives</w:t>
            </w:r>
          </w:p>
        </w:tc>
        <w:tc>
          <w:tcPr>
            <w:tcW w:type="dxa" w:w="2880"/>
          </w:tcPr>
          <w:p>
            <w:r>
              <w:rPr>
                <w:b/>
              </w:rPr>
              <w:t>Positioning</w:t>
            </w:r>
          </w:p>
        </w:tc>
      </w:tr>
      <w:tr>
        <w:tc>
          <w:tcPr>
            <w:tcW w:type="dxa" w:w="2880"/>
          </w:tcPr>
          <w:p>
            <w:r>
              <w:t>Self-Hosted Source Edition</w:t>
            </w:r>
          </w:p>
        </w:tc>
        <w:tc>
          <w:tcPr>
            <w:tcW w:type="dxa" w:w="2880"/>
          </w:tcPr>
          <w:p>
            <w:r>
              <w:t>Versioned source ZIP, tests, API contract, Docker files, documentation, synthetic provider</w:t>
            </w:r>
          </w:p>
        </w:tc>
        <w:tc>
          <w:tcPr>
            <w:tcW w:type="dxa" w:w="2880"/>
          </w:tcPr>
          <w:p>
            <w:r>
              <w:t>One-time or annual source license for technical buyers</w:t>
            </w:r>
          </w:p>
        </w:tc>
      </w:tr>
      <w:tr>
        <w:tc>
          <w:tcPr>
            <w:tcW w:type="dxa" w:w="2880"/>
          </w:tcPr>
          <w:p>
            <w:r>
              <w:t>Assisted Installation</w:t>
            </w:r>
          </w:p>
        </w:tc>
        <w:tc>
          <w:tcPr>
            <w:tcW w:type="dxa" w:w="2880"/>
          </w:tcPr>
          <w:p>
            <w:r>
              <w:t>Source edition plus environment setup and smoke-test assistance</w:t>
            </w:r>
          </w:p>
        </w:tc>
        <w:tc>
          <w:tcPr>
            <w:tcW w:type="dxa" w:w="2880"/>
          </w:tcPr>
          <w:p>
            <w:r>
              <w:t>Fixed-fee implementation service</w:t>
            </w:r>
          </w:p>
        </w:tc>
      </w:tr>
      <w:tr>
        <w:tc>
          <w:tcPr>
            <w:tcW w:type="dxa" w:w="2880"/>
          </w:tcPr>
          <w:p>
            <w:r>
              <w:t>Provider Adapter</w:t>
            </w:r>
          </w:p>
        </w:tc>
        <w:tc>
          <w:tcPr>
            <w:tcW w:type="dxa" w:w="2880"/>
          </w:tcPr>
          <w:p>
            <w:r>
              <w:t>Custom adapter for a provider selected and licensed by the buyer</w:t>
            </w:r>
          </w:p>
        </w:tc>
        <w:tc>
          <w:tcPr>
            <w:tcW w:type="dxa" w:w="2880"/>
          </w:tcPr>
          <w:p>
            <w:r>
              <w:t>Separate engineering project; provider terms remain the buyer’s responsibility</w:t>
            </w:r>
          </w:p>
        </w:tc>
      </w:tr>
      <w:tr>
        <w:tc>
          <w:tcPr>
            <w:tcW w:type="dxa" w:w="2880"/>
          </w:tcPr>
          <w:p>
            <w:r>
              <w:t>Managed Deployment</w:t>
            </w:r>
          </w:p>
        </w:tc>
        <w:tc>
          <w:tcPr>
            <w:tcW w:type="dxa" w:w="2880"/>
          </w:tcPr>
          <w:p>
            <w:r>
              <w:t>Hosted endpoint, upgrades, support, monitoring, and usage metering</w:t>
            </w:r>
          </w:p>
        </w:tc>
        <w:tc>
          <w:tcPr>
            <w:tcW w:type="dxa" w:w="2880"/>
          </w:tcPr>
          <w:p>
            <w:r>
              <w:t>Later-stage subscription offer after production hardening</w:t>
            </w:r>
          </w:p>
        </w:tc>
      </w:tr>
      <w:tr>
        <w:tc>
          <w:tcPr>
            <w:tcW w:type="dxa" w:w="2880"/>
          </w:tcPr>
          <w:p>
            <w:r>
              <w:t>Enterprise Edition</w:t>
            </w:r>
          </w:p>
        </w:tc>
        <w:tc>
          <w:tcPr>
            <w:tcW w:type="dxa" w:w="2880"/>
          </w:tcPr>
          <w:p>
            <w:r>
              <w:t>Private deployment, SSO, stronger controls, SLA, and customer-specific integration</w:t>
            </w:r>
          </w:p>
        </w:tc>
        <w:tc>
          <w:tcPr>
            <w:tcW w:type="dxa" w:w="2880"/>
          </w:tcPr>
          <w:p>
            <w:r>
              <w:t>Quote-based offer under a separately negotiated agreement</w:t>
            </w:r>
          </w:p>
        </w:tc>
      </w:tr>
    </w:tbl>
    <w:p>
      <w:pPr>
        <w:pStyle w:val="Heading2"/>
      </w:pPr>
      <w:r>
        <w:t>Before accepting a sale</w:t>
      </w:r>
    </w:p>
    <w:p>
      <w:r>
        <w:t xml:space="preserve">Use the completed </w:t>
      </w:r>
      <w:r>
        <w:rPr>
          <w:rFonts w:ascii="Courier New" w:hAnsi="Courier New"/>
          <w:sz w:val="18"/>
        </w:rPr>
        <w:t>COMMERCIAL_SOFTWARE_LICENSE.docx</w:t>
      </w:r>
      <w:r>
        <w:t xml:space="preserve"> included in the release. It identifies Sadeq Obaid as Licensor, identifies the purchaser through the marketplace transaction record, grants the standard non-exclusive license for release 0.1.0, defines the permitted deployment scope, sets thirty days of support, and excludes source redistribution, white-label use, customer-facing resale, real lead data, provider credentials, and ownership transfer. Customer-facing resale requires the separate non-exclusive agency addendum in the licensing guide.</w:t>
      </w:r>
    </w:p>
    <w:p>
      <w:r>
        <w:t>Also prepare a third-party dependency notice and a support intake form. The support form should request the release version, deployment mode, sanitized logs, request ID, endpoint, and reproducible steps. It should never request passwords, raw API keys, production secrets, or unnecessary personal data.</w:t>
      </w:r>
    </w:p>
    <w:p>
      <w:pPr>
        <w:pStyle w:val="Heading2"/>
      </w:pPr>
      <w:r>
        <w:t>Production work required before selling a hosted edition</w:t>
      </w:r>
    </w:p>
    <w:p>
      <w:r>
        <w:t>The current release is a production-oriented self-hosted source baseline. Before operating a hosted paid edition, run the included migrations, worker, PostgreSQL, Redis, provider adapter, billing webhook, backup, monitoring, and smoke-test workflows in staging; connect a licensed provider and processor-specific payment integration; configure the target infrastructure; and obtain independent security and legal/privacy review.</w:t>
      </w:r>
    </w:p>
    <w:p>
      <w:pPr>
        <w:pStyle w:val="Heading2"/>
      </w:pPr>
      <w:r>
        <w:t>Immediate next action</w:t>
      </w:r>
    </w:p>
    <w:p>
      <w:r>
        <w:t xml:space="preserve">Install the corrected archive locally using the section for your operating system, run the smoke test, and take screenshots of </w:t>
      </w:r>
      <w:r>
        <w:rPr>
          <w:rFonts w:ascii="Courier New" w:hAnsi="Courier New"/>
          <w:sz w:val="18"/>
        </w:rPr>
        <w:t>/docs</w:t>
      </w:r>
      <w:r>
        <w:t>, a successful synthetic search, and the usage response. Then finalize the commercial license and publish the self-hosted source edition with the synthetic-data warning prominently displayed. Do not advertise the package as production-ready or as containing real lead data until the production work above is complete.</w:t>
      </w:r>
    </w:p>
    <w:p>
      <w:pPr>
        <w:pStyle w:val="Heading2"/>
      </w:pPr>
      <w:r>
        <w:t>References</w:t>
      </w:r>
    </w:p>
    <w:p>
      <w:r>
        <w:t>[1]: https://www.lemonsqueezy.com/ecommerce/digital-products "Lemon Squeezy — Sell Digital Products"</w:t>
      </w:r>
    </w:p>
    <w:p>
      <w:r>
        <w:t>[2]: https://developer.paddle.com/get-started/how-paddle-works/digital-products/ "Paddle — Digital Products"</w:t>
      </w:r>
    </w:p>
    <w:p>
      <w:r>
        <w:t>[3]: https://gumroad.com/help/article/76-license-keys.html "Gumroad Help — License Keys"</w:t>
      </w:r>
    </w:p>
    <w:p>
      <w:r>
        <w:t>[4]: https://docs.rapidapi.com/docs/monetizing-your-api-on-rapidapicom "RapidAPI — Monetizing Your API"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INSTALL AND SELL NEXT STEPS</dc:title>
  <dc:subject>Lead Generation API Platform 0.1.0</dc:subject>
  <dc:creator>Sadeq Obaid</dc:creator>
  <cp:keywords>Lead Generation API, Sadeq Obaid, commercial software</cp:keywords>
  <dc:description>generated by python-docx</dc:description>
  <cp:lastModifiedBy>Sadeq Obaid</cp:lastModifiedBy>
  <cp:revision>1</cp:revision>
  <dcterms:created xsi:type="dcterms:W3CDTF">2013-12-23T23:15:00Z</dcterms:created>
  <dcterms:modified xsi:type="dcterms:W3CDTF">2013-12-23T23:15:00Z</dcterms:modified>
  <cp:category/>
</cp:coreProperties>
</file>