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Marketplace Listing Copy</w:t>
      </w:r>
    </w:p>
    <w:p>
      <w:r>
        <w:rPr>
          <w:b/>
        </w:rPr>
        <w:t>Author / seller:</w:t>
      </w:r>
      <w:r>
        <w:t xml:space="preserve"> Sadeq Obaid </w:t>
      </w:r>
      <w:r>
        <w:rPr>
          <w:b/>
        </w:rPr>
        <w:t>Product:</w:t>
      </w:r>
      <w:r>
        <w:t xml:space="preserve"> Lead Generation API Platform </w:t>
      </w:r>
      <w:r>
        <w:rPr>
          <w:b/>
        </w:rPr>
        <w:t>Release:</w:t>
      </w:r>
      <w:r>
        <w:t xml:space="preserve"> 0.1.0</w:t>
      </w:r>
    </w:p>
    <w:p>
      <w:pPr>
        <w:pStyle w:val="Heading2"/>
      </w:pPr>
      <w:r>
        <w:t>Listing Title</w:t>
      </w:r>
    </w:p>
    <w:p>
      <w:r>
        <w:t>Lead Generation API Platform — Multi-Tenant B2B Discovery, Enrichment, Scoring, and Usage Metering</w:t>
      </w:r>
    </w:p>
    <w:p>
      <w:pPr>
        <w:pStyle w:val="Heading2"/>
      </w:pPr>
      <w:r>
        <w:t>One-Sentence Pitch</w:t>
      </w:r>
    </w:p>
    <w:p>
      <w:r>
        <w:t>A deployable FastAPI foundation for businesses that want to embed governed B2B lead discovery, enrichment, scoring, API-key management, tenant isolation, usage tracking, and credit controls into their own applications.</w:t>
      </w:r>
    </w:p>
    <w:p>
      <w:pPr>
        <w:pStyle w:val="Heading2"/>
      </w:pPr>
      <w:r>
        <w:t>Marketplace Description</w:t>
      </w:r>
    </w:p>
    <w:p>
      <w:r>
        <w:t>The Lead Generation API Platform is a complete, self-hosted API product for CRM vendors, SaaS companies, agencies, sales teams, and developers. It provides a versioned REST API, Swagger UI, ReDoc, JWT authentication, hashed API keys, tenant-scoped data, deterministic scoring, synthetic lead search, credit accounting, usage reporting, rate-limit abstraction, Docker deployment, PostgreSQL-compatible models, Redis-ready infrastructure, automated tests, and step-by-step setup documentation.</w:t>
      </w:r>
    </w:p>
    <w:p>
      <w:r>
        <w:t>The package is provider-neutral and designed to connect to approved data providers through adapters. It includes a safe synthetic provider for local development and demonstrations. It does not include a real-world lead database, personal contact list, provider credentials, or a license to scrape or resell third-party data. Buyers must provide or license data sources and configure their own legal, privacy, retention, suppression, and outreach controls.</w:t>
      </w:r>
    </w:p>
    <w:p>
      <w:pPr>
        <w:pStyle w:val="Heading2"/>
      </w:pPr>
      <w:r>
        <w:t>What the Buyer Receives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Included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Source code</w:t>
            </w:r>
          </w:p>
        </w:tc>
        <w:tc>
          <w:tcPr>
            <w:tcW w:type="dxa" w:w="4320"/>
          </w:tcPr>
          <w:p>
            <w:r>
              <w:t>FastAPI application and modular domain code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Argon2 password hashing, JWT access tokens, API-key verification</w:t>
            </w:r>
          </w:p>
        </w:tc>
      </w:tr>
      <w:tr>
        <w:tc>
          <w:tcPr>
            <w:tcW w:type="dxa" w:w="4320"/>
          </w:tcPr>
          <w:p>
            <w:r>
              <w:t>Tenant model</w:t>
            </w:r>
          </w:p>
        </w:tc>
        <w:tc>
          <w:tcPr>
            <w:tcW w:type="dxa" w:w="4320"/>
          </w:tcPr>
          <w:p>
            <w:r>
              <w:t>Tenant, user, key, lead, usage, and credit separation</w:t>
            </w:r>
          </w:p>
        </w:tc>
      </w:tr>
      <w:tr>
        <w:tc>
          <w:tcPr>
            <w:tcW w:type="dxa" w:w="4320"/>
          </w:tcPr>
          <w:p>
            <w:r>
              <w:t>Lead API</w:t>
            </w:r>
          </w:p>
        </w:tc>
        <w:tc>
          <w:tcPr>
            <w:tcW w:type="dxa" w:w="4320"/>
          </w:tcPr>
          <w:p>
            <w:r>
              <w:t>Synthetic search endpoint with filters and explainable score output</w:t>
            </w:r>
          </w:p>
        </w:tc>
      </w:tr>
      <w:tr>
        <w:tc>
          <w:tcPr>
            <w:tcW w:type="dxa" w:w="4320"/>
          </w:tcPr>
          <w:p>
            <w:r>
              <w:t>Provider layer</w:t>
            </w:r>
          </w:p>
        </w:tc>
        <w:tc>
          <w:tcPr>
            <w:tcW w:type="dxa" w:w="4320"/>
          </w:tcPr>
          <w:p>
            <w:r>
              <w:t>Adapter interface and synthetic provider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SQLAlchemy models compatible with SQLite and PostgreSQL URLs</w:t>
            </w:r>
          </w:p>
        </w:tc>
      </w:tr>
      <w:tr>
        <w:tc>
          <w:tcPr>
            <w:tcW w:type="dxa" w:w="4320"/>
          </w:tcPr>
          <w:p>
            <w:r>
              <w:t>Cache/limits</w:t>
            </w:r>
          </w:p>
        </w:tc>
        <w:tc>
          <w:tcPr>
            <w:tcW w:type="dxa" w:w="4320"/>
          </w:tcPr>
          <w:p>
            <w:r>
              <w:t>In-memory test limiter and optional Redis limiter class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Dockerfile, Compose services, environment template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Setup, deployment, marketplace, licensing, API, and operations guides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API and unit tests for core MVP behavior</w:t>
            </w:r>
          </w:p>
        </w:tc>
      </w:tr>
    </w:tbl>
    <w:p>
      <w:pPr>
        <w:pStyle w:val="Heading2"/>
      </w:pPr>
      <w:r>
        <w:t>What Is Not Included</w:t>
      </w:r>
    </w:p>
    <w:p>
      <w:r>
        <w:t>The source edition does not include real lead data, third-party provider subscriptions, payment-provider credentials, hosting, legal advice, privacy certification, an enterprise SLA, or a guarantee of data accuracy or email deliverability. A real production data integration, managed hosting, advanced SSO, billing implementation, and enterprise support are separate services or editions.</w:t>
      </w:r>
    </w:p>
    <w:p>
      <w:pPr>
        <w:pStyle w:val="Heading2"/>
      </w:pPr>
      <w:r>
        <w:t>Suitable Buyers</w:t>
      </w:r>
    </w:p>
    <w:p>
      <w:r>
        <w:t>This package is best for a technical buyer who wants a deployable starting point and can operate Python/Docker infrastructure or engage a deployment partner. It is not positioned as a no-code lead database or as a turnkey source of legally reusable personal data.</w:t>
      </w:r>
    </w:p>
    <w:p>
      <w:pPr>
        <w:pStyle w:val="Heading2"/>
      </w:pPr>
      <w:r>
        <w:t>Suggested Tags</w:t>
      </w:r>
    </w:p>
    <w:p>
      <w:r>
        <w:rPr>
          <w:rFonts w:ascii="Courier New" w:hAnsi="Courier New"/>
          <w:sz w:val="18"/>
        </w:rPr>
        <w:t>FastAPI</w:t>
      </w:r>
      <w:r>
        <w:t xml:space="preserve">, </w:t>
      </w:r>
      <w:r>
        <w:rPr>
          <w:rFonts w:ascii="Courier New" w:hAnsi="Courier New"/>
          <w:sz w:val="18"/>
        </w:rPr>
        <w:t>Python</w:t>
      </w:r>
      <w:r>
        <w:t xml:space="preserve">, </w:t>
      </w:r>
      <w:r>
        <w:rPr>
          <w:rFonts w:ascii="Courier New" w:hAnsi="Courier New"/>
          <w:sz w:val="18"/>
        </w:rPr>
        <w:t>REST API</w:t>
      </w:r>
      <w:r>
        <w:t xml:space="preserve">, </w:t>
      </w:r>
      <w:r>
        <w:rPr>
          <w:rFonts w:ascii="Courier New" w:hAnsi="Courier New"/>
          <w:sz w:val="18"/>
        </w:rPr>
        <w:t>SaaS</w:t>
      </w:r>
      <w:r>
        <w:t xml:space="preserve">, </w:t>
      </w:r>
      <w:r>
        <w:rPr>
          <w:rFonts w:ascii="Courier New" w:hAnsi="Courier New"/>
          <w:sz w:val="18"/>
        </w:rPr>
        <w:t>B2B</w:t>
      </w:r>
      <w:r>
        <w:t xml:space="preserve">, </w:t>
      </w:r>
      <w:r>
        <w:rPr>
          <w:rFonts w:ascii="Courier New" w:hAnsi="Courier New"/>
          <w:sz w:val="18"/>
        </w:rPr>
        <w:t>Lead Generation</w:t>
      </w:r>
      <w:r>
        <w:t xml:space="preserve">, </w:t>
      </w:r>
      <w:r>
        <w:rPr>
          <w:rFonts w:ascii="Courier New" w:hAnsi="Courier New"/>
          <w:sz w:val="18"/>
        </w:rPr>
        <w:t>CRM</w:t>
      </w:r>
      <w:r>
        <w:t xml:space="preserve">, </w:t>
      </w:r>
      <w:r>
        <w:rPr>
          <w:rFonts w:ascii="Courier New" w:hAnsi="Courier New"/>
          <w:sz w:val="18"/>
        </w:rPr>
        <w:t>Multi-Tenant</w:t>
      </w:r>
      <w:r>
        <w:t xml:space="preserve">, </w:t>
      </w:r>
      <w:r>
        <w:rPr>
          <w:rFonts w:ascii="Courier New" w:hAnsi="Courier New"/>
          <w:sz w:val="18"/>
        </w:rPr>
        <w:t>PostgreSQL</w:t>
      </w:r>
      <w:r>
        <w:t xml:space="preserve">, </w:t>
      </w:r>
      <w:r>
        <w:rPr>
          <w:rFonts w:ascii="Courier New" w:hAnsi="Courier New"/>
          <w:sz w:val="18"/>
        </w:rPr>
        <w:t>Redis</w:t>
      </w:r>
      <w:r>
        <w:t xml:space="preserve">, </w:t>
      </w:r>
      <w:r>
        <w:rPr>
          <w:rFonts w:ascii="Courier New" w:hAnsi="Courier New"/>
          <w:sz w:val="18"/>
        </w:rPr>
        <w:t>Docker</w:t>
      </w:r>
      <w:r>
        <w:t xml:space="preserve">, </w:t>
      </w:r>
      <w:r>
        <w:rPr>
          <w:rFonts w:ascii="Courier New" w:hAnsi="Courier New"/>
          <w:sz w:val="18"/>
        </w:rPr>
        <w:t>API Keys</w:t>
      </w:r>
      <w:r>
        <w:t xml:space="preserve">, </w:t>
      </w:r>
      <w:r>
        <w:rPr>
          <w:rFonts w:ascii="Courier New" w:hAnsi="Courier New"/>
          <w:sz w:val="18"/>
        </w:rPr>
        <w:t>Usage Metering</w:t>
      </w:r>
      <w:r>
        <w:t xml:space="preserve">, </w:t>
      </w:r>
      <w:r>
        <w:rPr>
          <w:rFonts w:ascii="Courier New" w:hAnsi="Courier New"/>
          <w:sz w:val="18"/>
        </w:rPr>
        <w:t>Data Enrichment</w:t>
      </w:r>
    </w:p>
    <w:p>
      <w:pPr>
        <w:pStyle w:val="Heading2"/>
      </w:pPr>
      <w:r>
        <w:t>Buyer Questions and Answers</w:t>
      </w:r>
    </w:p>
    <w:p>
      <w:pPr>
        <w:pStyle w:val="Heading3"/>
      </w:pPr>
      <w:r>
        <w:t>Does it contain real leads?</w:t>
      </w:r>
    </w:p>
    <w:p>
      <w:r>
        <w:t>No. The included provider is synthetic and uses invalid example domains. Connect a provider only after licensing and data-use review.</w:t>
      </w:r>
    </w:p>
    <w:p>
      <w:pPr>
        <w:pStyle w:val="Heading3"/>
      </w:pPr>
      <w:r>
        <w:t>Can I sell the API to my own customers?</w:t>
      </w:r>
    </w:p>
    <w:p>
      <w:r>
        <w:t>Only if the purchased license and order form permit customer-facing resale or multi-tenant hosting. The source edition’s exact rights must be stated in the commercial license.</w:t>
      </w:r>
    </w:p>
    <w:p>
      <w:pPr>
        <w:pStyle w:val="Heading3"/>
      </w:pPr>
      <w:r>
        <w:t>Can I connect another enrichment provider?</w:t>
      </w:r>
    </w:p>
    <w:p>
      <w:r>
        <w:t>Yes, through the provider adapter interface, but the buyer must implement field mapping, error handling, policy controls, credential storage, cost handling, and the provider’s contract requirements.</w:t>
      </w:r>
    </w:p>
    <w:p>
      <w:pPr>
        <w:pStyle w:val="Heading3"/>
      </w:pPr>
      <w:r>
        <w:t>Is it production-ready?</w:t>
      </w:r>
    </w:p>
    <w:p>
      <w:r>
        <w:t xml:space="preserve">It is a production-oriented MVP foundation, not a claim that every enterprise feature is complete. Before production, replace startup </w:t>
      </w:r>
      <w:r>
        <w:rPr>
          <w:rFonts w:ascii="Courier New" w:hAnsi="Courier New"/>
          <w:sz w:val="18"/>
        </w:rPr>
        <w:t>create_all()</w:t>
      </w:r>
      <w:r>
        <w:t xml:space="preserve"> with Alembic migrations, implement a shared Redis limiter, add a real queue worker, integrate approved providers, complete privacy workflows, add billing, and perform security and recovery testing.</w:t>
      </w:r>
    </w:p>
    <w:p>
      <w:pPr>
        <w:pStyle w:val="Heading3"/>
      </w:pPr>
      <w:r>
        <w:t>Is it compliant with GDPR or CCPA?</w:t>
      </w:r>
    </w:p>
    <w:p>
      <w:r>
        <w:t>The code includes governance-oriented design guidance but does not provide legal compliance certification. The buyer remains responsible for the legal basis, contracts, provider terms, data-subject workflows, retention, suppression, and customer use.</w:t>
      </w:r>
    </w:p>
    <w:p>
      <w:pPr>
        <w:pStyle w:val="Heading2"/>
      </w:pPr>
      <w:r>
        <w:t>Support Scope</w:t>
      </w:r>
    </w:p>
    <w:p>
      <w:r>
        <w:t>Base support covers installation defects, documented configuration, reproducible bugs in the listed release, and questions about included code. Custom provider integrations, customer data, third-party outages, legal or privacy advice, buyer modifications, and production infrastructure are separately scoped.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MARKETPLACE LISTING</dc:title>
  <dc:subject>Lead Generation API Platform 0.1.0</dc:subject>
  <dc:creator>Sadeq Obaid</dc:creator>
  <cp:keywords>Lead Generation API, Sadeq Obaid, commercial software</cp:keywords>
  <dc:description>generated by python-docx</dc:description>
  <cp:lastModifiedBy>Sadeq Obaid</cp:lastModifiedBy>
  <cp:revision>1</cp:revision>
  <dcterms:created xsi:type="dcterms:W3CDTF">2013-12-23T23:15:00Z</dcterms:created>
  <dcterms:modified xsi:type="dcterms:W3CDTF">2013-12-23T23:15:00Z</dcterms:modified>
  <cp:category/>
</cp:coreProperties>
</file>