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Marketplace Release and Sales Guide</w:t>
      </w:r>
    </w:p>
    <w:p>
      <w:r>
        <w:rPr>
          <w:b/>
        </w:rPr>
        <w:t>Product:</w:t>
      </w:r>
      <w:r>
        <w:t xml:space="preserve"> Lead Generation API Platform </w:t>
      </w:r>
      <w:r>
        <w:rPr>
          <w:b/>
        </w:rPr>
        <w:t>Author / Product owner:</w:t>
      </w:r>
      <w:r>
        <w:t xml:space="preserve"> Sadeq Obaid </w:t>
      </w:r>
      <w:r>
        <w:rPr>
          <w:b/>
        </w:rPr>
        <w:t>Version:</w:t>
      </w:r>
      <w:r>
        <w:t xml:space="preserve"> 0.1.0 </w:t>
      </w:r>
      <w:r>
        <w:rPr>
          <w:b/>
        </w:rPr>
        <w:t>Release type:</w:t>
      </w:r>
      <w:r>
        <w:t xml:space="preserve"> Non-exclusive self-hosted commercial API package</w:t>
      </w:r>
    </w:p>
    <w:p>
      <w:pPr>
        <w:pStyle w:val="Heading2"/>
      </w:pPr>
      <w:r>
        <w:t>1. Marketplace Product Definition</w:t>
      </w:r>
    </w:p>
    <w:p>
      <w:r>
        <w:t>This product is sold as a complete, deployable API platform rather than as a collection of code snippets. A buyer receives the FastAPI application, database model, Docker deployment, API documentation, synthetic demo provider, test suite, configuration template, operator guide, and commercial usage terms. Real lead data and third-party provider credentials are not included unless they are separately licensed and explicitly listed in the product edition.</w:t>
      </w:r>
    </w:p>
    <w:p>
      <w:r>
        <w:t>The marketplace listing must make a clear distinction between the following editions: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Edition</w:t>
            </w:r>
          </w:p>
        </w:tc>
        <w:tc>
          <w:tcPr>
            <w:tcW w:type="dxa" w:w="2160"/>
          </w:tcPr>
          <w:p>
            <w:r>
              <w:rPr>
                <w:b/>
              </w:rPr>
              <w:t>What the buyer receives</w:t>
            </w:r>
          </w:p>
        </w:tc>
        <w:tc>
          <w:tcPr>
            <w:tcW w:type="dxa" w:w="2160"/>
          </w:tcPr>
          <w:p>
            <w:r>
              <w:rPr>
                <w:b/>
              </w:rPr>
              <w:t>Who operates infrastructure</w:t>
            </w:r>
          </w:p>
        </w:tc>
        <w:tc>
          <w:tcPr>
            <w:tcW w:type="dxa" w:w="2160"/>
          </w:tcPr>
          <w:p>
            <w:r>
              <w:rPr>
                <w:b/>
              </w:rPr>
              <w:t>Data included</w:t>
            </w:r>
          </w:p>
        </w:tc>
      </w:tr>
      <w:tr>
        <w:tc>
          <w:tcPr>
            <w:tcW w:type="dxa" w:w="2160"/>
          </w:tcPr>
          <w:p>
            <w:r>
              <w:t>Self-hosted source edition</w:t>
            </w:r>
          </w:p>
        </w:tc>
        <w:tc>
          <w:tcPr>
            <w:tcW w:type="dxa" w:w="2160"/>
          </w:tcPr>
          <w:p>
            <w:r>
              <w:t>Source code, Docker setup, docs, tests, synthetic provider</w:t>
            </w:r>
          </w:p>
        </w:tc>
        <w:tc>
          <w:tcPr>
            <w:tcW w:type="dxa" w:w="2160"/>
          </w:tcPr>
          <w:p>
            <w:r>
              <w:t>Buyer</w:t>
            </w:r>
          </w:p>
        </w:tc>
        <w:tc>
          <w:tcPr>
            <w:tcW w:type="dxa" w:w="2160"/>
          </w:tcPr>
          <w:p>
            <w:r>
              <w:t>Synthetic data only</w:t>
            </w:r>
          </w:p>
        </w:tc>
      </w:tr>
      <w:tr>
        <w:tc>
          <w:tcPr>
            <w:tcW w:type="dxa" w:w="2160"/>
          </w:tcPr>
          <w:p>
            <w:r>
              <w:t>Managed deployment edition</w:t>
            </w:r>
          </w:p>
        </w:tc>
        <w:tc>
          <w:tcPr>
            <w:tcW w:type="dxa" w:w="2160"/>
          </w:tcPr>
          <w:p>
            <w:r>
              <w:t>Hosted API endpoint, managed upgrades, support tier, usage metering</w:t>
            </w:r>
          </w:p>
        </w:tc>
        <w:tc>
          <w:tcPr>
            <w:tcW w:type="dxa" w:w="2160"/>
          </w:tcPr>
          <w:p>
            <w:r>
              <w:t>Seller or hosting partner</w:t>
            </w:r>
          </w:p>
        </w:tc>
        <w:tc>
          <w:tcPr>
            <w:tcW w:type="dxa" w:w="2160"/>
          </w:tcPr>
          <w:p>
            <w:r>
              <w:t>Only data sources named in the contract</w:t>
            </w:r>
          </w:p>
        </w:tc>
      </w:tr>
      <w:tr>
        <w:tc>
          <w:tcPr>
            <w:tcW w:type="dxa" w:w="2160"/>
          </w:tcPr>
          <w:p>
            <w:r>
              <w:t>Enterprise edition</w:t>
            </w:r>
          </w:p>
        </w:tc>
        <w:tc>
          <w:tcPr>
            <w:tcW w:type="dxa" w:w="2160"/>
          </w:tcPr>
          <w:p>
            <w:r>
              <w:t>Self-hosted or private deployment, SSO, custom controls, onboarding, SLA</w:t>
            </w:r>
          </w:p>
        </w:tc>
        <w:tc>
          <w:tcPr>
            <w:tcW w:type="dxa" w:w="2160"/>
          </w:tcPr>
          <w:p>
            <w:r>
              <w:t>Buyer, seller, or jointly</w:t>
            </w:r>
          </w:p>
        </w:tc>
        <w:tc>
          <w:tcPr>
            <w:tcW w:type="dxa" w:w="2160"/>
          </w:tcPr>
          <w:p>
            <w:r>
              <w:t>Customer-approved providers and datasets</w:t>
            </w:r>
          </w:p>
        </w:tc>
      </w:tr>
    </w:tbl>
    <w:p>
      <w:r>
        <w:t>Do not advertise the self-hosted source edition as a ready-made real lead database. A buyer must connect its own lawful, licensed provider or customer-owned dataset.</w:t>
      </w:r>
    </w:p>
    <w:p>
      <w:pPr>
        <w:pStyle w:val="Heading2"/>
      </w:pPr>
      <w:r>
        <w:t>2. Recommended Marketplace Listing Structure</w:t>
      </w:r>
    </w:p>
    <w:p>
      <w:pPr>
        <w:pStyle w:val="Heading3"/>
      </w:pPr>
      <w:r>
        <w:t>Product title</w:t>
      </w:r>
    </w:p>
    <w:p>
      <w:r>
        <w:rPr>
          <w:b/>
        </w:rPr>
        <w:t>Lead Generation API Platform — Multi-Tenant B2B Discovery, Enrichment, Scoring, and Usage Metering</w:t>
      </w:r>
    </w:p>
    <w:p>
      <w:pPr>
        <w:pStyle w:val="Heading3"/>
      </w:pPr>
      <w:r>
        <w:t>Short description</w:t>
      </w:r>
    </w:p>
    <w:p>
      <w:r>
        <w:t>A deployable FastAPI platform for B2B lead-discovery workflows. Includes tenant isolation, JWT authentication, hashed API keys, synthetic demo provider, scoring, credits, usage tracking, shared Redis idempotency and rate limiting, PostgreSQL migrations, Redis Streams worker mechanics, Docker, OpenAPI documentation, tests, and step-by-step deployment guides.</w:t>
      </w:r>
    </w:p>
    <w:p>
      <w:pPr>
        <w:pStyle w:val="Heading3"/>
      </w:pPr>
      <w:r>
        <w:t>Long description</w:t>
      </w:r>
    </w:p>
    <w:p>
      <w:r>
        <w:t xml:space="preserve">The Lead Generation API Platform gives CRM vendors, SaaS companies, agencies, and sales teams an API-first foundation for permitted B2B discovery and enrichment workflows. Buyers can deploy the platform, configure tenants and API keys, connect approved data providers, search structured company and contact records, score leads, measure usage, and expose a stable </w:t>
      </w:r>
      <w:r>
        <w:rPr>
          <w:rFonts w:ascii="Courier New" w:hAnsi="Courier New"/>
          <w:sz w:val="18"/>
        </w:rPr>
        <w:t>/api/v1</w:t>
      </w:r>
      <w:r>
        <w:t xml:space="preserve"> contract to their own applications.</w:t>
      </w:r>
    </w:p>
    <w:p>
      <w:r>
        <w:t>The package is intentionally provider-neutral. It includes a synthetic provider for local development and testing, not real-world personal or company data. Buyers are responsible for provider licensing, lawful use, customer instructions, outreach compliance, and configuring data retention and suppression policies for their deployments.</w:t>
      </w:r>
    </w:p>
    <w:p>
      <w:pPr>
        <w:pStyle w:val="Heading3"/>
      </w:pPr>
      <w:r>
        <w:t>Feature summary</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Included in source edition</w:t>
            </w:r>
          </w:p>
        </w:tc>
      </w:tr>
      <w:tr>
        <w:tc>
          <w:tcPr>
            <w:tcW w:type="dxa" w:w="4320"/>
          </w:tcPr>
          <w:p>
            <w:r>
              <w:t>FastAPI REST API</w:t>
            </w:r>
          </w:p>
        </w:tc>
        <w:tc>
          <w:tcPr>
            <w:tcW w:type="dxa" w:w="4320"/>
          </w:tcPr>
          <w:p>
            <w:r>
              <w:t>Yes</w:t>
            </w:r>
          </w:p>
        </w:tc>
      </w:tr>
      <w:tr>
        <w:tc>
          <w:tcPr>
            <w:tcW w:type="dxa" w:w="4320"/>
          </w:tcPr>
          <w:p>
            <w:r>
              <w:t>Swagger UI and ReDoc</w:t>
            </w:r>
          </w:p>
        </w:tc>
        <w:tc>
          <w:tcPr>
            <w:tcW w:type="dxa" w:w="4320"/>
          </w:tcPr>
          <w:p>
            <w:r>
              <w:t>Yes</w:t>
            </w:r>
          </w:p>
        </w:tc>
      </w:tr>
      <w:tr>
        <w:tc>
          <w:tcPr>
            <w:tcW w:type="dxa" w:w="4320"/>
          </w:tcPr>
          <w:p>
            <w:r>
              <w:t>Multi-tenant model</w:t>
            </w:r>
          </w:p>
        </w:tc>
        <w:tc>
          <w:tcPr>
            <w:tcW w:type="dxa" w:w="4320"/>
          </w:tcPr>
          <w:p>
            <w:r>
              <w:t>Yes</w:t>
            </w:r>
          </w:p>
        </w:tc>
      </w:tr>
      <w:tr>
        <w:tc>
          <w:tcPr>
            <w:tcW w:type="dxa" w:w="4320"/>
          </w:tcPr>
          <w:p>
            <w:r>
              <w:t>JWT human authentication</w:t>
            </w:r>
          </w:p>
        </w:tc>
        <w:tc>
          <w:tcPr>
            <w:tcW w:type="dxa" w:w="4320"/>
          </w:tcPr>
          <w:p>
            <w:r>
              <w:t>Yes</w:t>
            </w:r>
          </w:p>
        </w:tc>
      </w:tr>
      <w:tr>
        <w:tc>
          <w:tcPr>
            <w:tcW w:type="dxa" w:w="4320"/>
          </w:tcPr>
          <w:p>
            <w:r>
              <w:t>Hashed API keys</w:t>
            </w:r>
          </w:p>
        </w:tc>
        <w:tc>
          <w:tcPr>
            <w:tcW w:type="dxa" w:w="4320"/>
          </w:tcPr>
          <w:p>
            <w:r>
              <w:t>Yes</w:t>
            </w:r>
          </w:p>
        </w:tc>
      </w:tr>
      <w:tr>
        <w:tc>
          <w:tcPr>
            <w:tcW w:type="dxa" w:w="4320"/>
          </w:tcPr>
          <w:p>
            <w:r>
              <w:t>API-key scopes and revocation</w:t>
            </w:r>
          </w:p>
        </w:tc>
        <w:tc>
          <w:tcPr>
            <w:tcW w:type="dxa" w:w="4320"/>
          </w:tcPr>
          <w:p>
            <w:r>
              <w:t>Yes</w:t>
            </w:r>
          </w:p>
        </w:tc>
      </w:tr>
      <w:tr>
        <w:tc>
          <w:tcPr>
            <w:tcW w:type="dxa" w:w="4320"/>
          </w:tcPr>
          <w:p>
            <w:r>
              <w:t>Synthetic lead search</w:t>
            </w:r>
          </w:p>
        </w:tc>
        <w:tc>
          <w:tcPr>
            <w:tcW w:type="dxa" w:w="4320"/>
          </w:tcPr>
          <w:p>
            <w:r>
              <w:t>Yes</w:t>
            </w:r>
          </w:p>
        </w:tc>
      </w:tr>
      <w:tr>
        <w:tc>
          <w:tcPr>
            <w:tcW w:type="dxa" w:w="4320"/>
          </w:tcPr>
          <w:p>
            <w:r>
              <w:t>Provider adapter interface and generic HTTP adapter</w:t>
            </w:r>
          </w:p>
        </w:tc>
        <w:tc>
          <w:tcPr>
            <w:tcW w:type="dxa" w:w="4320"/>
          </w:tcPr>
          <w:p>
            <w:r>
              <w:t>Yes</w:t>
            </w:r>
          </w:p>
        </w:tc>
      </w:tr>
      <w:tr>
        <w:tc>
          <w:tcPr>
            <w:tcW w:type="dxa" w:w="4320"/>
          </w:tcPr>
          <w:p>
            <w:r>
              <w:t>Deterministic scoring and ICP-compatible fields</w:t>
            </w:r>
          </w:p>
        </w:tc>
        <w:tc>
          <w:tcPr>
            <w:tcW w:type="dxa" w:w="4320"/>
          </w:tcPr>
          <w:p>
            <w:r>
              <w:t>Yes</w:t>
            </w:r>
          </w:p>
        </w:tc>
      </w:tr>
      <w:tr>
        <w:tc>
          <w:tcPr>
            <w:tcW w:type="dxa" w:w="4320"/>
          </w:tcPr>
          <w:p>
            <w:r>
              <w:t>Credits and usage ledger</w:t>
            </w:r>
          </w:p>
        </w:tc>
        <w:tc>
          <w:tcPr>
            <w:tcW w:type="dxa" w:w="4320"/>
          </w:tcPr>
          <w:p>
            <w:r>
              <w:t>Yes</w:t>
            </w:r>
          </w:p>
        </w:tc>
      </w:tr>
      <w:tr>
        <w:tc>
          <w:tcPr>
            <w:tcW w:type="dxa" w:w="4320"/>
          </w:tcPr>
          <w:p>
            <w:r>
              <w:t>Atomic Redis rate limiter</w:t>
            </w:r>
          </w:p>
        </w:tc>
        <w:tc>
          <w:tcPr>
            <w:tcW w:type="dxa" w:w="4320"/>
          </w:tcPr>
          <w:p>
            <w:r>
              <w:t>Yes</w:t>
            </w:r>
          </w:p>
        </w:tc>
      </w:tr>
      <w:tr>
        <w:tc>
          <w:tcPr>
            <w:tcW w:type="dxa" w:w="4320"/>
          </w:tcPr>
          <w:p>
            <w:r>
              <w:t>Shared Redis idempotency</w:t>
            </w:r>
          </w:p>
        </w:tc>
        <w:tc>
          <w:tcPr>
            <w:tcW w:type="dxa" w:w="4320"/>
          </w:tcPr>
          <w:p>
            <w:r>
              <w:t>Yes</w:t>
            </w:r>
          </w:p>
        </w:tc>
      </w:tr>
      <w:tr>
        <w:tc>
          <w:tcPr>
            <w:tcW w:type="dxa" w:w="4320"/>
          </w:tcPr>
          <w:p>
            <w:r>
              <w:t>Redis Streams worker mechanics</w:t>
            </w:r>
          </w:p>
        </w:tc>
        <w:tc>
          <w:tcPr>
            <w:tcW w:type="dxa" w:w="4320"/>
          </w:tcPr>
          <w:p>
            <w:r>
              <w:t>Yes</w:t>
            </w:r>
          </w:p>
        </w:tc>
      </w:tr>
      <w:tr>
        <w:tc>
          <w:tcPr>
            <w:tcW w:type="dxa" w:w="4320"/>
          </w:tcPr>
          <w:p>
            <w:r>
              <w:t>PostgreSQL-compatible schema</w:t>
            </w:r>
          </w:p>
        </w:tc>
        <w:tc>
          <w:tcPr>
            <w:tcW w:type="dxa" w:w="4320"/>
          </w:tcPr>
          <w:p>
            <w:r>
              <w:t>Yes</w:t>
            </w:r>
          </w:p>
        </w:tc>
      </w:tr>
      <w:tr>
        <w:tc>
          <w:tcPr>
            <w:tcW w:type="dxa" w:w="4320"/>
          </w:tcPr>
          <w:p>
            <w:r>
              <w:t>Docker and Compose</w:t>
            </w:r>
          </w:p>
        </w:tc>
        <w:tc>
          <w:tcPr>
            <w:tcW w:type="dxa" w:w="4320"/>
          </w:tcPr>
          <w:p>
            <w:r>
              <w:t>Yes</w:t>
            </w:r>
          </w:p>
        </w:tc>
      </w:tr>
      <w:tr>
        <w:tc>
          <w:tcPr>
            <w:tcW w:type="dxa" w:w="4320"/>
          </w:tcPr>
          <w:p>
            <w:r>
              <w:t>Automated tests</w:t>
            </w:r>
          </w:p>
        </w:tc>
        <w:tc>
          <w:tcPr>
            <w:tcW w:type="dxa" w:w="4320"/>
          </w:tcPr>
          <w:p>
            <w:r>
              <w:t>Yes</w:t>
            </w:r>
          </w:p>
        </w:tc>
      </w:tr>
      <w:tr>
        <w:tc>
          <w:tcPr>
            <w:tcW w:type="dxa" w:w="4320"/>
          </w:tcPr>
          <w:p>
            <w:r>
              <w:t>Real data provider contract</w:t>
            </w:r>
          </w:p>
        </w:tc>
        <w:tc>
          <w:tcPr>
            <w:tcW w:type="dxa" w:w="4320"/>
          </w:tcPr>
          <w:p>
            <w:r>
              <w:t>No; buyer-specific</w:t>
            </w:r>
          </w:p>
        </w:tc>
      </w:tr>
      <w:tr>
        <w:tc>
          <w:tcPr>
            <w:tcW w:type="dxa" w:w="4320"/>
          </w:tcPr>
          <w:p>
            <w:r>
              <w:t>Production payment integration</w:t>
            </w:r>
          </w:p>
        </w:tc>
        <w:tc>
          <w:tcPr>
            <w:tcW w:type="dxa" w:w="4320"/>
          </w:tcPr>
          <w:p>
            <w:r>
              <w:t>No; buyer-specific</w:t>
            </w:r>
          </w:p>
        </w:tc>
      </w:tr>
      <w:tr>
        <w:tc>
          <w:tcPr>
            <w:tcW w:type="dxa" w:w="4320"/>
          </w:tcPr>
          <w:p>
            <w:r>
              <w:t>Hosted infrastructure</w:t>
            </w:r>
          </w:p>
        </w:tc>
        <w:tc>
          <w:tcPr>
            <w:tcW w:type="dxa" w:w="4320"/>
          </w:tcPr>
          <w:p>
            <w:r>
              <w:t>No; unless managed edition is purchased</w:t>
            </w:r>
          </w:p>
        </w:tc>
      </w:tr>
      <w:tr>
        <w:tc>
          <w:tcPr>
            <w:tcW w:type="dxa" w:w="4320"/>
          </w:tcPr>
          <w:p>
            <w:r>
              <w:t>Legal compliance certification</w:t>
            </w:r>
          </w:p>
        </w:tc>
        <w:tc>
          <w:tcPr>
            <w:tcW w:type="dxa" w:w="4320"/>
          </w:tcPr>
          <w:p>
            <w:r>
              <w:t>No</w:t>
            </w:r>
          </w:p>
        </w:tc>
      </w:tr>
    </w:tbl>
    <w:p>
      <w:pPr>
        <w:pStyle w:val="Heading2"/>
      </w:pPr>
      <w:r>
        <w:t>3. Buyer Value Proposition</w:t>
      </w:r>
    </w:p>
    <w:p>
      <w:r>
        <w:t xml:space="preserve">The buyer avoids starting from an empty repository. It receives a structured, testable API foundation that can be embedded into CRM or SaaS workflows, while retaining control over the provider contracts and deployment environment. The main value is </w:t>
      </w:r>
      <w:r>
        <w:rPr>
          <w:b/>
        </w:rPr>
        <w:t>time-to-integration and operational structure</w:t>
      </w:r>
      <w:r>
        <w:t>, not an unlicensed data corpus.</w:t>
      </w:r>
    </w:p>
    <w:p>
      <w:r>
        <w:t>The most credible claims are:</w:t>
      </w:r>
    </w:p>
    <w:p>
      <w:pPr>
        <w:pStyle w:val="ListBullet"/>
      </w:pPr>
      <w:r>
        <w:t>The platform provides a versioned REST API and OpenAPI documentation.</w:t>
      </w:r>
    </w:p>
    <w:p>
      <w:pPr>
        <w:pStyle w:val="ListBullet"/>
      </w:pPr>
      <w:r>
        <w:t>The platform separates tenant, authentication, provider, scoring, usage, and billing concerns.</w:t>
      </w:r>
    </w:p>
    <w:p>
      <w:pPr>
        <w:pStyle w:val="ListBullet"/>
      </w:pPr>
      <w:r>
        <w:t>The platform is designed for licensed providers and customer-owned data.</w:t>
      </w:r>
    </w:p>
    <w:p>
      <w:pPr>
        <w:pStyle w:val="ListBullet"/>
      </w:pPr>
      <w:r>
        <w:t>The platform includes synthetic data and automated tests for safe evaluation.</w:t>
      </w:r>
    </w:p>
    <w:p>
      <w:pPr>
        <w:pStyle w:val="ListBullet"/>
      </w:pPr>
      <w:r>
        <w:t>The platform includes a Redis Streams worker path, a generic signed billing-webhook contract, and documented extension points for provider-specific integrations.</w:t>
      </w:r>
    </w:p>
    <w:p>
      <w:r>
        <w:t>Avoid claims such as “guaranteed accurate leads,” “compliant in every country,” “complete global database,” “guaranteed email deliverability,” or “ready for any provider without configuration.”</w:t>
      </w:r>
    </w:p>
    <w:p>
      <w:pPr>
        <w:pStyle w:val="Heading2"/>
      </w:pPr>
      <w:r>
        <w:t>4. Commercial Packaging</w:t>
      </w:r>
    </w:p>
    <w:p>
      <w:r>
        <w:t>The recommended marketplace strategy is to sell a one-time source license or annual license for the self-hosted edition, then offer paid upgrades for implementation support, custom provider adapters, security review, managed hosting, and enterprise controls. A hosted edition can add subscription and usage billing, but its data and service boundaries must be described separately.</w:t>
      </w:r>
    </w:p>
    <w:tbl>
      <w:tblPr>
        <w:tblStyle w:val="TableGrid"/>
        <w:tblW w:type="auto" w:w="0"/>
        <w:tblLook w:firstColumn="1" w:firstRow="1" w:lastColumn="0" w:lastRow="0" w:noHBand="0" w:noVBand="1" w:val="04A0"/>
      </w:tblPr>
      <w:tblGrid>
        <w:gridCol w:w="4320"/>
        <w:gridCol w:w="4320"/>
      </w:tblGrid>
      <w:tr>
        <w:tc>
          <w:tcPr>
            <w:tcW w:type="dxa" w:w="4320"/>
          </w:tcPr>
          <w:p>
            <w:r>
              <w:rPr>
                <w:b/>
              </w:rPr>
              <w:t>Revenue line</w:t>
            </w:r>
          </w:p>
        </w:tc>
        <w:tc>
          <w:tcPr>
            <w:tcW w:type="dxa" w:w="4320"/>
          </w:tcPr>
          <w:p>
            <w:r>
              <w:rPr>
                <w:b/>
              </w:rPr>
              <w:t>Example offer</w:t>
            </w:r>
          </w:p>
        </w:tc>
      </w:tr>
      <w:tr>
        <w:tc>
          <w:tcPr>
            <w:tcW w:type="dxa" w:w="4320"/>
          </w:tcPr>
          <w:p>
            <w:r>
              <w:t>Source license</w:t>
            </w:r>
          </w:p>
        </w:tc>
        <w:tc>
          <w:tcPr>
            <w:tcW w:type="dxa" w:w="4320"/>
          </w:tcPr>
          <w:p>
            <w:r>
              <w:t>One-time or annual right to deploy the listed version</w:t>
            </w:r>
          </w:p>
        </w:tc>
      </w:tr>
      <w:tr>
        <w:tc>
          <w:tcPr>
            <w:tcW w:type="dxa" w:w="4320"/>
          </w:tcPr>
          <w:p>
            <w:r>
              <w:t>Major-version upgrades</w:t>
            </w:r>
          </w:p>
        </w:tc>
        <w:tc>
          <w:tcPr>
            <w:tcW w:type="dxa" w:w="4320"/>
          </w:tcPr>
          <w:p>
            <w:r>
              <w:t>Annual maintenance or upgrade entitlement</w:t>
            </w:r>
          </w:p>
        </w:tc>
      </w:tr>
      <w:tr>
        <w:tc>
          <w:tcPr>
            <w:tcW w:type="dxa" w:w="4320"/>
          </w:tcPr>
          <w:p>
            <w:r>
              <w:t>Deployment package</w:t>
            </w:r>
          </w:p>
        </w:tc>
        <w:tc>
          <w:tcPr>
            <w:tcW w:type="dxa" w:w="4320"/>
          </w:tcPr>
          <w:p>
            <w:r>
              <w:t>Assisted installation and environment configuration</w:t>
            </w:r>
          </w:p>
        </w:tc>
      </w:tr>
      <w:tr>
        <w:tc>
          <w:tcPr>
            <w:tcW w:type="dxa" w:w="4320"/>
          </w:tcPr>
          <w:p>
            <w:r>
              <w:t>Provider adapter</w:t>
            </w:r>
          </w:p>
        </w:tc>
        <w:tc>
          <w:tcPr>
            <w:tcW w:type="dxa" w:w="4320"/>
          </w:tcPr>
          <w:p>
            <w:r>
              <w:t>Fixed-fee integration, subject to provider contract</w:t>
            </w:r>
          </w:p>
        </w:tc>
      </w:tr>
      <w:tr>
        <w:tc>
          <w:tcPr>
            <w:tcW w:type="dxa" w:w="4320"/>
          </w:tcPr>
          <w:p>
            <w:r>
              <w:t>Managed hosting</w:t>
            </w:r>
          </w:p>
        </w:tc>
        <w:tc>
          <w:tcPr>
            <w:tcW w:type="dxa" w:w="4320"/>
          </w:tcPr>
          <w:p>
            <w:r>
              <w:t>Monthly platform fee plus usage, if seller operates it</w:t>
            </w:r>
          </w:p>
        </w:tc>
      </w:tr>
      <w:tr>
        <w:tc>
          <w:tcPr>
            <w:tcW w:type="dxa" w:w="4320"/>
          </w:tcPr>
          <w:p>
            <w:r>
              <w:t>Enterprise support</w:t>
            </w:r>
          </w:p>
        </w:tc>
        <w:tc>
          <w:tcPr>
            <w:tcW w:type="dxa" w:w="4320"/>
          </w:tcPr>
          <w:p>
            <w:r>
              <w:t>Response-time tier, security questionnaire, and onboarding</w:t>
            </w:r>
          </w:p>
        </w:tc>
      </w:tr>
      <w:tr>
        <w:tc>
          <w:tcPr>
            <w:tcW w:type="dxa" w:w="4320"/>
          </w:tcPr>
          <w:p>
            <w:r>
              <w:t>Customization</w:t>
            </w:r>
          </w:p>
        </w:tc>
        <w:tc>
          <w:tcPr>
            <w:tcW w:type="dxa" w:w="4320"/>
          </w:tcPr>
          <w:p>
            <w:r>
              <w:t>Scoped engineering work under a separate statement of work</w:t>
            </w:r>
          </w:p>
        </w:tc>
      </w:tr>
    </w:tbl>
    <w:p>
      <w:r>
        <w:t>Prices are intentionally not hard-coded in the source package. The seller should set a price only after accounting for support burden, marketplace fees, taxes, payment processing, customer acquisition, warranty obligations, and the cost of maintaining security updates.</w:t>
      </w:r>
    </w:p>
    <w:p>
      <w:pPr>
        <w:pStyle w:val="Heading2"/>
      </w:pPr>
      <w:r>
        <w:t>5. License Boundary</w:t>
      </w:r>
    </w:p>
    <w:p>
      <w:r>
        <w:t>The marketplace listing should use a proprietary commercial license or another license selected by the owner and reviewed by counsel. The source package may be licensed to the buyer while data-provider contracts remain the buyer’s responsibility. A source-code license does not automatically grant the right to resell data, credentials, provider responses, or third-party SDKs.</w:t>
      </w:r>
    </w:p>
    <w:p>
      <w:r>
        <w:t>The license should define:</w:t>
      </w:r>
    </w:p>
    <w:tbl>
      <w:tblPr>
        <w:tblStyle w:val="TableGrid"/>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Required decision</w:t>
            </w:r>
          </w:p>
        </w:tc>
      </w:tr>
      <w:tr>
        <w:tc>
          <w:tcPr>
            <w:tcW w:type="dxa" w:w="4320"/>
          </w:tcPr>
          <w:p>
            <w:r>
              <w:t>Permitted deployments</w:t>
            </w:r>
          </w:p>
        </w:tc>
        <w:tc>
          <w:tcPr>
            <w:tcW w:type="dxa" w:w="4320"/>
          </w:tcPr>
          <w:p>
            <w:r>
              <w:t>Number of environments, tenants, or production instances</w:t>
            </w:r>
          </w:p>
        </w:tc>
      </w:tr>
      <w:tr>
        <w:tc>
          <w:tcPr>
            <w:tcW w:type="dxa" w:w="4320"/>
          </w:tcPr>
          <w:p>
            <w:r>
              <w:t>Internal versus resale use</w:t>
            </w:r>
          </w:p>
        </w:tc>
        <w:tc>
          <w:tcPr>
            <w:tcW w:type="dxa" w:w="4320"/>
          </w:tcPr>
          <w:p>
            <w:r>
              <w:t>Whether the buyer may offer the API to its own customers</w:t>
            </w:r>
          </w:p>
        </w:tc>
      </w:tr>
      <w:tr>
        <w:tc>
          <w:tcPr>
            <w:tcW w:type="dxa" w:w="4320"/>
          </w:tcPr>
          <w:p>
            <w:r>
              <w:t>Source redistribution</w:t>
            </w:r>
          </w:p>
        </w:tc>
        <w:tc>
          <w:tcPr>
            <w:tcW w:type="dxa" w:w="4320"/>
          </w:tcPr>
          <w:p>
            <w:r>
              <w:t>Prohibited, permitted, or separately licensed</w:t>
            </w:r>
          </w:p>
        </w:tc>
      </w:tr>
      <w:tr>
        <w:tc>
          <w:tcPr>
            <w:tcW w:type="dxa" w:w="4320"/>
          </w:tcPr>
          <w:p>
            <w:r>
              <w:t>Modification rights</w:t>
            </w:r>
          </w:p>
        </w:tc>
        <w:tc>
          <w:tcPr>
            <w:tcW w:type="dxa" w:w="4320"/>
          </w:tcPr>
          <w:p>
            <w:r>
              <w:t>Whether modifications are allowed and whether support covers them</w:t>
            </w:r>
          </w:p>
        </w:tc>
      </w:tr>
      <w:tr>
        <w:tc>
          <w:tcPr>
            <w:tcW w:type="dxa" w:w="4320"/>
          </w:tcPr>
          <w:p>
            <w:r>
              <w:t>Updates</w:t>
            </w:r>
          </w:p>
        </w:tc>
        <w:tc>
          <w:tcPr>
            <w:tcW w:type="dxa" w:w="4320"/>
          </w:tcPr>
          <w:p>
            <w:r>
              <w:t>Included versions and duration</w:t>
            </w:r>
          </w:p>
        </w:tc>
      </w:tr>
      <w:tr>
        <w:tc>
          <w:tcPr>
            <w:tcW w:type="dxa" w:w="4320"/>
          </w:tcPr>
          <w:p>
            <w:r>
              <w:t>Support</w:t>
            </w:r>
          </w:p>
        </w:tc>
        <w:tc>
          <w:tcPr>
            <w:tcW w:type="dxa" w:w="4320"/>
          </w:tcPr>
          <w:p>
            <w:r>
              <w:t>Response target, channels, and exclusions</w:t>
            </w:r>
          </w:p>
        </w:tc>
      </w:tr>
      <w:tr>
        <w:tc>
          <w:tcPr>
            <w:tcW w:type="dxa" w:w="4320"/>
          </w:tcPr>
          <w:p>
            <w:r>
              <w:t>Warranty</w:t>
            </w:r>
          </w:p>
        </w:tc>
        <w:tc>
          <w:tcPr>
            <w:tcW w:type="dxa" w:w="4320"/>
          </w:tcPr>
          <w:p>
            <w:r>
              <w:t>Scope of warranty and disclaimer for third-party providers</w:t>
            </w:r>
          </w:p>
        </w:tc>
      </w:tr>
      <w:tr>
        <w:tc>
          <w:tcPr>
            <w:tcW w:type="dxa" w:w="4320"/>
          </w:tcPr>
          <w:p>
            <w:r>
              <w:t>Data responsibility</w:t>
            </w:r>
          </w:p>
        </w:tc>
        <w:tc>
          <w:tcPr>
            <w:tcW w:type="dxa" w:w="4320"/>
          </w:tcPr>
          <w:p>
            <w:r>
              <w:t>Buyer responsibility for lawful data, providers, and outreach</w:t>
            </w:r>
          </w:p>
        </w:tc>
      </w:tr>
      <w:tr>
        <w:tc>
          <w:tcPr>
            <w:tcW w:type="dxa" w:w="4320"/>
          </w:tcPr>
          <w:p>
            <w:r>
              <w:t>Security disclosure</w:t>
            </w:r>
          </w:p>
        </w:tc>
        <w:tc>
          <w:tcPr>
            <w:tcW w:type="dxa" w:w="4320"/>
          </w:tcPr>
          <w:p>
            <w:r>
              <w:t>Vulnerability reporting and patch expectations</w:t>
            </w:r>
          </w:p>
        </w:tc>
      </w:tr>
      <w:tr>
        <w:tc>
          <w:tcPr>
            <w:tcW w:type="dxa" w:w="4320"/>
          </w:tcPr>
          <w:p>
            <w:r>
              <w:t>Termination</w:t>
            </w:r>
          </w:p>
        </w:tc>
        <w:tc>
          <w:tcPr>
            <w:tcW w:type="dxa" w:w="4320"/>
          </w:tcPr>
          <w:p>
            <w:r>
              <w:t>License termination and deletion/disablement obligations</w:t>
            </w:r>
          </w:p>
        </w:tc>
      </w:tr>
    </w:tbl>
    <w:p>
      <w:r>
        <w:t xml:space="preserve">The completed </w:t>
      </w:r>
      <w:r>
        <w:rPr>
          <w:rFonts w:ascii="Courier New" w:hAnsi="Courier New"/>
          <w:sz w:val="18"/>
        </w:rPr>
        <w:t>COMMERCIAL_SOFTWARE_LICENSE.docx</w:t>
      </w:r>
      <w:r>
        <w:t xml:space="preserve"> states the standard non-exclusive source license and is supplied for qualified legal review before publication or sale.</w:t>
      </w:r>
    </w:p>
    <w:p>
      <w:pPr>
        <w:pStyle w:val="Heading2"/>
      </w:pPr>
      <w:r>
        <w:t>6. Buyer Onboarding Sequence</w:t>
      </w:r>
    </w:p>
    <w:p>
      <w:pPr>
        <w:pStyle w:val="ListNumber"/>
      </w:pPr>
      <w:r>
        <w:t>The buyer downloads the release archive or receives access through the marketplace.</w:t>
      </w:r>
    </w:p>
    <w:p>
      <w:pPr>
        <w:pStyle w:val="ListNumber"/>
      </w:pPr>
      <w:r>
        <w:t>The buyer reads the license, data-use boundary, and supported-version policy.</w:t>
      </w:r>
    </w:p>
    <w:p>
      <w:pPr>
        <w:pStyle w:val="ListNumber"/>
      </w:pPr>
      <w:r>
        <w:t>The buyer verifies the runtime prerequisites and checks the supplied package checksum.</w:t>
      </w:r>
    </w:p>
    <w:p>
      <w:pPr>
        <w:pStyle w:val="ListNumber"/>
      </w:pPr>
      <w:r>
        <w:t xml:space="preserve">The buyer copies </w:t>
      </w:r>
      <w:r>
        <w:rPr>
          <w:rFonts w:ascii="Courier New" w:hAnsi="Courier New"/>
          <w:sz w:val="18"/>
        </w:rPr>
        <w:t>.env.example</w:t>
      </w:r>
      <w:r>
        <w:t xml:space="preserve"> to </w:t>
      </w:r>
      <w:r>
        <w:rPr>
          <w:rFonts w:ascii="Courier New" w:hAnsi="Courier New"/>
          <w:sz w:val="18"/>
        </w:rPr>
        <w:t>.env</w:t>
      </w:r>
      <w:r>
        <w:t xml:space="preserve"> and generates development secrets.</w:t>
      </w:r>
    </w:p>
    <w:p>
      <w:pPr>
        <w:pStyle w:val="ListNumber"/>
      </w:pPr>
      <w:r>
        <w:t>The buyer starts the API in SQLite mode or starts PostgreSQL and Redis through Docker Compose.</w:t>
      </w:r>
    </w:p>
    <w:p>
      <w:pPr>
        <w:pStyle w:val="ListNumber"/>
      </w:pPr>
      <w:r>
        <w:t>The buyer runs the automated test suite and smoke test.</w:t>
      </w:r>
    </w:p>
    <w:p>
      <w:pPr>
        <w:pStyle w:val="ListNumber"/>
      </w:pPr>
      <w:r>
        <w:t>The buyer creates a development tenant and test API key.</w:t>
      </w:r>
    </w:p>
    <w:p>
      <w:pPr>
        <w:pStyle w:val="ListNumber"/>
      </w:pPr>
      <w:r>
        <w:t>The buyer calls the synthetic search endpoint and verifies Swagger UI, usage, credits, and key revocation.</w:t>
      </w:r>
    </w:p>
    <w:p>
      <w:pPr>
        <w:pStyle w:val="ListNumber"/>
      </w:pPr>
      <w:r>
        <w:t>The buyer configures a staging deployment with separate secrets and credentials.</w:t>
      </w:r>
    </w:p>
    <w:p>
      <w:pPr>
        <w:pStyle w:val="ListNumber"/>
      </w:pPr>
      <w:r>
        <w:t>Before production, the buyer adds a licensed provider adapter, review of lawful use, retention, suppression, backups, monitoring, and a production Redis backend.</w:t>
      </w:r>
    </w:p>
    <w:p>
      <w:r>
        <w:t>The seller should provide a support intake form that requests version, deployment mode, logs with secrets removed, request ID, endpoint, environment, and reproducible steps. The seller should not request buyer passwords or raw production API keys.</w:t>
      </w:r>
    </w:p>
    <w:p>
      <w:pPr>
        <w:pStyle w:val="Heading2"/>
      </w:pPr>
      <w:r>
        <w:t>7. Marketplace Delivery Contents</w:t>
      </w:r>
    </w:p>
    <w:p>
      <w:r>
        <w:t>The release archive should contain:</w:t>
      </w:r>
    </w:p>
    <w:p>
      <w:pPr>
        <w:pStyle w:val="NoSpacing"/>
        <w:ind w:left="432" w:right="432"/>
      </w:pPr>
      <w:r>
        <w:rPr>
          <w:rFonts w:ascii="Courier New" w:hAnsi="Courier New"/>
          <w:sz w:val="17"/>
        </w:rPr>
        <w:t>lead-generation-api/</w:t>
        <w:br/>
        <w:t>├── app/</w:t>
        <w:br/>
        <w:t>├── tests/</w:t>
        <w:br/>
        <w:t>├── scripts/</w:t>
        <w:br/>
        <w:t>├── README.docx</w:t>
        <w:br/>
        <w:t>├── DEPLOYMENT_SETUP.docx</w:t>
        <w:br/>
        <w:t>├── MARKETPLACE_RELEASE_GUIDE.docx</w:t>
        <w:br/>
        <w:t>├── COMMERCIAL_SOFTWARE_LICENSE.docx</w:t>
        <w:br/>
        <w:t>├── requirements.txt</w:t>
        <w:br/>
        <w:t>├── pyproject.toml</w:t>
        <w:br/>
        <w:t>├── Dockerfile</w:t>
        <w:br/>
        <w:t>├── docker-compose.yml</w:t>
        <w:br/>
        <w:t>├── .env.example</w:t>
        <w:br/>
        <w:t>├── openapi.yaml</w:t>
        <w:br/>
        <w:t>├── checksums.sha256</w:t>
        <w:br/>
        <w:t>├── RELEASE_NOTES.docx</w:t>
      </w:r>
    </w:p>
    <w:p>
      <w:r>
        <w:t xml:space="preserve">The archive must not contain </w:t>
      </w:r>
      <w:r>
        <w:rPr>
          <w:rFonts w:ascii="Courier New" w:hAnsi="Courier New"/>
          <w:sz w:val="18"/>
        </w:rPr>
        <w:t>.env</w:t>
      </w:r>
      <w:r>
        <w:t>, production credentials, real lead data, customer datasets, provider secrets, private signing keys, test database files, or internal support notes.</w:t>
      </w:r>
    </w:p>
    <w:p>
      <w:pPr>
        <w:pStyle w:val="Heading2"/>
      </w:pPr>
      <w:r>
        <w:t>8. Support Policy</w:t>
      </w:r>
    </w:p>
    <w:p>
      <w:r>
        <w:t>Support is limited to the listed version, documented operating systems and deployment modes, reproducible defects in included code, and documented configuration. Provider outages, provider contract changes, buyer modifications, customer data quality, legal compliance, customer outreach, and third-party infrastructure are outside the base source-license warranty unless an upgrade or support contract says otherwise.</w:t>
      </w:r>
    </w:p>
    <w:p>
      <w:pPr>
        <w:pStyle w:val="Heading2"/>
      </w:pPr>
      <w:r>
        <w:t>9. Release Acceptance Checklist</w:t>
      </w:r>
    </w:p>
    <w:tbl>
      <w:tblPr>
        <w:tblStyle w:val="TableGrid"/>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Required evidence</w:t>
            </w:r>
          </w:p>
        </w:tc>
      </w:tr>
      <w:tr>
        <w:tc>
          <w:tcPr>
            <w:tcW w:type="dxa" w:w="4320"/>
          </w:tcPr>
          <w:p>
            <w:r>
              <w:t>Build</w:t>
            </w:r>
          </w:p>
        </w:tc>
        <w:tc>
          <w:tcPr>
            <w:tcW w:type="dxa" w:w="4320"/>
          </w:tcPr>
          <w:p>
            <w:r>
              <w:t>Clean package built from a tagged source revision</w:t>
            </w:r>
          </w:p>
        </w:tc>
      </w:tr>
      <w:tr>
        <w:tc>
          <w:tcPr>
            <w:tcW w:type="dxa" w:w="4320"/>
          </w:tcPr>
          <w:p>
            <w:r>
              <w:t>Tests</w:t>
            </w:r>
          </w:p>
        </w:tc>
        <w:tc>
          <w:tcPr>
            <w:tcW w:type="dxa" w:w="4320"/>
          </w:tcPr>
          <w:p>
            <w:r>
              <w:t>Automated tests and smoke test pass</w:t>
            </w:r>
          </w:p>
        </w:tc>
      </w:tr>
      <w:tr>
        <w:tc>
          <w:tcPr>
            <w:tcW w:type="dxa" w:w="4320"/>
          </w:tcPr>
          <w:p>
            <w:r>
              <w:t>Security</w:t>
            </w:r>
          </w:p>
        </w:tc>
        <w:tc>
          <w:tcPr>
            <w:tcW w:type="dxa" w:w="4320"/>
          </w:tcPr>
          <w:p>
            <w:r>
              <w:t>No secrets, raw data, or unsafe defaults in release archive</w:t>
            </w:r>
          </w:p>
        </w:tc>
      </w:tr>
      <w:tr>
        <w:tc>
          <w:tcPr>
            <w:tcW w:type="dxa" w:w="4320"/>
          </w:tcPr>
          <w:p>
            <w:r>
              <w:t>Documentation</w:t>
            </w:r>
          </w:p>
        </w:tc>
        <w:tc>
          <w:tcPr>
            <w:tcW w:type="dxa" w:w="4320"/>
          </w:tcPr>
          <w:p>
            <w:r>
              <w:t>README, deployment guide, API contract, license boundary, and limitations included</w:t>
            </w:r>
          </w:p>
        </w:tc>
      </w:tr>
      <w:tr>
        <w:tc>
          <w:tcPr>
            <w:tcW w:type="dxa" w:w="4320"/>
          </w:tcPr>
          <w:p>
            <w:r>
              <w:t>Metadata</w:t>
            </w:r>
          </w:p>
        </w:tc>
        <w:tc>
          <w:tcPr>
            <w:tcW w:type="dxa" w:w="4320"/>
          </w:tcPr>
          <w:p>
            <w:r>
              <w:t>Version, author, changelog, checksum, and support contact present</w:t>
            </w:r>
          </w:p>
        </w:tc>
      </w:tr>
      <w:tr>
        <w:tc>
          <w:tcPr>
            <w:tcW w:type="dxa" w:w="4320"/>
          </w:tcPr>
          <w:p>
            <w:r>
              <w:t>Demo</w:t>
            </w:r>
          </w:p>
        </w:tc>
        <w:tc>
          <w:tcPr>
            <w:tcW w:type="dxa" w:w="4320"/>
          </w:tcPr>
          <w:p>
            <w:r>
              <w:t>Synthetic provider clearly labeled and deterministic</w:t>
            </w:r>
          </w:p>
        </w:tc>
      </w:tr>
      <w:tr>
        <w:tc>
          <w:tcPr>
            <w:tcW w:type="dxa" w:w="4320"/>
          </w:tcPr>
          <w:p>
            <w:r>
              <w:t>Licensing</w:t>
            </w:r>
          </w:p>
        </w:tc>
        <w:tc>
          <w:tcPr>
            <w:tcW w:type="dxa" w:w="4320"/>
          </w:tcPr>
          <w:p>
            <w:r>
              <w:t>Third-party dependencies reviewed and license notices included</w:t>
            </w:r>
          </w:p>
        </w:tc>
      </w:tr>
      <w:tr>
        <w:tc>
          <w:tcPr>
            <w:tcW w:type="dxa" w:w="4320"/>
          </w:tcPr>
          <w:p>
            <w:r>
              <w:t>Marketplace</w:t>
            </w:r>
          </w:p>
        </w:tc>
        <w:tc>
          <w:tcPr>
            <w:tcW w:type="dxa" w:w="4320"/>
          </w:tcPr>
          <w:p>
            <w:r>
              <w:t>Listing text matches included capabilities and exclusions</w:t>
            </w:r>
          </w:p>
        </w:tc>
      </w:tr>
      <w:tr>
        <w:tc>
          <w:tcPr>
            <w:tcW w:type="dxa" w:w="4320"/>
          </w:tcPr>
          <w:p>
            <w:r>
              <w:t>Operations</w:t>
            </w:r>
          </w:p>
        </w:tc>
        <w:tc>
          <w:tcPr>
            <w:tcW w:type="dxa" w:w="4320"/>
          </w:tcPr>
          <w:p>
            <w:r>
              <w:t>Production limitations and upgrade path disclosed</w:t>
            </w:r>
          </w:p>
        </w:tc>
      </w:tr>
    </w:tbl>
    <w:p>
      <w:pPr>
        <w:pStyle w:val="Heading2"/>
      </w:pPr>
      <w:r>
        <w:t>10. References</w:t>
      </w:r>
    </w:p>
    <w:p>
      <w:r>
        <w:t>[1]: https://datatracker.ietf.org/doc/rfc9700/ "RFC 9700 — Best Current Practice for OAuth 2.0 Security" [2]: https://eur-lex.europa.eu/eli/reg/2016/679/oj/eng "Regulation (EU) 2016/679 — GDPR, EUR-Lex" [3]: https://oag.ca.gov/privacy/ccpa "California Attorney General — CCPA"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RELEASE GUIDE</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