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Handoff — Lead Generation API Platform</w:t>
      </w:r>
    </w:p>
    <w:p>
      <w:r>
        <w:rPr>
          <w:b/>
        </w:rPr>
        <w:t>Release:</w:t>
      </w:r>
      <w:r>
        <w:t xml:space="preserve"> 0.1.0 </w:t>
      </w:r>
      <w:r>
        <w:rPr>
          <w:b/>
        </w:rPr>
        <w:t>Owner:</w:t>
      </w:r>
      <w:r>
        <w:t xml:space="preserve"> Sadeq Obaid </w:t>
      </w:r>
      <w:r>
        <w:rPr>
          <w:b/>
        </w:rPr>
        <w:t>Distribution model:</w:t>
      </w:r>
      <w:r>
        <w:t xml:space="preserve"> Non-exclusive self-hosted source license</w:t>
      </w:r>
    </w:p>
    <w:p>
      <w:pPr>
        <w:pStyle w:val="Heading2"/>
      </w:pPr>
      <w:r>
        <w:t>Executive status</w:t>
      </w:r>
    </w:p>
    <w:p>
      <w:r>
        <w:t xml:space="preserve">The release is now a </w:t>
      </w:r>
      <w:r>
        <w:rPr>
          <w:b/>
        </w:rPr>
        <w:t>production-oriented self-hosted source baseline</w:t>
      </w:r>
      <w:r>
        <w:t>. It is suitable for marketplace distribution as a documented source package and for controlled staging deployment. It is not a universally production-certified hosted service because provider contracts, payment-processor integration, target infrastructure, independent security review, and legal/privacy review are deployment-specific.</w:t>
      </w:r>
    </w:p>
    <w:p>
      <w:pPr>
        <w:pStyle w:val="Heading2"/>
      </w:pPr>
      <w:r>
        <w:t>Implemented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Versioned migrations</w:t>
            </w:r>
          </w:p>
        </w:tc>
        <w:tc>
          <w:tcPr>
            <w:tcW w:type="dxa" w:w="2880"/>
          </w:tcPr>
          <w:p>
            <w:r>
              <w:t>alembic/, scripts/migrate.py, scripts/check_migrations.py</w:t>
            </w:r>
          </w:p>
        </w:tc>
        <w:tc>
          <w:tcPr>
            <w:tcW w:type="dxa" w:w="2880"/>
          </w:tcPr>
          <w:p>
            <w:r>
              <w:t>Controlled schema lifecycle without production create_all()</w:t>
            </w:r>
          </w:p>
        </w:tc>
      </w:tr>
      <w:tr>
        <w:tc>
          <w:tcPr>
            <w:tcW w:type="dxa" w:w="2880"/>
          </w:tcPr>
          <w:p>
            <w:r>
              <w:t>Atomic shared idempotency</w:t>
            </w:r>
          </w:p>
        </w:tc>
        <w:tc>
          <w:tcPr>
            <w:tcW w:type="dxa" w:w="2880"/>
          </w:tcPr>
          <w:p>
            <w:r>
              <w:t>app/idempotency.py</w:t>
            </w:r>
          </w:p>
        </w:tc>
        <w:tc>
          <w:tcPr>
            <w:tcW w:type="dxa" w:w="2880"/>
          </w:tcPr>
          <w:p>
            <w:r>
              <w:t>Prevent duplicate work across API replicas and detect payload conflicts</w:t>
            </w:r>
          </w:p>
        </w:tc>
      </w:tr>
      <w:tr>
        <w:tc>
          <w:tcPr>
            <w:tcW w:type="dxa" w:w="2880"/>
          </w:tcPr>
          <w:p>
            <w:r>
              <w:t>Atomic shared rate limits</w:t>
            </w:r>
          </w:p>
        </w:tc>
        <w:tc>
          <w:tcPr>
            <w:tcW w:type="dxa" w:w="2880"/>
          </w:tcPr>
          <w:p>
            <w:r>
              <w:t>app/rate_limit.py</w:t>
            </w:r>
          </w:p>
        </w:tc>
        <w:tc>
          <w:tcPr>
            <w:tcW w:type="dxa" w:w="2880"/>
          </w:tcPr>
          <w:p>
            <w:r>
              <w:t>Redis Lua sliding-window decision shared across replicas</w:t>
            </w:r>
          </w:p>
        </w:tc>
      </w:tr>
      <w:tr>
        <w:tc>
          <w:tcPr>
            <w:tcW w:type="dxa" w:w="2880"/>
          </w:tcPr>
          <w:p>
            <w:r>
              <w:t>Real worker queue</w:t>
            </w:r>
          </w:p>
        </w:tc>
        <w:tc>
          <w:tcPr>
            <w:tcW w:type="dxa" w:w="2880"/>
          </w:tcPr>
          <w:p>
            <w:r>
              <w:t>app/queue.py, app/jobs.py, scripts/worker.py</w:t>
            </w:r>
          </w:p>
        </w:tc>
        <w:tc>
          <w:tcPr>
            <w:tcW w:type="dxa" w:w="2880"/>
          </w:tcPr>
          <w:p>
            <w:r>
              <w:t>Redis Streams consumer group, pending recovery, durable job state, bounded retries</w:t>
            </w:r>
          </w:p>
        </w:tc>
      </w:tr>
      <w:tr>
        <w:tc>
          <w:tcPr>
            <w:tcW w:type="dxa" w:w="2880"/>
          </w:tcPr>
          <w:p>
            <w:r>
              <w:t>Credit integrity</w:t>
            </w:r>
          </w:p>
        </w:tc>
        <w:tc>
          <w:tcPr>
            <w:tcW w:type="dxa" w:w="2880"/>
          </w:tcPr>
          <w:p>
            <w:r>
              <w:t>app/search_service.py, CreditLedger</w:t>
            </w:r>
          </w:p>
        </w:tc>
        <w:tc>
          <w:tcPr>
            <w:tcW w:type="dxa" w:w="2880"/>
          </w:tcPr>
          <w:p>
            <w:r>
              <w:t>Row lock and immutable debit/grant history</w:t>
            </w:r>
          </w:p>
        </w:tc>
      </w:tr>
      <w:tr>
        <w:tc>
          <w:tcPr>
            <w:tcW w:type="dxa" w:w="2880"/>
          </w:tcPr>
          <w:p>
            <w:r>
              <w:t>Billing primitive</w:t>
            </w:r>
          </w:p>
        </w:tc>
        <w:tc>
          <w:tcPr>
            <w:tcW w:type="dxa" w:w="2880"/>
          </w:tcPr>
          <w:p>
            <w:r>
              <w:t>BillingEvent, /api/v1/billing/webhook</w:t>
            </w:r>
          </w:p>
        </w:tc>
        <w:tc>
          <w:tcPr>
            <w:tcW w:type="dxa" w:w="2880"/>
          </w:tcPr>
          <w:p>
            <w:r>
              <w:t>HMAC verification and exactly-once event handling</w:t>
            </w:r>
          </w:p>
        </w:tc>
      </w:tr>
      <w:tr>
        <w:tc>
          <w:tcPr>
            <w:tcW w:type="dxa" w:w="2880"/>
          </w:tcPr>
          <w:p>
            <w:r>
              <w:t>Provider boundary</w:t>
            </w:r>
          </w:p>
        </w:tc>
        <w:tc>
          <w:tcPr>
            <w:tcW w:type="dxa" w:w="2880"/>
          </w:tcPr>
          <w:p>
            <w:r>
              <w:t>app/providers.py</w:t>
            </w:r>
          </w:p>
        </w:tc>
        <w:tc>
          <w:tcPr>
            <w:tcW w:type="dxa" w:w="2880"/>
          </w:tcPr>
          <w:p>
            <w:r>
              <w:t>Synthetic development provider and strict generic HTTP adapter</w:t>
            </w:r>
          </w:p>
        </w:tc>
      </w:tr>
      <w:tr>
        <w:tc>
          <w:tcPr>
            <w:tcW w:type="dxa" w:w="2880"/>
          </w:tcPr>
          <w:p>
            <w:r>
              <w:t>Privacy primitives</w:t>
            </w:r>
          </w:p>
        </w:tc>
        <w:tc>
          <w:tcPr>
            <w:tcW w:type="dxa" w:w="2880"/>
          </w:tcPr>
          <w:p>
            <w:r>
              <w:t>app/privacy.py, privacy routes, suppression model</w:t>
            </w:r>
          </w:p>
        </w:tc>
        <w:tc>
          <w:tcPr>
            <w:tcW w:type="dxa" w:w="2880"/>
          </w:tcPr>
          <w:p>
            <w:r>
              <w:t>Hashed identifiers, suppression filtering, auditable request records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request IDs, logs, /metrics</w:t>
            </w:r>
          </w:p>
        </w:tc>
        <w:tc>
          <w:tcPr>
            <w:tcW w:type="dxa" w:w="2880"/>
          </w:tcPr>
          <w:p>
            <w:r>
              <w:t>Correlated failure investigation and basic metrics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backup/restore scripts and runbook</w:t>
            </w:r>
          </w:p>
        </w:tc>
        <w:tc>
          <w:tcPr>
            <w:tcW w:type="dxa" w:w="2880"/>
          </w:tcPr>
          <w:p>
            <w:r>
              <w:t>PostgreSQL backup, checksum, guarded restore workflow</w:t>
            </w:r>
          </w:p>
        </w:tc>
      </w:tr>
      <w:tr>
        <w:tc>
          <w:tcPr>
            <w:tcW w:type="dxa" w:w="2880"/>
          </w:tcPr>
          <w:p>
            <w:r>
              <w:t>Script documentation</w:t>
            </w:r>
          </w:p>
        </w:tc>
        <w:tc>
          <w:tcPr>
            <w:tcW w:type="dxa" w:w="2880"/>
          </w:tcPr>
          <w:p>
            <w:r>
              <w:t>scripts/README.docx and inline docstrings/comments</w:t>
            </w:r>
          </w:p>
        </w:tc>
        <w:tc>
          <w:tcPr>
            <w:tcW w:type="dxa" w:w="2880"/>
          </w:tcPr>
          <w:p>
            <w:r>
              <w:t>Usage, environment variables, safety boundaries, and operator behavior</w:t>
            </w:r>
          </w:p>
        </w:tc>
      </w:tr>
    </w:tbl>
    <w:p>
      <w:pPr>
        <w:pStyle w:val="Heading2"/>
      </w:pPr>
      <w:r>
        <w:t>Verified in the sandbox</w:t>
      </w:r>
    </w:p>
    <w:p>
      <w:r>
        <w:t xml:space="preserve">The final package passed Python compilation, 22 automated tests, shell syntax checks, clean SQLite Alembic migration through revision </w:t>
      </w:r>
      <w:r>
        <w:rPr>
          <w:rFonts w:ascii="Courier New" w:hAnsi="Courier New"/>
          <w:sz w:val="18"/>
        </w:rPr>
        <w:t>804d98c2b4d6</w:t>
      </w:r>
      <w:r>
        <w:t xml:space="preserve">, migration-head verification, a live HTTP smoke test including idempotent replay, ZIP integrity, SHA-256 verification, and a scan confirming that </w:t>
      </w:r>
      <w:r>
        <w:rPr>
          <w:rFonts w:ascii="Courier New" w:hAnsi="Courier New"/>
          <w:sz w:val="18"/>
        </w:rPr>
        <w:t>.env</w:t>
      </w:r>
      <w:r>
        <w:t>, database, SQLite, dump, and backup artifacts were not packaged.</w:t>
      </w:r>
    </w:p>
    <w:p>
      <w:r>
        <w:t>Docker, PostgreSQL, and Redis were unavailable in the sandbox. The target operator must run those integration checks in staging before serving paying customers.</w:t>
      </w:r>
    </w:p>
    <w:p>
      <w:pPr>
        <w:pStyle w:val="Heading2"/>
      </w:pPr>
      <w:r>
        <w:t>First staging deployment</w:t>
      </w:r>
    </w:p>
    <w:p>
      <w:pPr>
        <w:pStyle w:val="ListNumber"/>
      </w:pPr>
      <w:r>
        <w:t xml:space="preserve">Copy </w:t>
      </w:r>
      <w:r>
        <w:rPr>
          <w:rFonts w:ascii="Courier New" w:hAnsi="Courier New"/>
          <w:sz w:val="18"/>
        </w:rPr>
        <w:t>.env.example</w:t>
      </w:r>
      <w:r>
        <w:t xml:space="preserve"> to a protected deployment configuration and set </w:t>
      </w:r>
      <w:r>
        <w:rPr>
          <w:rFonts w:ascii="Courier New" w:hAnsi="Courier New"/>
          <w:sz w:val="18"/>
        </w:rPr>
        <w:t>APP_ENV=production</w:t>
      </w:r>
      <w:r>
        <w:t>, strong secrets, PostgreSQL, Redis, metrics token, billing webhook secret, and the approved provider settings.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  <w:sz w:val="18"/>
        </w:rPr>
        <w:t>AUTO_CREATE_SCHEMA=false</w:t>
      </w:r>
      <w:r>
        <w:t xml:space="preserve">, </w:t>
      </w:r>
      <w:r>
        <w:rPr>
          <w:rFonts w:ascii="Courier New" w:hAnsi="Courier New"/>
          <w:sz w:val="18"/>
        </w:rPr>
        <w:t>RATE_LIMIT_BACKEND=redis</w:t>
      </w:r>
      <w:r>
        <w:t xml:space="preserve">, </w:t>
      </w:r>
      <w:r>
        <w:rPr>
          <w:rFonts w:ascii="Courier New" w:hAnsi="Courier New"/>
          <w:sz w:val="18"/>
        </w:rPr>
        <w:t>IDEMPOTENCY_BACKEND=redis</w:t>
      </w:r>
      <w:r>
        <w:t xml:space="preserve">, and </w:t>
      </w:r>
      <w:r>
        <w:rPr>
          <w:rFonts w:ascii="Courier New" w:hAnsi="Courier New"/>
          <w:sz w:val="18"/>
        </w:rPr>
        <w:t>QUEUE_BACKEND=redis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18"/>
        </w:rPr>
        <w:t>python scripts/migrate.py</w:t>
      </w:r>
      <w:r>
        <w:t xml:space="preserve"> once, then </w:t>
      </w:r>
      <w:r>
        <w:rPr>
          <w:rFonts w:ascii="Courier New" w:hAnsi="Courier New"/>
          <w:sz w:val="18"/>
        </w:rPr>
        <w:t>python scripts/check_migrations.py</w:t>
      </w:r>
      <w:r>
        <w:t>.</w:t>
      </w:r>
    </w:p>
    <w:p>
      <w:pPr>
        <w:pStyle w:val="ListNumber"/>
      </w:pPr>
      <w:r>
        <w:t xml:space="preserve">Start API replicas and worker replicas as separate processes. Use a unique </w:t>
      </w:r>
      <w:r>
        <w:rPr>
          <w:rFonts w:ascii="Courier New" w:hAnsi="Courier New"/>
          <w:sz w:val="18"/>
        </w:rPr>
        <w:t>QUEUE_CONSUMER</w:t>
      </w:r>
      <w:r>
        <w:t xml:space="preserve"> per worker.</w:t>
      </w:r>
    </w:p>
    <w:p>
      <w:pPr>
        <w:pStyle w:val="ListNumber"/>
      </w:pPr>
      <w:r>
        <w:t>Put the API behind HTTPS and keep PostgreSQL/Redis private.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18"/>
        </w:rPr>
        <w:t>BASE_URL=https://staging.example.com python scripts/smoke_test.py</w:t>
      </w:r>
      <w:r>
        <w:t>.</w:t>
      </w:r>
    </w:p>
    <w:p>
      <w:pPr>
        <w:pStyle w:val="ListNumber"/>
      </w:pPr>
      <w:r>
        <w:t>Test provider responses, suppression, privacy requests, billing duplicate delivery, rate-limit behavior, worker retries, metrics authentication, backup, restore, and migration rollback procedures.</w:t>
      </w:r>
    </w:p>
    <w:p>
      <w:pPr>
        <w:pStyle w:val="Heading2"/>
      </w:pPr>
      <w:r>
        <w:t>Marketplace claims</w:t>
      </w:r>
    </w:p>
    <w:p>
      <w:r>
        <w:t xml:space="preserve">Use the product description </w:t>
      </w:r>
      <w:r>
        <w:rPr>
          <w:b/>
        </w:rPr>
        <w:t>“Production-oriented self-hosted source baseline”</w:t>
      </w:r>
      <w:r>
        <w:t>. Do not promise real lead data, data accuracy, provider rights, legal compliance, penetration-test completion, disaster-recovery objectives, a hosted endpoint, payment-provider certification, or customer-facing resale rights unless those rights are separately delivered in writing.</w:t>
      </w:r>
    </w:p>
    <w:p>
      <w:r>
        <w:t>The seller retains ownership and may license the same release to multiple customers and marketplaces. Standard buyers receive a non-exclusive license; source redistribution, white-label hosting, and customer-facing resale require a separate written addendum.</w:t>
      </w:r>
    </w:p>
    <w:p>
      <w:pPr>
        <w:pStyle w:val="Heading2"/>
      </w:pPr>
      <w:r>
        <w:t>Required evidence before hosted sales</w:t>
      </w:r>
    </w:p>
    <w:p>
      <w:r>
        <w:t>Maintain a deployment evidence folder containing the provider contract, privacy/data-flow review, payment processor integration test, image/dependency scan, migration output, staging smoke output, load-test report, security review, backup/restore record, alert test, incident drill, and final legal-approved customer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HANDOFF</dc:title>
  <dc:subject>Lead Generation API Platform 0.1.0</dc:subject>
  <dc:creator>Sadeq Obaid</dc:creator>
  <cp:keywords>Lead Generation API, Sadeq Obaid, commercial software</cp:keywords>
  <dc:description>generated by python-docx</dc:description>
  <cp:lastModifiedBy>Sadeq Obaid</cp:lastModifiedBy>
  <cp:revision>1</cp:revision>
  <dcterms:created xsi:type="dcterms:W3CDTF">2013-12-23T23:15:00Z</dcterms:created>
  <dcterms:modified xsi:type="dcterms:W3CDTF">2013-12-23T23:15:00Z</dcterms:modified>
  <cp:category/>
</cp:coreProperties>
</file>