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Policy</w:t>
      </w:r>
    </w:p>
    <w:p>
      <w:r>
        <w:rPr>
          <w:b/>
        </w:rPr>
        <w:t>Product:</w:t>
      </w:r>
      <w:r>
        <w:t xml:space="preserve"> Lead Generation API Platform </w:t>
      </w:r>
      <w:r>
        <w:rPr>
          <w:b/>
        </w:rPr>
        <w:t>Release:</w:t>
      </w:r>
      <w:r>
        <w:t xml:space="preserve"> 0.1.0 </w:t>
      </w:r>
      <w:r>
        <w:rPr>
          <w:b/>
        </w:rPr>
        <w:t>Owner:</w:t>
      </w:r>
      <w:r>
        <w:t xml:space="preserve"> Sadeq Obaid</w:t>
      </w:r>
    </w:p>
    <w:p>
      <w:pPr>
        <w:pStyle w:val="Heading2"/>
      </w:pPr>
      <w:r>
        <w:t>Scope</w:t>
      </w:r>
    </w:p>
    <w:p>
      <w:r>
        <w:t>This policy covers the included source release, its documented deployment configuration, and reproducible defects in the unmodified package. It does not certify a customer deployment, third-party provider, hosting platform, customer dataset, outreach workflow, or legal compliance program.</w:t>
      </w:r>
    </w:p>
    <w:p>
      <w:pPr>
        <w:pStyle w:val="Heading2"/>
      </w:pPr>
      <w:r>
        <w:t>Reporting a suspected vulnerability</w:t>
      </w:r>
    </w:p>
    <w:p>
      <w:r>
        <w:t>Report suspected vulnerabilities privately to the security contact designated in the applicable order form. Include the release version, deployment mode, affected component, impact, sanitized reproduction steps, and a safe contact method. Do not include passwords, raw API keys, JWTs, provider credentials, customer data, or personal data.</w:t>
      </w:r>
    </w:p>
    <w:p>
      <w:r>
        <w:t>The seller will acknowledge a report, assess severity, coordinate a fix or mitigation, and communicate a supported remediation path. Do not publicly disclose a vulnerability before the parties have had a reasonable opportunity to assess and remediate it.</w:t>
      </w:r>
    </w:p>
    <w:p>
      <w:pPr>
        <w:pStyle w:val="Heading2"/>
      </w:pPr>
      <w:r>
        <w:t>Deployment controls</w:t>
      </w:r>
    </w:p>
    <w:p>
      <w:r>
        <w:t>Production deployments must use strong secret-manager-injected values, PostgreSQL, Redis-backed rate limiting and idempotency, explicit Alembic migrations, HTTPS at the public edge, private database/Redis networking, restricted CORS, least-privilege infrastructure credentials, encrypted backups, tested restoration, monitoring, and a documented incident process.</w:t>
      </w:r>
    </w:p>
    <w:p>
      <w:r>
        <w:t>The included synthetic provider is intended for development. A real provider must be approved, contractually licensed, and configured with privacy, retention, suppression, deletion, provenance, and outreach controls appropriate to the deployment.</w:t>
      </w:r>
    </w:p>
    <w:p>
      <w:pPr>
        <w:pStyle w:val="Heading2"/>
      </w:pPr>
      <w:r>
        <w:t>Secret handling</w:t>
      </w:r>
    </w:p>
    <w:p>
      <w:r>
        <w:t xml:space="preserve">Never commit </w:t>
      </w:r>
      <w:r>
        <w:rPr>
          <w:rFonts w:ascii="Courier New" w:hAnsi="Courier New"/>
          <w:sz w:val="18"/>
        </w:rPr>
        <w:t>.env</w:t>
      </w:r>
      <w:r>
        <w:t>, database files, signing keys, API-key secrets, provider credentials, payment credentials, backup files, or customer datasets. API-key secrets are shown once by the API; rotate and revoke keys when exposure is suspected. Rotate JWT signing secrets only with a planned token invalidation and customer communication procedure.</w:t>
      </w:r>
    </w:p>
    <w:p>
      <w:pPr>
        <w:pStyle w:val="Heading2"/>
      </w:pPr>
      <w:r>
        <w:t>Security review boundary</w:t>
      </w:r>
    </w:p>
    <w:p>
      <w:r>
        <w:t>Independent penetration testing, dependency vulnerability scanning, threat modeling, code review, load testing, backup restoration, and provider/legal review remain required before a hosted service is advertised as production-ready. The seller should preserve evidence of each completed gate and publish only claims supported by that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</dc:title>
  <dc:subject>Lead Generation API Platform 0.1.0</dc:subject>
  <dc:creator>Sadeq Obaid</dc:creator>
  <cp:keywords>Lead Generation API, Sadeq Obaid, commercial software</cp:keywords>
  <dc:description>generated by python-docx</dc:description>
  <cp:lastModifiedBy>Sadeq Obaid</cp:lastModifiedBy>
  <cp:revision>1</cp:revision>
  <dcterms:created xsi:type="dcterms:W3CDTF">2013-12-23T23:15:00Z</dcterms:created>
  <dcterms:modified xsi:type="dcterms:W3CDTF">2013-12-23T23:15:00Z</dcterms:modified>
  <cp:category/>
</cp:coreProperties>
</file>