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Zyla Hosted Edition Deployment Runbook</w:t>
      </w:r>
    </w:p>
    <w:p>
      <w:pPr>
        <w:pStyle w:val="Heading2"/>
      </w:pPr>
      <w:r>
        <w:t>Purpose</w:t>
      </w:r>
    </w:p>
    <w:p>
      <w:r>
        <w:t xml:space="preserve">This runbook describes how to deploy the hosted API edition owned by </w:t>
      </w:r>
      <w:r>
        <w:rPr>
          <w:b/>
        </w:rPr>
        <w:t>Sadeq Obaid</w:t>
      </w:r>
      <w:r>
        <w:t xml:space="preserve"> before submitting it to Zyla API Hub. It is a deployment guide, not a certification that the service is production-ready in every environment. The operator remains responsible for infrastructure, provider contracts, security review, privacy obligations, support, and operational decisions.</w:t>
      </w:r>
    </w:p>
    <w:p>
      <w:pPr>
        <w:pStyle w:val="Heading2"/>
      </w:pPr>
      <w:r>
        <w:t>Required production components</w:t>
      </w:r>
    </w:p>
    <w:p>
      <w:r>
        <w:t>The hosted edition requires a public HTTPS service and the following components: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Required purpose</w:t>
            </w:r>
          </w:p>
        </w:tc>
      </w:tr>
      <w:tr>
        <w:tc>
          <w:tcPr>
            <w:tcW w:type="dxa" w:w="4320"/>
          </w:tcPr>
          <w:p>
            <w:r>
              <w:t>Public HTTPS application URL</w:t>
            </w:r>
          </w:p>
        </w:tc>
        <w:tc>
          <w:tcPr>
            <w:tcW w:type="dxa" w:w="4320"/>
          </w:tcPr>
          <w:p>
            <w:r>
              <w:t>Allows Zyla to test and monitor the API endpoint</w:t>
            </w:r>
          </w:p>
        </w:tc>
      </w:tr>
      <w:tr>
        <w:tc>
          <w:tcPr>
            <w:tcW w:type="dxa" w:w="4320"/>
          </w:tcPr>
          <w:p>
            <w:r>
              <w:t>PostgreSQL</w:t>
            </w:r>
          </w:p>
        </w:tc>
        <w:tc>
          <w:tcPr>
            <w:tcW w:type="dxa" w:w="4320"/>
          </w:tcPr>
          <w:p>
            <w:r>
              <w:t>Durable production database and transaction locking</w:t>
            </w:r>
          </w:p>
        </w:tc>
      </w:tr>
      <w:tr>
        <w:tc>
          <w:tcPr>
            <w:tcW w:type="dxa" w:w="4320"/>
          </w:tcPr>
          <w:p>
            <w:r>
              <w:t>Redis</w:t>
            </w:r>
          </w:p>
        </w:tc>
        <w:tc>
          <w:tcPr>
            <w:tcW w:type="dxa" w:w="4320"/>
          </w:tcPr>
          <w:p>
            <w:r>
              <w:t>Shared rate limiting, idempotency, and queue coordination</w:t>
            </w:r>
          </w:p>
        </w:tc>
      </w:tr>
      <w:tr>
        <w:tc>
          <w:tcPr>
            <w:tcW w:type="dxa" w:w="4320"/>
          </w:tcPr>
          <w:p>
            <w:r>
              <w:t>Licensed lead-data provider</w:t>
            </w:r>
          </w:p>
        </w:tc>
        <w:tc>
          <w:tcPr>
            <w:tcW w:type="dxa" w:w="4320"/>
          </w:tcPr>
          <w:p>
            <w:r>
              <w:t>Supplies the records returned by the API</w:t>
            </w:r>
          </w:p>
        </w:tc>
      </w:tr>
      <w:tr>
        <w:tc>
          <w:tcPr>
            <w:tcW w:type="dxa" w:w="4320"/>
          </w:tcPr>
          <w:p>
            <w:r>
              <w:t>Secret manager</w:t>
            </w:r>
          </w:p>
        </w:tc>
        <w:tc>
          <w:tcPr>
            <w:tcW w:type="dxa" w:w="4320"/>
          </w:tcPr>
          <w:p>
            <w:r>
              <w:t>Stores JWT, API-key pepper, provider token, billing secret, metrics token, and Zyla shared token</w:t>
            </w:r>
          </w:p>
        </w:tc>
      </w:tr>
      <w:tr>
        <w:tc>
          <w:tcPr>
            <w:tcW w:type="dxa" w:w="4320"/>
          </w:tcPr>
          <w:p>
            <w:r>
              <w:t>Uptime and latency monitoring</w:t>
            </w:r>
          </w:p>
        </w:tc>
        <w:tc>
          <w:tcPr>
            <w:tcW w:type="dxa" w:w="4320"/>
          </w:tcPr>
          <w:p>
            <w:r>
              <w:t>Detects failures before marketplace service-level impact becomes significant</w:t>
            </w:r>
          </w:p>
        </w:tc>
      </w:tr>
      <w:tr>
        <w:tc>
          <w:tcPr>
            <w:tcW w:type="dxa" w:w="4320"/>
          </w:tcPr>
          <w:p>
            <w:r>
              <w:t>Backups and restore testing</w:t>
            </w:r>
          </w:p>
        </w:tc>
        <w:tc>
          <w:tcPr>
            <w:tcW w:type="dxa" w:w="4320"/>
          </w:tcPr>
          <w:p>
            <w:r>
              <w:t>Supports recovery from database or deployment failure</w:t>
            </w:r>
          </w:p>
        </w:tc>
      </w:tr>
      <w:tr>
        <w:tc>
          <w:tcPr>
            <w:tcW w:type="dxa" w:w="4320"/>
          </w:tcPr>
          <w:p>
            <w:r>
              <w:t>Alert delivery</w:t>
            </w:r>
          </w:p>
        </w:tc>
        <w:tc>
          <w:tcPr>
            <w:tcW w:type="dxa" w:w="4320"/>
          </w:tcPr>
          <w:p>
            <w:r>
              <w:t>Notifies the operator of downtime, provider errors, queue failures, and abnormal usage</w:t>
            </w:r>
          </w:p>
        </w:tc>
      </w:tr>
    </w:tbl>
    <w:p>
      <w:r>
        <w:t>A MacBook running on a local network is not a suitable public production host for Zyla because the service must remain reachable independently of the owner’s laptop.</w:t>
      </w:r>
    </w:p>
    <w:p>
      <w:pPr>
        <w:pStyle w:val="Heading2"/>
      </w:pPr>
      <w:r>
        <w:t>Provider and data-rights gate</w:t>
      </w:r>
    </w:p>
    <w:p>
      <w:r>
        <w:t>Do not enable a real-data listing until the operator has a written provider agreement or other evidence of the right to market, sell, distribute, and expose the returned data through an API. Verify permitted purposes, territories, retention, deletion, suppression, contact-data restrictions, attribution, rate limits, and downstream customer rights.</w:t>
      </w:r>
    </w:p>
    <w:p>
      <w:r>
        <w:t>The included synthetic provider is for development and controlled demonstrations. It uses clearly marked synthetic records and non-deliverable example domains. It must not be represented as real lead data.</w:t>
      </w:r>
    </w:p>
    <w:p>
      <w:pPr>
        <w:pStyle w:val="Heading2"/>
      </w:pPr>
      <w:r>
        <w:t>Production environment controls</w:t>
      </w:r>
    </w:p>
    <w:p>
      <w:r>
        <w:t>Set the following controls before starting the API process:</w:t>
      </w:r>
    </w:p>
    <w:p>
      <w:pPr>
        <w:pStyle w:val="NoSpacing"/>
        <w:ind w:left="432" w:right="432"/>
      </w:pPr>
      <w:r>
        <w:rPr>
          <w:rFonts w:ascii="Courier New" w:hAnsi="Courier New"/>
          <w:sz w:val="17"/>
        </w:rPr>
        <w:t>APP_ENV=production</w:t>
        <w:br/>
        <w:t>DATABASE_URL=postgresql+psycopg://...</w:t>
        <w:br/>
        <w:t>REDIS_URL=redis://...</w:t>
        <w:br/>
        <w:t>RATE_LIMIT_BACKEND=redis</w:t>
        <w:br/>
        <w:t>IDEMPOTENCY_BACKEND=redis</w:t>
        <w:br/>
        <w:t>QUEUE_BACKEND=redis</w:t>
        <w:br/>
        <w:t>AUTO_CREATE_SCHEMA=false</w:t>
        <w:br/>
        <w:t>PROVIDER_MODE=http</w:t>
        <w:br/>
        <w:t>PROVIDER_URL=https://approved-provider.example/api/search</w:t>
        <w:br/>
        <w:t>PROVIDER_TOKEN=&lt;stored-secret&gt;</w:t>
        <w:br/>
        <w:t>ZYLA_ENABLED=true</w:t>
        <w:br/>
        <w:t>ZYLA_AUTH_MODE=shared_token</w:t>
        <w:br/>
        <w:t>ZYLA_SHARED_TOKEN=&lt;stored-secret-at-least-32-characters&gt;</w:t>
        <w:br/>
        <w:t>ZYLA_MAX_LIMIT=25</w:t>
        <w:br/>
        <w:t>ZYLA_ALLOW_SYNTHETIC=false</w:t>
        <w:br/>
        <w:t>METRICS_ENABLED=true</w:t>
        <w:br/>
        <w:t>METRICS_TOKEN=&lt;stored-secret-at-least-32-characters&gt;</w:t>
        <w:br/>
        <w:t>BILLING_WEBHOOK_SECRET=&lt;stored-secret-at-least-32-characters&gt;</w:t>
      </w:r>
    </w:p>
    <w:p>
      <w:r>
        <w:t>Use strong random values for every secret. Do not commit the environment file or place secret values in marketplace documentation.</w:t>
      </w:r>
    </w:p>
    <w:p>
      <w:pPr>
        <w:pStyle w:val="Heading2"/>
      </w:pPr>
      <w:r>
        <w:t>Database and worker sequence</w:t>
      </w:r>
    </w:p>
    <w:p>
      <w:r>
        <w:t>Run the reviewed Alembic migrations before starting the API. Start PostgreSQL and Redis first. Start the Redis Streams worker as a separate process. Start the API only after the readiness check can reach PostgreSQL and the application has loaded its production configuration.</w:t>
      </w:r>
    </w:p>
    <w:p>
      <w:r>
        <w:t>The deployment must retain the ability to stop a new release and restore the previous image or application revision. Test both forward migration and rollback procedures in a staging environment before making a public listing.</w:t>
      </w:r>
    </w:p>
    <w:p>
      <w:pPr>
        <w:pStyle w:val="Heading2"/>
      </w:pPr>
      <w:r>
        <w:t>Public endpoint checks</w:t>
      </w:r>
    </w:p>
    <w:p>
      <w:r>
        <w:t>After deployment, verify these endpoints from a network outside the host:</w:t>
      </w:r>
    </w:p>
    <w:p>
      <w:pPr>
        <w:pStyle w:val="NoSpacing"/>
        <w:ind w:left="432" w:right="432"/>
      </w:pPr>
      <w:r>
        <w:rPr>
          <w:rFonts w:ascii="Courier New" w:hAnsi="Courier New"/>
          <w:sz w:val="17"/>
        </w:rPr>
        <w:t>GET /health/live</w:t>
        <w:br/>
        <w:t>GET /health/ready</w:t>
        <w:br/>
        <w:t>GET /health/zyla</w:t>
        <w:br/>
        <w:t>GET /docs</w:t>
        <w:br/>
        <w:t>GET /openapi.json</w:t>
        <w:br/>
        <w:t>GET /api/v1/zyla/leads/search?limit=1</w:t>
      </w:r>
    </w:p>
    <w:p>
      <w:r>
        <w:t xml:space="preserve">The health endpoints must not reveal secrets or customer records. The search endpoint must reject missing or invalid bearer credentials when </w:t>
      </w:r>
      <w:r>
        <w:rPr>
          <w:rFonts w:ascii="Courier New" w:hAnsi="Courier New"/>
          <w:sz w:val="18"/>
        </w:rPr>
        <w:t>ZYLA_AUTH_MODE=shared_token</w:t>
      </w:r>
      <w:r>
        <w:t>.</w:t>
      </w:r>
    </w:p>
    <w:p>
      <w:pPr>
        <w:pStyle w:val="Heading2"/>
      </w:pPr>
      <w:r>
        <w:t>Zyla configuration gate</w:t>
      </w:r>
    </w:p>
    <w:p>
      <w:r>
        <w:t xml:space="preserve">The recommended marketplace route is </w:t>
      </w:r>
      <w:r>
        <w:rPr>
          <w:rFonts w:ascii="Courier New" w:hAnsi="Courier New"/>
          <w:sz w:val="18"/>
        </w:rPr>
        <w:t>GET /api/v1/zyla/leads/search</w:t>
      </w:r>
      <w:r>
        <w:t xml:space="preserve">. Use the corresponding public HTTPS URL in the Zyla listing. Configure the endpoint method and query parameters from </w:t>
      </w:r>
      <w:r>
        <w:rPr>
          <w:rFonts w:ascii="Courier New" w:hAnsi="Courier New"/>
          <w:sz w:val="18"/>
        </w:rPr>
        <w:t>openapi.yaml</w:t>
      </w:r>
      <w:r>
        <w:t>.</w:t>
      </w:r>
    </w:p>
    <w:p>
      <w:r>
        <w:t>Before publication, test whether Zyla’s provider workflow can supply the configured bearer credential to the upstream endpoint without exposing it to marketplace consumers. If the workflow cannot securely relay a provider-side credential, do not publish a real-data endpoint through this adapter. A public real-data endpoint would allow direct bypass of marketplace billing and could create uncontrolled provider costs.</w:t>
      </w:r>
    </w:p>
    <w:p>
      <w:r>
        <w:t>Use a dedicated staging URL for Zyla quality testing if the platform allows it. Test the following cases:</w:t>
      </w:r>
    </w:p>
    <w:tbl>
      <w:tblPr>
        <w:tblStyle w:val="TableGrid"/>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Expected result</w:t>
            </w:r>
          </w:p>
        </w:tc>
      </w:tr>
      <w:tr>
        <w:tc>
          <w:tcPr>
            <w:tcW w:type="dxa" w:w="4320"/>
          </w:tcPr>
          <w:p>
            <w:r>
              <w:t>/health/zyla without credentials</w:t>
            </w:r>
          </w:p>
        </w:tc>
        <w:tc>
          <w:tcPr>
            <w:tcW w:type="dxa" w:w="4320"/>
          </w:tcPr>
          <w:p>
            <w:r>
              <w:t>HTTP 200 and metadata only</w:t>
            </w:r>
          </w:p>
        </w:tc>
      </w:tr>
      <w:tr>
        <w:tc>
          <w:tcPr>
            <w:tcW w:type="dxa" w:w="4320"/>
          </w:tcPr>
          <w:p>
            <w:r>
              <w:t>Search without bearer credential</w:t>
            </w:r>
          </w:p>
        </w:tc>
        <w:tc>
          <w:tcPr>
            <w:tcW w:type="dxa" w:w="4320"/>
          </w:tcPr>
          <w:p>
            <w:r>
              <w:t>HTTP 401</w:t>
            </w:r>
          </w:p>
        </w:tc>
      </w:tr>
      <w:tr>
        <w:tc>
          <w:tcPr>
            <w:tcW w:type="dxa" w:w="4320"/>
          </w:tcPr>
          <w:p>
            <w:r>
              <w:t>Search with invalid bearer credential</w:t>
            </w:r>
          </w:p>
        </w:tc>
        <w:tc>
          <w:tcPr>
            <w:tcW w:type="dxa" w:w="4320"/>
          </w:tcPr>
          <w:p>
            <w:r>
              <w:t>HTTP 401</w:t>
            </w:r>
          </w:p>
        </w:tc>
      </w:tr>
      <w:tr>
        <w:tc>
          <w:tcPr>
            <w:tcW w:type="dxa" w:w="4320"/>
          </w:tcPr>
          <w:p>
            <w:r>
              <w:t>Search with valid credential and limit=1</w:t>
            </w:r>
          </w:p>
        </w:tc>
        <w:tc>
          <w:tcPr>
            <w:tcW w:type="dxa" w:w="4320"/>
          </w:tcPr>
          <w:p>
            <w:r>
              <w:t>HTTP 200 with a valid response envelope</w:t>
            </w:r>
          </w:p>
        </w:tc>
      </w:tr>
      <w:tr>
        <w:tc>
          <w:tcPr>
            <w:tcW w:type="dxa" w:w="4320"/>
          </w:tcPr>
          <w:p>
            <w:r>
              <w:t>Search with the same idempotency key and same request</w:t>
            </w:r>
          </w:p>
        </w:tc>
        <w:tc>
          <w:tcPr>
            <w:tcW w:type="dxa" w:w="4320"/>
          </w:tcPr>
          <w:p>
            <w:r>
              <w:t>Same response without an additional credit debit</w:t>
            </w:r>
          </w:p>
        </w:tc>
      </w:tr>
      <w:tr>
        <w:tc>
          <w:tcPr>
            <w:tcW w:type="dxa" w:w="4320"/>
          </w:tcPr>
          <w:p>
            <w:r>
              <w:t>Same idempotency key with a different request</w:t>
            </w:r>
          </w:p>
        </w:tc>
        <w:tc>
          <w:tcPr>
            <w:tcW w:type="dxa" w:w="4320"/>
          </w:tcPr>
          <w:p>
            <w:r>
              <w:t>HTTP 409</w:t>
            </w:r>
          </w:p>
        </w:tc>
      </w:tr>
      <w:tr>
        <w:tc>
          <w:tcPr>
            <w:tcW w:type="dxa" w:w="4320"/>
          </w:tcPr>
          <w:p>
            <w:r>
              <w:t>Invalid employee range</w:t>
            </w:r>
          </w:p>
        </w:tc>
        <w:tc>
          <w:tcPr>
            <w:tcW w:type="dxa" w:w="4320"/>
          </w:tcPr>
          <w:p>
            <w:r>
              <w:t>HTTP 422</w:t>
            </w:r>
          </w:p>
        </w:tc>
      </w:tr>
      <w:tr>
        <w:tc>
          <w:tcPr>
            <w:tcW w:type="dxa" w:w="4320"/>
          </w:tcPr>
          <w:p>
            <w:r>
              <w:t>Provider unavailable</w:t>
            </w:r>
          </w:p>
        </w:tc>
        <w:tc>
          <w:tcPr>
            <w:tcW w:type="dxa" w:w="4320"/>
          </w:tcPr>
          <w:p>
            <w:r>
              <w:t>Controlled error, alert generated, and no partial ledger entry</w:t>
            </w:r>
          </w:p>
        </w:tc>
      </w:tr>
      <w:tr>
        <w:tc>
          <w:tcPr>
            <w:tcW w:type="dxa" w:w="4320"/>
          </w:tcPr>
          <w:p>
            <w:r>
              <w:t>Database unavailable</w:t>
            </w:r>
          </w:p>
        </w:tc>
        <w:tc>
          <w:tcPr>
            <w:tcW w:type="dxa" w:w="4320"/>
          </w:tcPr>
          <w:p>
            <w:r>
              <w:t>Readiness failure and alert</w:t>
            </w:r>
          </w:p>
        </w:tc>
      </w:tr>
    </w:tbl>
    <w:p>
      <w:pPr>
        <w:pStyle w:val="Heading2"/>
      </w:pPr>
      <w:r>
        <w:t>Monitoring and support</w:t>
      </w:r>
    </w:p>
    <w:p>
      <w:r>
        <w:t>Monitor availability, response latency, HTTP status classes, provider failures, rate-limit responses, database capacity, Redis health, queue depth, backup success, and suspicious usage patterns. Keep a support process capable of responding to API behavior, provider-data questions, suppression requests, and service incidents.</w:t>
      </w:r>
    </w:p>
    <w:p>
      <w:r>
        <w:t>Zyla’s marketplace relationship does not replace the provider’s responsibility for second-level support, API operation, data rights, accuracy claims, or legal and intellectual-property claims.</w:t>
      </w:r>
    </w:p>
    <w:p>
      <w:pPr>
        <w:pStyle w:val="Heading2"/>
      </w:pPr>
      <w:r>
        <w:t>Release and rollback checklist</w:t>
      </w:r>
    </w:p>
    <w:p>
      <w:r>
        <w:t>A release is eligible for marketplace submission only when the production provider contract is verified, the public HTTPS endpoint is reachable, migrations have run, the worker is operating, backups have been tested, monitoring and alerts are active, the Zyla endpoint contract has passed from an external network, and the listing copy matches the actual provider and data status.</w:t>
      </w:r>
    </w:p>
    <w:p>
      <w:r>
        <w:t>If any of these conditions is not met, keep the listing in draft or use the synthetic integration-demo description. Do not describe the synthetic edition as a source of real leads.</w:t>
      </w:r>
    </w:p>
    <w:p>
      <w:pPr>
        <w:pStyle w:val="Heading2"/>
      </w:pPr>
      <w:r>
        <w:t>Owner</w:t>
      </w:r>
    </w:p>
    <w:p>
      <w:r>
        <w:rPr>
          <w:b/>
        </w:rPr>
        <w:t>Sadeq Obaid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ZYLA DEPLOYMENT RUNBOOK</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