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Zyla API Hub Listing — Sadeq Obaid Hosted Lead Discovery API</w:t>
      </w:r>
    </w:p>
    <w:p>
      <w:pPr>
        <w:pStyle w:val="Heading2"/>
      </w:pPr>
      <w:r>
        <w:t>Listing status</w:t>
      </w:r>
    </w:p>
    <w:p>
      <w:r>
        <w:t xml:space="preserve">This document is the marketplace listing copy for the </w:t>
      </w:r>
      <w:r>
        <w:rPr>
          <w:b/>
        </w:rPr>
        <w:t>hosted API edition</w:t>
      </w:r>
      <w:r>
        <w:t xml:space="preserve"> owned by </w:t>
      </w:r>
      <w:r>
        <w:rPr>
          <w:b/>
        </w:rPr>
        <w:t>Sadeq Obaid</w:t>
      </w:r>
      <w:r>
        <w:t>. It is not the listing copy for the self-hosted source-code ZIP. The API must be deployed at a public HTTPS URL before this copy is submitted to Zyla API Hub.</w:t>
      </w:r>
    </w:p>
    <w:p>
      <w:r>
        <w:t>The API returns provider-backed records only when the deployment has an approved provider contract. The release does not include real lead data, third-party provider credentials, or a grant of data rights. Synthetic records are clearly marked and are suitable only for controlled demonstrations and integration testing.</w:t>
      </w:r>
    </w:p>
    <w:p>
      <w:pPr>
        <w:pStyle w:val="Heading2"/>
      </w:pPr>
      <w:r>
        <w:t>Production-provider listing title</w:t>
      </w:r>
    </w:p>
    <w:p>
      <w:r>
        <w:rPr>
          <w:b/>
        </w:rPr>
        <w:t>B2B Lead Discovery and Scoring API</w:t>
      </w:r>
    </w:p>
    <w:p>
      <w:r>
        <w:t>Use this title only after a licensed provider has been configured and the owner has verified the provider’s rights, permitted uses, geographic coverage, retention rules, suppression requirements, and commercial terms.</w:t>
      </w:r>
    </w:p>
    <w:p>
      <w:pPr>
        <w:pStyle w:val="Heading2"/>
      </w:pPr>
      <w:r>
        <w:t>Production-provider short description</w:t>
      </w:r>
    </w:p>
    <w:p>
      <w:r>
        <w:t>Search permitted B2B lead records using company, geography, industry, employee-count, job-title, technology, and lead-score filters. Responses include company information, optional contact information, scoring, quality indicators, provenance, data-status labels, usage accounting, and request identifiers.</w:t>
      </w:r>
    </w:p>
    <w:p>
      <w:pPr>
        <w:pStyle w:val="Heading2"/>
      </w:pPr>
      <w:r>
        <w:t>Production-provider long description</w:t>
      </w:r>
    </w:p>
    <w:p>
      <w:r>
        <w:t>The Sadeq Obaid Hosted Lead Discovery API provides a focused HTTP interface for applications that need structured B2B lead-discovery results. Consumers can filter by country, industry, employee range, job title, technology, and minimum lead score. Each response includes a stable response envelope with records, pagination metadata, usage accounting, provenance, and a request identifier for support and troubleshooting.</w:t>
      </w:r>
    </w:p>
    <w:p>
      <w:r>
        <w:t>The service is designed for integration testing and controlled production deployment. It uses tenant-isolated persistence, rate limiting, replay-safe idempotency, credit accounting, suppression filtering, structured error responses, and readiness monitoring. The actual data coverage, accuracy, freshness, lawful use, and permitted commercial purpose depend on the provider contract configured by the operator.</w:t>
      </w:r>
    </w:p>
    <w:p>
      <w:r>
        <w:t>The API does not promise guaranteed accuracy, email deliverability, enrichment rights, universal legal compliance, or a particular volume of results. Consumers must use the API only for purposes permitted by the applicable API terms and data-provider terms.</w:t>
      </w:r>
    </w:p>
    <w:p>
      <w:pPr>
        <w:pStyle w:val="Heading2"/>
      </w:pPr>
      <w:r>
        <w:t>Synthetic integration-demo listing title</w:t>
      </w:r>
    </w:p>
    <w:p>
      <w:r>
        <w:rPr>
          <w:b/>
        </w:rPr>
        <w:t>Synthetic B2B Lead Discovery and Scoring API — Integration Sandbox</w:t>
      </w:r>
    </w:p>
    <w:p>
      <w:r>
        <w:t>Use this title when the deployment is configured with the included synthetic provider. Do not describe this edition as a source of real leads, commercial contact data, enrichment, or verified company information.</w:t>
      </w:r>
    </w:p>
    <w:p>
      <w:pPr>
        <w:pStyle w:val="Heading2"/>
      </w:pPr>
      <w:r>
        <w:t>Synthetic integration-demo description</w:t>
      </w:r>
    </w:p>
    <w:p>
      <w:r>
        <w:t xml:space="preserve">Test a complete B2B lead-discovery API integration using deterministic records that are explicitly labeled </w:t>
      </w:r>
      <w:r>
        <w:rPr>
          <w:b/>
        </w:rPr>
        <w:t>SYNTHETIC</w:t>
      </w:r>
      <w:r>
        <w:t xml:space="preserve"> and use non-deliverable example domains. The sandbox demonstrates filtering, scoring, quality metadata, provenance, rate-limit behavior, idempotency, and structured responses without representing the records as real prospects.</w:t>
      </w:r>
    </w:p>
    <w:p>
      <w:r>
        <w:t>This edition is suitable for developers evaluating request and response integration. It is not a substitute for a licensed production data provider and should not be marketed as a paid source of real lead data.</w:t>
      </w:r>
    </w:p>
    <w:p>
      <w:pPr>
        <w:pStyle w:val="Heading2"/>
      </w:pPr>
      <w:r>
        <w:t>Endpoint contract</w:t>
      </w:r>
    </w:p>
    <w:p>
      <w:r>
        <w:t>The recommended Zyla endpoint is:</w:t>
      </w:r>
    </w:p>
    <w:p>
      <w:r>
        <w:rPr>
          <w:rFonts w:ascii="Courier New" w:hAnsi="Courier New"/>
          <w:sz w:val="18"/>
        </w:rPr>
        <w:t>GET /api/v1/zyla/leads/search</w:t>
      </w:r>
    </w:p>
    <w:p>
      <w:r>
        <w:t>The endpoint accepts the following query parameters:</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Meaning</w:t>
            </w:r>
          </w:p>
        </w:tc>
      </w:tr>
      <w:tr>
        <w:tc>
          <w:tcPr>
            <w:tcW w:type="dxa" w:w="4320"/>
          </w:tcPr>
          <w:p>
            <w:r>
              <w:t>countries</w:t>
            </w:r>
          </w:p>
        </w:tc>
        <w:tc>
          <w:tcPr>
            <w:tcW w:type="dxa" w:w="4320"/>
          </w:tcPr>
          <w:p>
            <w:r>
              <w:t>Comma-separated country codes, such as SA,AE</w:t>
            </w:r>
          </w:p>
        </w:tc>
      </w:tr>
      <w:tr>
        <w:tc>
          <w:tcPr>
            <w:tcW w:type="dxa" w:w="4320"/>
          </w:tcPr>
          <w:p>
            <w:r>
              <w:t>industries</w:t>
            </w:r>
          </w:p>
        </w:tc>
        <w:tc>
          <w:tcPr>
            <w:tcW w:type="dxa" w:w="4320"/>
          </w:tcPr>
          <w:p>
            <w:r>
              <w:t>Comma-separated industry values</w:t>
            </w:r>
          </w:p>
        </w:tc>
      </w:tr>
      <w:tr>
        <w:tc>
          <w:tcPr>
            <w:tcW w:type="dxa" w:w="4320"/>
          </w:tcPr>
          <w:p>
            <w:r>
              <w:t>job_titles</w:t>
            </w:r>
          </w:p>
        </w:tc>
        <w:tc>
          <w:tcPr>
            <w:tcW w:type="dxa" w:w="4320"/>
          </w:tcPr>
          <w:p>
            <w:r>
              <w:t>Comma-separated job titles</w:t>
            </w:r>
          </w:p>
        </w:tc>
      </w:tr>
      <w:tr>
        <w:tc>
          <w:tcPr>
            <w:tcW w:type="dxa" w:w="4320"/>
          </w:tcPr>
          <w:p>
            <w:r>
              <w:t>technologies</w:t>
            </w:r>
          </w:p>
        </w:tc>
        <w:tc>
          <w:tcPr>
            <w:tcW w:type="dxa" w:w="4320"/>
          </w:tcPr>
          <w:p>
            <w:r>
              <w:t>Comma-separated technology names</w:t>
            </w:r>
          </w:p>
        </w:tc>
      </w:tr>
      <w:tr>
        <w:tc>
          <w:tcPr>
            <w:tcW w:type="dxa" w:w="4320"/>
          </w:tcPr>
          <w:p>
            <w:r>
              <w:t>employee_min</w:t>
            </w:r>
          </w:p>
        </w:tc>
        <w:tc>
          <w:tcPr>
            <w:tcW w:type="dxa" w:w="4320"/>
          </w:tcPr>
          <w:p>
            <w:r>
              <w:t>Minimum employee count</w:t>
            </w:r>
          </w:p>
        </w:tc>
      </w:tr>
      <w:tr>
        <w:tc>
          <w:tcPr>
            <w:tcW w:type="dxa" w:w="4320"/>
          </w:tcPr>
          <w:p>
            <w:r>
              <w:t>employee_max</w:t>
            </w:r>
          </w:p>
        </w:tc>
        <w:tc>
          <w:tcPr>
            <w:tcW w:type="dxa" w:w="4320"/>
          </w:tcPr>
          <w:p>
            <w:r>
              <w:t>Maximum employee count</w:t>
            </w:r>
          </w:p>
        </w:tc>
      </w:tr>
      <w:tr>
        <w:tc>
          <w:tcPr>
            <w:tcW w:type="dxa" w:w="4320"/>
          </w:tcPr>
          <w:p>
            <w:r>
              <w:t>lead_score_min</w:t>
            </w:r>
          </w:p>
        </w:tc>
        <w:tc>
          <w:tcPr>
            <w:tcW w:type="dxa" w:w="4320"/>
          </w:tcPr>
          <w:p>
            <w:r>
              <w:t>Minimum score from 0 to 100</w:t>
            </w:r>
          </w:p>
        </w:tc>
      </w:tr>
      <w:tr>
        <w:tc>
          <w:tcPr>
            <w:tcW w:type="dxa" w:w="4320"/>
          </w:tcPr>
          <w:p>
            <w:r>
              <w:t>limit</w:t>
            </w:r>
          </w:p>
        </w:tc>
        <w:tc>
          <w:tcPr>
            <w:tcW w:type="dxa" w:w="4320"/>
          </w:tcPr>
          <w:p>
            <w:r>
              <w:t>Number of records requested, from 1 to 25</w:t>
            </w:r>
          </w:p>
        </w:tc>
      </w:tr>
    </w:tbl>
    <w:p>
      <w:r>
        <w:t xml:space="preserve">The endpoint returns a JSON object containing </w:t>
      </w:r>
      <w:r>
        <w:rPr>
          <w:rFonts w:ascii="Courier New" w:hAnsi="Courier New"/>
          <w:sz w:val="18"/>
        </w:rPr>
        <w:t>request_id</w:t>
      </w:r>
      <w:r>
        <w:t xml:space="preserve">, </w:t>
      </w:r>
      <w:r>
        <w:rPr>
          <w:rFonts w:ascii="Courier New" w:hAnsi="Courier New"/>
          <w:sz w:val="18"/>
        </w:rPr>
        <w:t>data</w:t>
      </w:r>
      <w:r>
        <w:t xml:space="preserve">, </w:t>
      </w:r>
      <w:r>
        <w:rPr>
          <w:rFonts w:ascii="Courier New" w:hAnsi="Courier New"/>
          <w:sz w:val="18"/>
        </w:rPr>
        <w:t>pagination</w:t>
      </w:r>
      <w:r>
        <w:t xml:space="preserve">, and </w:t>
      </w:r>
      <w:r>
        <w:rPr>
          <w:rFonts w:ascii="Courier New" w:hAnsi="Courier New"/>
          <w:sz w:val="18"/>
        </w:rPr>
        <w:t>usage</w:t>
      </w:r>
      <w:r>
        <w:t xml:space="preserve">. Every returned record includes a data-status value and provenance information. For synthetic deployments, the response explicitly contains </w:t>
      </w:r>
      <w:r>
        <w:rPr>
          <w:rFonts w:ascii="Courier New" w:hAnsi="Courier New"/>
          <w:sz w:val="18"/>
        </w:rPr>
        <w:t>SYNTHETIC</w:t>
      </w:r>
      <w:r>
        <w:t xml:space="preserve"> labels.</w:t>
      </w:r>
    </w:p>
    <w:p>
      <w:pPr>
        <w:pStyle w:val="Heading2"/>
      </w:pPr>
      <w:r>
        <w:t>Authentication and marketplace configuration</w:t>
      </w:r>
    </w:p>
    <w:p>
      <w:r>
        <w:t xml:space="preserve">The hosted adapter expects a bearer credential in the </w:t>
      </w:r>
      <w:r>
        <w:rPr>
          <w:rFonts w:ascii="Courier New" w:hAnsi="Courier New"/>
          <w:sz w:val="18"/>
        </w:rPr>
        <w:t>Authorization</w:t>
      </w:r>
      <w:r>
        <w:t xml:space="preserve"> header. The deployment default is a strong private shared token stored in the server’s secret manager. Before publication, the owner must confirm in the live Zyla provider workflow that a provider-side bearer header or equivalent upstream credential can be configured securely. If Zyla cannot relay or store a provider-side credential, do not publish a protected real-data endpoint through this adapter.</w:t>
      </w:r>
    </w:p>
    <w:p>
      <w:r>
        <w:t>Never place the provider token in this listing document, the OpenAPI file, screenshots, source control, or a customer-facing example. Rotate it if it is disclosed.</w:t>
      </w:r>
    </w:p>
    <w:p>
      <w:pPr>
        <w:pStyle w:val="Heading2"/>
      </w:pPr>
      <w:r>
        <w:t>Example request</w:t>
      </w:r>
    </w:p>
    <w:p>
      <w:pPr>
        <w:pStyle w:val="NoSpacing"/>
        <w:ind w:left="432" w:right="432"/>
      </w:pPr>
      <w:r>
        <w:rPr>
          <w:rFonts w:ascii="Courier New" w:hAnsi="Courier New"/>
          <w:sz w:val="17"/>
        </w:rPr>
        <w:t>curl --request GET \</w:t>
        <w:br/>
        <w:t xml:space="preserve">  --url 'https://the-deployed-api-host/api/v1/zyla/leads/search?countries=SA&amp;industries=financial_services&amp;limit=2' \</w:t>
        <w:br/>
        <w:t xml:space="preserve">  --header 'Authorization: Bearer YOUR_ZYLA_CONFIGURED_API_KEY' \</w:t>
        <w:br/>
        <w:t xml:space="preserve">  --header 'Idempotency-Key: unique-request-key-001'</w:t>
      </w:r>
    </w:p>
    <w:p>
      <w:r>
        <w:t>The hostname in this example is descriptive only. The actual public HTTPS hostname must be used in the Zyla listing after deployment.</w:t>
      </w:r>
    </w:p>
    <w:p>
      <w:pPr>
        <w:pStyle w:val="Heading2"/>
      </w:pPr>
      <w:r>
        <w:t>Support and service statement</w:t>
      </w:r>
    </w:p>
    <w:p>
      <w:r>
        <w:t>The provider is responsible for second-level technical support, API behavior, response accuracy as represented, provider rights, data-use claims, and the operation of the deployed service. Zyla’s marketplace support does not replace the provider’s responsibility for the API or its underlying data source.</w:t>
      </w:r>
    </w:p>
    <w:p>
      <w:pPr>
        <w:pStyle w:val="Heading2"/>
      </w:pPr>
      <w:r>
        <w:t>Owner</w:t>
      </w:r>
    </w:p>
    <w:p>
      <w:r>
        <w:rPr>
          <w:b/>
        </w:rPr>
        <w:t>Sadeq Obaid</w:t>
      </w:r>
    </w:p>
    <w:p>
      <w:r>
        <w:t>The commercial license for the self-hosted source edition remains non-exclusive. Publishing a hosted API on Zyla does not transfer ownership of the source code or prevent Sadeq Obaid from licensing the same software to other clients or marketplaces.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ZYLA MARKETPLACE LISTING</dc:title>
  <dc:subject>Lead Generation API Platform 0.1.0</dc:subject>
  <dc:creator>Sadeq Obaid</dc:creator>
  <cp:keywords>Lead Generation API, Sadeq Obaid, commercial software</cp:keywords>
  <dc:description>generated by python-docx</dc:description>
  <cp:lastModifiedBy>Sadeq Obaid</cp:lastModifiedBy>
  <cp:revision>1</cp:revision>
  <dcterms:created xsi:type="dcterms:W3CDTF">2013-12-23T23:15:00Z</dcterms:created>
  <dcterms:modified xsi:type="dcterms:W3CDTF">2013-12-23T23:15:00Z</dcterms:modified>
  <cp:category/>
</cp:coreProperties>
</file>