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Zyla API Hub Submission Checklist</w:t>
      </w:r>
    </w:p>
    <w:p>
      <w:r>
        <w:rPr>
          <w:b/>
        </w:rPr>
        <w:t>Owner:</w:t>
      </w:r>
      <w:r>
        <w:t xml:space="preserve"> Sadeq Obaid </w:t>
      </w:r>
      <w:r>
        <w:rPr>
          <w:b/>
        </w:rPr>
        <w:t>Edition:</w:t>
      </w:r>
      <w:r>
        <w:t xml:space="preserve"> Lead Generation API Platform — Hosted API 0.2.0</w:t>
      </w:r>
    </w:p>
    <w:p>
      <w:pPr>
        <w:pStyle w:val="Heading2"/>
      </w:pPr>
      <w:r>
        <w:t>Do not submit until these gates are complete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Required evidence</w:t>
            </w:r>
          </w:p>
        </w:tc>
        <w:tc>
          <w:tcPr>
            <w:tcW w:type="dxa" w:w="2880"/>
          </w:tcPr>
          <w:p>
            <w:r>
              <w:rPr>
                <w:b/>
              </w:rPr>
              <w:t>Status in the supplied archive</w:t>
            </w:r>
          </w:p>
        </w:tc>
      </w:tr>
      <w:tr>
        <w:tc>
          <w:tcPr>
            <w:tcW w:type="dxa" w:w="2880"/>
          </w:tcPr>
          <w:p>
            <w:r>
              <w:t>Public HTTPS endpoint</w:t>
            </w:r>
          </w:p>
        </w:tc>
        <w:tc>
          <w:tcPr>
            <w:tcW w:type="dxa" w:w="2880"/>
          </w:tcPr>
          <w:p>
            <w:r>
              <w:t>External request succeeds from outside the deployment network</w:t>
            </w:r>
          </w:p>
        </w:tc>
        <w:tc>
          <w:tcPr>
            <w:tcW w:type="dxa" w:w="2880"/>
          </w:tcPr>
          <w:p>
            <w:r>
              <w:t>Temporary sandbox proxy passed; independent production host still required</w:t>
            </w:r>
          </w:p>
        </w:tc>
      </w:tr>
      <w:tr>
        <w:tc>
          <w:tcPr>
            <w:tcW w:type="dxa" w:w="2880"/>
          </w:tcPr>
          <w:p>
            <w:r>
              <w:t>PostgreSQL</w:t>
            </w:r>
          </w:p>
        </w:tc>
        <w:tc>
          <w:tcPr>
            <w:tcW w:type="dxa" w:w="2880"/>
          </w:tcPr>
          <w:p>
            <w:r>
              <w:t>Staging migration and application test pass on PostgreSQL</w:t>
            </w:r>
          </w:p>
        </w:tc>
        <w:tc>
          <w:tcPr>
            <w:tcW w:type="dxa" w:w="2880"/>
          </w:tcPr>
          <w:p>
            <w:r>
              <w:t>Not run in the validation sandbox</w:t>
            </w:r>
          </w:p>
        </w:tc>
      </w:tr>
      <w:tr>
        <w:tc>
          <w:tcPr>
            <w:tcW w:type="dxa" w:w="2880"/>
          </w:tcPr>
          <w:p>
            <w:r>
              <w:t>Redis</w:t>
            </w:r>
          </w:p>
        </w:tc>
        <w:tc>
          <w:tcPr>
            <w:tcW w:type="dxa" w:w="2880"/>
          </w:tcPr>
          <w:p>
            <w:r>
              <w:t>Shared rate limit, idempotency, and queue tests pass on Redis</w:t>
            </w:r>
          </w:p>
        </w:tc>
        <w:tc>
          <w:tcPr>
            <w:tcW w:type="dxa" w:w="2880"/>
          </w:tcPr>
          <w:p>
            <w:r>
              <w:t>Not run in the validation sandbox</w:t>
            </w:r>
          </w:p>
        </w:tc>
      </w:tr>
      <w:tr>
        <w:tc>
          <w:tcPr>
            <w:tcW w:type="dxa" w:w="2880"/>
          </w:tcPr>
          <w:p>
            <w:r>
              <w:t>Licensed provider</w:t>
            </w:r>
          </w:p>
        </w:tc>
        <w:tc>
          <w:tcPr>
            <w:tcW w:type="dxa" w:w="2880"/>
          </w:tcPr>
          <w:p>
            <w:r>
              <w:t>Written right to market, sell, distribute, and expose returned data</w:t>
            </w:r>
          </w:p>
        </w:tc>
        <w:tc>
          <w:tcPr>
            <w:tcW w:type="dxa" w:w="2880"/>
          </w:tcPr>
          <w:p>
            <w:r>
              <w:t>Not supplied; operator must complete</w:t>
            </w:r>
          </w:p>
        </w:tc>
      </w:tr>
      <w:tr>
        <w:tc>
          <w:tcPr>
            <w:tcW w:type="dxa" w:w="2880"/>
          </w:tcPr>
          <w:p>
            <w:r>
              <w:t>Data policy</w:t>
            </w:r>
          </w:p>
        </w:tc>
        <w:tc>
          <w:tcPr>
            <w:tcW w:type="dxa" w:w="2880"/>
          </w:tcPr>
          <w:p>
            <w:r>
              <w:t>Provider coverage, retention, suppression, deletion, and permitted-use rules documented</w:t>
            </w:r>
          </w:p>
        </w:tc>
        <w:tc>
          <w:tcPr>
            <w:tcW w:type="dxa" w:w="2880"/>
          </w:tcPr>
          <w:p>
            <w:r>
              <w:t>Deployment-specific</w:t>
            </w:r>
          </w:p>
        </w:tc>
      </w:tr>
      <w:tr>
        <w:tc>
          <w:tcPr>
            <w:tcW w:type="dxa" w:w="2880"/>
          </w:tcPr>
          <w:p>
            <w:r>
              <w:t>Monitoring</w:t>
            </w:r>
          </w:p>
        </w:tc>
        <w:tc>
          <w:tcPr>
            <w:tcW w:type="dxa" w:w="2880"/>
          </w:tcPr>
          <w:p>
            <w:r>
              <w:t>Uptime, latency, error rate, provider failures, database, Redis, queue, and backup alerts</w:t>
            </w:r>
          </w:p>
        </w:tc>
        <w:tc>
          <w:tcPr>
            <w:tcW w:type="dxa" w:w="2880"/>
          </w:tcPr>
          <w:p>
            <w:r>
              <w:t>Must be configured by operator</w:t>
            </w:r>
          </w:p>
        </w:tc>
      </w:tr>
      <w:tr>
        <w:tc>
          <w:tcPr>
            <w:tcW w:type="dxa" w:w="2880"/>
          </w:tcPr>
          <w:p>
            <w:r>
              <w:t>Backup and restore</w:t>
            </w:r>
          </w:p>
        </w:tc>
        <w:tc>
          <w:tcPr>
            <w:tcW w:type="dxa" w:w="2880"/>
          </w:tcPr>
          <w:p>
            <w:r>
              <w:t>A fresh restore drill succeeds</w:t>
            </w:r>
          </w:p>
        </w:tc>
        <w:tc>
          <w:tcPr>
            <w:tcW w:type="dxa" w:w="2880"/>
          </w:tcPr>
          <w:p>
            <w:r>
              <w:t>Must be completed by operator</w:t>
            </w:r>
          </w:p>
        </w:tc>
      </w:tr>
      <w:tr>
        <w:tc>
          <w:tcPr>
            <w:tcW w:type="dxa" w:w="2880"/>
          </w:tcPr>
          <w:p>
            <w:r>
              <w:t>Secure marketplace credential</w:t>
            </w:r>
          </w:p>
        </w:tc>
        <w:tc>
          <w:tcPr>
            <w:tcW w:type="dxa" w:w="2880"/>
          </w:tcPr>
          <w:p>
            <w:r>
              <w:t>Zyla workflow can securely supply the configured bearer credential without exposing it</w:t>
            </w:r>
          </w:p>
        </w:tc>
        <w:tc>
          <w:tcPr>
            <w:tcW w:type="dxa" w:w="2880"/>
          </w:tcPr>
          <w:p>
            <w:r>
              <w:t>Must be verified in the live Zyla account</w:t>
            </w:r>
          </w:p>
        </w:tc>
      </w:tr>
      <w:tr>
        <w:tc>
          <w:tcPr>
            <w:tcW w:type="dxa" w:w="2880"/>
          </w:tcPr>
          <w:p>
            <w:r>
              <w:t>Support process</w:t>
            </w:r>
          </w:p>
        </w:tc>
        <w:tc>
          <w:tcPr>
            <w:tcW w:type="dxa" w:w="2880"/>
          </w:tcPr>
          <w:p>
            <w:r>
              <w:t>Second-level API and provider-data support contact and response workflow</w:t>
            </w:r>
          </w:p>
        </w:tc>
        <w:tc>
          <w:tcPr>
            <w:tcW w:type="dxa" w:w="2880"/>
          </w:tcPr>
          <w:p>
            <w:r>
              <w:t>Must be configured by operator</w:t>
            </w:r>
          </w:p>
        </w:tc>
      </w:tr>
      <w:tr>
        <w:tc>
          <w:tcPr>
            <w:tcW w:type="dxa" w:w="2880"/>
          </w:tcPr>
          <w:p>
            <w:r>
              <w:t>Legal/privacy review</w:t>
            </w:r>
          </w:p>
        </w:tc>
        <w:tc>
          <w:tcPr>
            <w:tcW w:type="dxa" w:w="2880"/>
          </w:tcPr>
          <w:p>
            <w:r>
              <w:t>Terms, privacy notice, data-processing basis, and provider contract reviewed</w:t>
            </w:r>
          </w:p>
        </w:tc>
        <w:tc>
          <w:tcPr>
            <w:tcW w:type="dxa" w:w="2880"/>
          </w:tcPr>
          <w:p>
            <w:r>
              <w:t>Pending independent review</w:t>
            </w:r>
          </w:p>
        </w:tc>
      </w:tr>
    </w:tbl>
    <w:p>
      <w:pPr>
        <w:pStyle w:val="Heading2"/>
      </w:pPr>
      <w:r>
        <w:t>Select the correct listing copy</w:t>
      </w:r>
    </w:p>
    <w:p>
      <w:r>
        <w:t xml:space="preserve">Use </w:t>
      </w:r>
      <w:r>
        <w:rPr>
          <w:b/>
        </w:rPr>
        <w:t>B2B Lead Discovery and Scoring API</w:t>
      </w:r>
      <w:r>
        <w:t xml:space="preserve"> only when a licensed non-synthetic provider is configured and the operator can substantiate the represented data rights and service behavior.</w:t>
      </w:r>
    </w:p>
    <w:p>
      <w:r>
        <w:t xml:space="preserve">Use </w:t>
      </w:r>
      <w:r>
        <w:rPr>
          <w:b/>
        </w:rPr>
        <w:t>Synthetic B2B Lead Discovery and Scoring API — Integration Sandbox</w:t>
      </w:r>
      <w:r>
        <w:t xml:space="preserve"> only when the service returns the included synthetic data. This version must be described as a testing sandbox and not as a real lead, enrichment, contact-data, or verified-company service.</w:t>
      </w:r>
    </w:p>
    <w:p>
      <w:pPr>
        <w:pStyle w:val="Heading2"/>
      </w:pPr>
      <w:r>
        <w:t>Recommended endpoint</w:t>
      </w:r>
    </w:p>
    <w:p>
      <w:r>
        <w:t>Submit the following route after replacing the documentation server URL with the actual public host:</w:t>
      </w:r>
    </w:p>
    <w:p>
      <w:r>
        <w:rPr>
          <w:rFonts w:ascii="Courier New" w:hAnsi="Courier New"/>
          <w:sz w:val="18"/>
        </w:rPr>
        <w:t>GET /api/v1/zyla/leads/search</w:t>
      </w:r>
    </w:p>
    <w:p>
      <w:r>
        <w:t xml:space="preserve">Use the query parameters and bearer authentication shown in </w:t>
      </w:r>
      <w:r>
        <w:rPr>
          <w:rFonts w:ascii="Courier New" w:hAnsi="Courier New"/>
          <w:sz w:val="18"/>
        </w:rPr>
        <w:t>openapi.yaml</w:t>
      </w:r>
      <w:r>
        <w:t>. Keep the public readiness check available at:</w:t>
      </w:r>
    </w:p>
    <w:p>
      <w:r>
        <w:rPr>
          <w:rFonts w:ascii="Courier New" w:hAnsi="Courier New"/>
          <w:sz w:val="18"/>
        </w:rPr>
        <w:t>GET /health/zyla</w:t>
      </w:r>
    </w:p>
    <w:p>
      <w:pPr>
        <w:pStyle w:val="Heading2"/>
      </w:pPr>
      <w:r>
        <w:t>Final operator actions</w:t>
      </w:r>
    </w:p>
    <w:p>
      <w:r>
        <w:t>First, deploy the 0.2.0 service at an independent public HTTPS hostname. Next, run the migrations, start the API and Redis Streams worker, and exercise the Zyla smoke test from a separate network. Then configure the real provider only after the provider-rights review is complete. Store all secrets in a secret manager and keep them out of the Zyla description and screenshots.</w:t>
      </w:r>
    </w:p>
    <w:p>
      <w:r>
        <w:t>After the service passes staging checks, create or use the provider account, enter the public endpoint and endpoint specifications, test the endpoint through Zyla’s own testing interface, confirm that the bearer credential is handled securely, select monthly hard-limit plans that match actual provider capacity, and keep the listing in draft until all quality checks pass.</w:t>
      </w:r>
    </w:p>
    <w:p>
      <w:r>
        <w:t>Do not create a marketplace account, accept marketplace terms, submit a listing, or select a paid plan as part of this package preparation. Those are owner-controlled commercial actions.</w:t>
      </w:r>
    </w:p>
    <w:p>
      <w:pPr>
        <w:pStyle w:val="Heading2"/>
      </w:pPr>
      <w:r>
        <w:t>Ownership and licensing boundary</w:t>
      </w:r>
    </w:p>
    <w:p>
      <w:r>
        <w:t>The hosted API listing does not transfer ownership of the source code. Sadeq Obaid retains ownership and may license the same software non-exclusively to multiple customers and marketplaces. The Zyla listing grants access to the hosted API under the marketplace terms; it does not grant customers source redistribution, white-label, or customer-facing resale rights unless separately licensed.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ZYLA SUBMISSION CHECKLIST</dc:title>
  <dc:subject>Lead Generation API Platform 0.1.0</dc:subject>
  <dc:creator>Sadeq Obaid</dc:creator>
  <cp:keywords>Lead Generation API, Sadeq Obaid, commercial software</cp:keywords>
  <dc:description>generated by python-docx</dc:description>
  <cp:lastModifiedBy>Sadeq Obaid</cp:lastModifiedBy>
  <cp:revision>1</cp:revision>
  <dcterms:created xsi:type="dcterms:W3CDTF">2013-12-23T23:15:00Z</dcterms:created>
  <dcterms:modified xsi:type="dcterms:W3CDTF">2013-12-23T23:15:00Z</dcterms:modified>
  <cp:category/>
</cp:coreProperties>
</file>