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11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reproducible blood transcriptomic signal of Alzheimer’s disease is largely explained by leukocyte composition and does not transport to individual-level classification</w:t>
      </w:r>
    </w:p>
    <w:p>
      <w:pPr>
        <w:pStyle w:val="FirstParagraph"/>
      </w:pPr>
      <w:r>
        <w:rPr>
          <w:b/>
          <w:bCs/>
        </w:rPr>
        <w:t xml:space="preserve">Sadga Selime</w:t>
      </w:r>
    </w:p>
    <w:p>
      <w:pPr>
        <w:pStyle w:val="BodyText"/>
      </w:pPr>
      <w:r>
        <w:t xml:space="preserve">Independent researcher</w:t>
      </w:r>
    </w:p>
    <w:p>
      <w:pPr>
        <w:pStyle w:val="BodyText"/>
      </w:pPr>
      <w:r>
        <w:t xml:space="preserve">Correspondence: Sadga Selime, sadgaselime@gmail.com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Alzheimer’s disease; blood transcriptomics; replication; leukocyte composition; Parkinson’s disease;</w:t>
      </w:r>
      <w:r>
        <w:t xml:space="preserve"> </w:t>
      </w:r>
      <w:r>
        <w:t xml:space="preserve">machine learning; reproducibility; pre-specified analysis</w: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Blood transcriptomic signatures of Alzheimer’s disease (AD) have been reported repeatedly, but their</w:t>
      </w:r>
      <w:r>
        <w:t xml:space="preserve"> </w:t>
      </w:r>
      <w:r>
        <w:t xml:space="preserve">reproducibility across cohorts, their specificity relative to other neurodegenerative diseases and their value for</w:t>
      </w:r>
      <w:r>
        <w:t xml:space="preserve"> </w:t>
      </w:r>
      <w:r>
        <w:t xml:space="preserve">classifying individuals remain uncertain.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We analysed four public whole-blood microarray datasets under a written, decision-logged analysis plan:</w:t>
      </w:r>
      <w:r>
        <w:t xml:space="preserve"> </w:t>
      </w:r>
      <w:r>
        <w:t xml:space="preserve">GSE63060 (discovery), GSE63061 (a related cohort with possible participant overlap), GSE140829 (replication) and GSE99039</w:t>
      </w:r>
      <w:r>
        <w:t xml:space="preserve"> </w:t>
      </w:r>
      <w:r>
        <w:t xml:space="preserve">(Parkinson’s disease). Samples were selected by pre-specified eligibility and quality-control rules, including a two-axis</w:t>
      </w:r>
      <w:r>
        <w:t xml:space="preserve"> </w:t>
      </w:r>
      <w:r>
        <w:t xml:space="preserve">sex-concordance check. Differential expression used limma with age, sex and chip or batch adjustment. A 200-gene signature</w:t>
      </w:r>
      <w:r>
        <w:t xml:space="preserve"> </w:t>
      </w:r>
      <w:r>
        <w:t xml:space="preserve">was locked in the discovery cohort before any other cohort was modelled, and then tested with a composite score test, a</w:t>
      </w:r>
      <w:r>
        <w:t xml:space="preserve"> </w:t>
      </w:r>
      <w:r>
        <w:t xml:space="preserve">per-gene test and direction agreement. Specificity was tested two-sided against Parkinson’s disease, with Holm correction</w:t>
      </w:r>
      <w:r>
        <w:t xml:space="preserve"> </w:t>
      </w:r>
      <w:r>
        <w:t xml:space="preserve">across three contrasts. A ridge classifier was trained with nested, chip-grouped cross-validation and applied once, frozen,</w:t>
      </w:r>
      <w:r>
        <w:t xml:space="preserve"> </w:t>
      </w:r>
      <w:r>
        <w:t xml:space="preserve">to the other cohorts. Leukocyte composition was assessed with marker-based indices: in discovery, as a sensitivity analysis</w:t>
      </w:r>
      <w:r>
        <w:t xml:space="preserve"> </w:t>
      </w:r>
      <w:r>
        <w:t xml:space="preserve">whose method was chosen after the primary results; externally, post hoc.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In GSE63060 (145 AD, 60 controls), 1,401 of 17,425 genes were associated with AD (FDR &lt; 0.05); the result was</w:t>
      </w:r>
      <w:r>
        <w:t xml:space="preserve"> </w:t>
      </w:r>
      <w:r>
        <w:t xml:space="preserve">robust across 14 sensitivity analyses. The locked signature was dominated by lower expression of oxidative-phosphorylation</w:t>
      </w:r>
      <w:r>
        <w:t xml:space="preserve"> </w:t>
      </w:r>
      <w:r>
        <w:t xml:space="preserve">and ribosomal genes. It shifted strongly toward AD in GSE63061 (one-sided p = 3.0 × 10⁻¹⁴) and weakly in GSE140829 (201 AD,</w:t>
      </w:r>
      <w:r>
        <w:t xml:space="preserve"> </w:t>
      </w:r>
      <w:r>
        <w:t xml:space="preserve">248 controls; p = 0.0019; 43 of 200 genes replicated). In idiopathic Parkinson’s disease the score shifted in the AD</w:t>
      </w:r>
      <w:r>
        <w:t xml:space="preserve"> </w:t>
      </w:r>
      <w:r>
        <w:t xml:space="preserve">direction (two-sided p = 0.018; Holm-adjusted p = 0.053), so specificity was neither demonstrated nor excluded. The</w:t>
      </w:r>
      <w:r>
        <w:t xml:space="preserve"> </w:t>
      </w:r>
      <w:r>
        <w:t xml:space="preserve">classifier reached a cross-validated AUROC of 0.841 (permutation p = 0.005), 0.769 in GSE63061, and 0.525 (95% CI</w:t>
      </w:r>
      <w:r>
        <w:t xml:space="preserve"> </w:t>
      </w:r>
      <w:r>
        <w:t xml:space="preserve">0.471–0.579) in GSE140829. Composition adjustment left the signature intact in discovery but halved the GSE140829 shift</w:t>
      </w:r>
      <w:r>
        <w:t xml:space="preserve"> </w:t>
      </w:r>
      <w:r>
        <w:t xml:space="preserve">(p = 0.041; 1 gene replicated) and reduced the Parkinson’s shift to +0.08 (p = 0.27).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A blood transcriptomic AD signal reproduces across cohorts only as a modest group-level shift. Outside the</w:t>
      </w:r>
      <w:r>
        <w:t xml:space="preserve"> </w:t>
      </w:r>
      <w:r>
        <w:t xml:space="preserve">discovery cohort it is largely accounted for by leukocyte composition, it may be shared with Parkinson’s disease, and it</w:t>
      </w:r>
      <w:r>
        <w:t xml:space="preserve"> </w:t>
      </w:r>
      <w:r>
        <w:t xml:space="preserve">does not support individual-level classification in an external cohort. Agreement within one consortium substantially</w:t>
      </w:r>
      <w:r>
        <w:t xml:space="preserve"> </w:t>
      </w:r>
      <w:r>
        <w:t xml:space="preserve">overstated external evidence.</w:t>
      </w:r>
    </w:p>
    <w:bookmarkStart w:id="9" w:name="key-points"/>
    <w:p>
      <w:pPr>
        <w:pStyle w:val="Heading3"/>
      </w:pPr>
      <w:r>
        <w:t xml:space="preserve">Key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Question:</w:t>
      </w:r>
      <w:r>
        <w:t xml:space="preserve"> </w:t>
      </w:r>
      <w:r>
        <w:t xml:space="preserve">Do blood gene-expression signals of Alzheimer’s disease reproduce in other cohorts, are they specific to</w:t>
      </w:r>
      <w:r>
        <w:t xml:space="preserve"> </w:t>
      </w:r>
      <w:r>
        <w:t xml:space="preserve">AD, and can they classify individuals in a cohort the model has never seen?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Findings:</w:t>
      </w:r>
      <w:r>
        <w:t xml:space="preserve"> </w:t>
      </w:r>
      <w:r>
        <w:t xml:space="preserve">A signature locked in one cohort reproduced almost perfectly in a sister cohort from the same consortium,</w:t>
      </w:r>
      <w:r>
        <w:t xml:space="preserve"> </w:t>
      </w:r>
      <w:r>
        <w:t xml:space="preserve">but only weakly in a separate replication cohort. There, most of the signal disappeared after adjustment for leukocyte</w:t>
      </w:r>
      <w:r>
        <w:t xml:space="preserve"> </w:t>
      </w:r>
      <w:r>
        <w:t xml:space="preserve">composition, and a classifier with a cross-validated AUROC of 0.84 performed at chance (0.53).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Meaning:</w:t>
      </w:r>
      <w:r>
        <w:t xml:space="preserve"> </w:t>
      </w:r>
      <w:r>
        <w:t xml:space="preserve">Blood transcriptomic AD signatures should be judged by tests in demonstrably independent cohorts, with</w:t>
      </w:r>
      <w:r>
        <w:t xml:space="preserve"> </w:t>
      </w:r>
      <w:r>
        <w:t xml:space="preserve">composition-adjusted models, rather than by agreement between related cohorts.</w:t>
      </w:r>
    </w:p>
    <w:bookmarkEnd w:id="9"/>
    <w:bookmarkEnd w:id="10"/>
    <w:bookmarkStart w:id="14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Blood-based biomarkers could make the detection and monitoring of Alzheimer’s disease (AD) cheaper and more accessible</w:t>
      </w:r>
      <w:r>
        <w:t xml:space="preserve"> </w:t>
      </w:r>
      <w:r>
        <w:t xml:space="preserve">than cerebrospinal fluid or PET measures [1]. Plasma proteins, notably phosphorylated tau species, have advanced</w:t>
      </w:r>
      <w:r>
        <w:t xml:space="preserve"> </w:t>
      </w:r>
      <w:r>
        <w:t xml:space="preserve">furthest [2]. Peripheral blood transcriptomes offer a complementary view: they capture systemic immune, metabolic and</w:t>
      </w:r>
      <w:r>
        <w:t xml:space="preserve"> </w:t>
      </w:r>
      <w:r>
        <w:t xml:space="preserve">mitochondrial processes that have been linked to neurodegeneration [3], and large public microarray datasets are</w:t>
      </w:r>
      <w:r>
        <w:t xml:space="preserve"> </w:t>
      </w:r>
      <w:r>
        <w:t xml:space="preserve">available.</w:t>
      </w:r>
    </w:p>
    <w:p>
      <w:pPr>
        <w:pStyle w:val="BodyText"/>
      </w:pPr>
      <w:r>
        <w:t xml:space="preserve">Several blood transcriptomic AD signatures and classifiers have been reported, many of them derived from the AddNeuroMed</w:t>
      </w:r>
      <w:r>
        <w:t xml:space="preserve"> </w:t>
      </w:r>
      <w:r>
        <w:t xml:space="preserve">cohorts deposited as GSE63060 and GSE63061 [3–6]. Reported classification accuracies are often high, although external</w:t>
      </w:r>
      <w:r>
        <w:t xml:space="preserve"> </w:t>
      </w:r>
      <w:r>
        <w:t xml:space="preserve">performance has been more modest [6]. These studies share recurring vulnerabilities. Two cohorts from the same consortium</w:t>
      </w:r>
      <w:r>
        <w:t xml:space="preserve"> </w:t>
      </w:r>
      <w:r>
        <w:t xml:space="preserve">are often treated as discovery and</w:t>
      </w:r>
      <w:r>
        <w:t xml:space="preserve"> </w:t>
      </w:r>
      <w:r>
        <w:t xml:space="preserve">“validation”</w:t>
      </w:r>
      <w:r>
        <w:t xml:space="preserve">, although they may share participants and processing. Deposited</w:t>
      </w:r>
      <w:r>
        <w:t xml:space="preserve"> </w:t>
      </w:r>
      <w:r>
        <w:t xml:space="preserve">diagnostic labels may not reflect diagnosis at the time of the blood draw, and diagnostic criteria differ between cohorts.</w:t>
      </w:r>
      <w:r>
        <w:t xml:space="preserve"> </w:t>
      </w:r>
      <w:r>
        <w:t xml:space="preserve">Processing batches can be confounded with diagnosis. Feature selection or tuning outside the cross-validation loop can</w:t>
      </w:r>
      <w:r>
        <w:t xml:space="preserve"> </w:t>
      </w:r>
      <w:r>
        <w:t xml:space="preserve">inflate performance [7,8]. Finally, whole-blood expression reflects leukocyte composition as well as within-cell</w:t>
      </w:r>
      <w:r>
        <w:t xml:space="preserve"> </w:t>
      </w:r>
      <w:r>
        <w:t xml:space="preserve">regulation, so apparent disease signatures may be cell-mix signatures [9,10].</w:t>
      </w:r>
    </w:p>
    <w:p>
      <w:pPr>
        <w:pStyle w:val="BodyText"/>
      </w:pPr>
      <w:r>
        <w:t xml:space="preserve">We therefore re-examined the question under a written, decision-logged statistical analysis plan, in which every</w:t>
      </w:r>
      <w:r>
        <w:t xml:space="preserve"> </w:t>
      </w:r>
      <w:r>
        <w:t xml:space="preserve">analytic choice that could depend on the results was fixed and approved before the corresponding data were modelled. We</w:t>
      </w:r>
      <w:r>
        <w:t xml:space="preserve"> </w:t>
      </w:r>
      <w:r>
        <w:t xml:space="preserve">asked four questions: (A) which blood genes are associated with AD in a discovery cohort; (B) whether a signature locked</w:t>
      </w:r>
      <w:r>
        <w:t xml:space="preserve"> </w:t>
      </w:r>
      <w:r>
        <w:t xml:space="preserve">in that cohort reproduces in other cohorts, distinguishing a related cohort from a replication cohort; (C) whether the</w:t>
      </w:r>
      <w:r>
        <w:t xml:space="preserve"> </w:t>
      </w:r>
      <w:r>
        <w:t xml:space="preserve">signature is also shifted in Parkinson’s disease, which bears on disease specificity; and (D) whether a</w:t>
      </w:r>
      <w:r>
        <w:t xml:space="preserve"> </w:t>
      </w:r>
      <w:r>
        <w:t xml:space="preserve">leakage-controlled classifier transports to unseen cohorts. We also assessed how much of the signal is explained by</w:t>
      </w:r>
      <w:r>
        <w:t xml:space="preserve"> </w:t>
      </w:r>
      <w:r>
        <w:t xml:space="preserve">indices of leukocyte composition. The overall design is shown in Figure 1.</w:t>
      </w:r>
    </w:p>
    <w:p>
      <w:pPr>
        <w:pStyle w:val="CaptionedFigure"/>
      </w:pPr>
      <w:r>
        <w:drawing>
          <wp:inline>
            <wp:extent cx="5969000" cy="3798454"/>
            <wp:effectExtent b="0" l="0" r="0" t="0"/>
            <wp:docPr descr="Figure 1. Study design. Roles, deposited and analysed sample numbers of the four cohorts (top row); discovery and locking of the 200-gene signature in GSE63060 and the tests of that unchanged signature in the other cohorts (middle row); the classifier trained by nested, chip-grouped cross-validation, frozen and applied once to each external cohort (bottom row); and the leukocyte-composition sensitivity analyses (bottom band). Sample numbers are after the approved rule-applied exclusions. IPD, idiopathic Parkinson’s disease; GPD, genetic Parkinson’s disease; GU, genetic unaffected; CTL, control." title="" id="12" name="Picture"/>
            <a:graphic>
              <a:graphicData uri="http://schemas.openxmlformats.org/drawingml/2006/picture">
                <pic:pic>
                  <pic:nvPicPr>
                    <pic:cNvPr descr="figures/Figure1_study_desig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9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 Study design.</w:t>
      </w:r>
      <w:r>
        <w:t xml:space="preserve"> </w:t>
      </w:r>
      <w:r>
        <w:t xml:space="preserve">Roles, deposited and analysed sample numbers of the four cohorts (top row); discovery and</w:t>
      </w:r>
      <w:r>
        <w:t xml:space="preserve"> </w:t>
      </w:r>
      <w:r>
        <w:t xml:space="preserve">locking of the 200-gene signature in GSE63060 and the tests of that unchanged signature in the other cohorts (middle</w:t>
      </w:r>
      <w:r>
        <w:t xml:space="preserve"> </w:t>
      </w:r>
      <w:r>
        <w:t xml:space="preserve">row); the classifier trained by nested, chip-grouped cross-validation, frozen and applied once to each external cohort</w:t>
      </w:r>
      <w:r>
        <w:t xml:space="preserve"> </w:t>
      </w:r>
      <w:r>
        <w:t xml:space="preserve">(bottom row); and the leukocyte-composition sensitivity analyses (bottom band). Sample numbers are after the approved</w:t>
      </w:r>
      <w:r>
        <w:t xml:space="preserve"> </w:t>
      </w:r>
      <w:r>
        <w:t xml:space="preserve">rule-applied exclusions. IPD, idiopathic Parkinson’s disease; GPD, genetic Parkinson’s disease; GU, genetic</w:t>
      </w:r>
      <w:r>
        <w:t xml:space="preserve"> </w:t>
      </w:r>
      <w:r>
        <w:t xml:space="preserve">unaffected; CTL, control.</w:t>
      </w:r>
    </w:p>
    <w:bookmarkEnd w:id="14"/>
    <w:bookmarkStart w:id="26" w:name="methods"/>
    <w:p>
      <w:pPr>
        <w:pStyle w:val="Heading2"/>
      </w:pPr>
      <w:r>
        <w:t xml:space="preserve">2. Methods</w:t>
      </w:r>
    </w:p>
    <w:bookmarkStart w:id="15" w:name="governance-and-reproducibility"/>
    <w:p>
      <w:pPr>
        <w:pStyle w:val="Heading3"/>
      </w:pPr>
      <w:r>
        <w:t xml:space="preserve">2.1 Governance and reproducibility</w:t>
      </w:r>
    </w:p>
    <w:p>
      <w:pPr>
        <w:pStyle w:val="FirstParagraph"/>
      </w:pPr>
      <w:r>
        <w:t xml:space="preserve">The analysis followed a written statistical analysis plan (SAP) with a decision register. The plan as a whole was not</w:t>
      </w:r>
      <w:r>
        <w:t xml:space="preserve"> </w:t>
      </w:r>
      <w:r>
        <w:t xml:space="preserve">formally frozen; instead, each decision was approved before the analysis it governed, and changes made after results were</w:t>
      </w:r>
      <w:r>
        <w:t xml:space="preserve"> </w:t>
      </w:r>
      <w:r>
        <w:t xml:space="preserve">limited to labelled amendments or post hoc analyses. Every output was produced under a code-identity lifecycle that hashes</w:t>
      </w:r>
      <w:r>
        <w:t xml:space="preserve"> </w:t>
      </w:r>
      <w:r>
        <w:t xml:space="preserve">the code, the R and Python environments and the inputs, and verifies the executed code against those hashes. Each result</w:t>
      </w:r>
      <w:r>
        <w:t xml:space="preserve"> </w:t>
      </w:r>
      <w:r>
        <w:t xml:space="preserve">was computed twice, and the two computations had to be byte-identical before the output was accepted. Software: R 4.6.1,</w:t>
      </w:r>
      <w:r>
        <w:t xml:space="preserve"> </w:t>
      </w:r>
      <w:r>
        <w:t xml:space="preserve">Bioconductor 3.23, limma 3.68.5 and glmnet 5.1, with a pinned Python environment.</w:t>
      </w:r>
    </w:p>
    <w:bookmarkEnd w:id="15"/>
    <w:bookmarkStart w:id="16" w:name="datasets-and-roles"/>
    <w:p>
      <w:pPr>
        <w:pStyle w:val="Heading3"/>
      </w:pPr>
      <w:r>
        <w:t xml:space="preserve">2.2 Datasets and roles</w:t>
      </w:r>
    </w:p>
    <w:p>
      <w:pPr>
        <w:pStyle w:val="FirstParagraph"/>
      </w:pPr>
      <w:r>
        <w:t xml:space="preserve">Four public whole-blood datasets were used, each with a role fixed in advance (Table 1). Dataset sources: GSE63060 and</w:t>
      </w:r>
      <w:r>
        <w:t xml:space="preserve"> </w:t>
      </w:r>
      <w:r>
        <w:t xml:space="preserve">GSE63061 (AddNeuroMed) [4,5]; GSE140829 [11]; GSE99039 [12].</w:t>
      </w:r>
    </w:p>
    <w:p>
      <w:pPr>
        <w:pStyle w:val="TableCaption"/>
      </w:pPr>
      <w:r>
        <w:rPr>
          <w:b/>
          <w:bCs/>
        </w:rPr>
        <w:t xml:space="preserve">Table 1. Cohorts, platforms and pre-specified roles.</w:t>
      </w:r>
      <w:r>
        <w:t xml:space="preserve"> </w:t>
      </w:r>
      <w:r>
        <w:t xml:space="preserve">Primary populations are after the approved rule-applied</w:t>
      </w:r>
      <w:r>
        <w:t xml:space="preserve"> </w:t>
      </w:r>
      <w:r>
        <w:t xml:space="preserve">exclusions; in GSE99039, numbers are before the complete-case requirement on recorded sex.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Cohorts, platforms and pre-specified roles. Primary populations are after the approved rule-applied exclusions; in GSE99039, numbers are before the complete-case requirement on recorded sex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GSE63060</w:t>
            </w:r>
          </w:p>
        </w:tc>
        <w:tc>
          <w:tcPr/>
          <w:p>
            <w:pPr>
              <w:pStyle w:val="Compact"/>
            </w:pPr>
            <w:r>
              <w:t xml:space="preserve">Illumina HT-12 v3 (GPL6947)</w:t>
            </w:r>
          </w:p>
        </w:tc>
        <w:tc>
          <w:tcPr/>
          <w:p>
            <w:pPr>
              <w:pStyle w:val="Compact"/>
            </w:pPr>
            <w: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145 AD, 60 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GSE63061</w:t>
            </w:r>
          </w:p>
        </w:tc>
        <w:tc>
          <w:tcPr/>
          <w:p>
            <w:pPr>
              <w:pStyle w:val="Compact"/>
            </w:pPr>
            <w:r>
              <w:t xml:space="preserve">Illumina HT-12 v4 (GPL10558)</w:t>
            </w:r>
          </w:p>
        </w:tc>
        <w:tc>
          <w:tcPr/>
          <w:p>
            <w:pPr>
              <w:pStyle w:val="Compact"/>
            </w:pPr>
            <w:r>
              <w:t xml:space="preserve">Related-cohort consistency; possible participant overlap</w:t>
            </w:r>
          </w:p>
        </w:tc>
        <w:tc>
          <w:tcPr/>
          <w:p>
            <w:pPr>
              <w:pStyle w:val="Compact"/>
            </w:pPr>
            <w:r>
              <w:t xml:space="preserve">139 AD, 133 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GSE140829</w:t>
            </w:r>
          </w:p>
        </w:tc>
        <w:tc>
          <w:tcPr/>
          <w:p>
            <w:pPr>
              <w:pStyle w:val="Compact"/>
            </w:pPr>
            <w:r>
              <w:t xml:space="preserve">Illumina HT-12 v4, nuID-keyed (GPL15988)</w:t>
            </w:r>
          </w:p>
        </w:tc>
        <w:tc>
          <w:tcPr/>
          <w:p>
            <w:pPr>
              <w:pStyle w:val="Compact"/>
            </w:pPr>
            <w:r>
              <w:t xml:space="preserve">Replication; independence unverified</w:t>
            </w:r>
          </w:p>
        </w:tc>
        <w:tc>
          <w:tcPr/>
          <w:p>
            <w:pPr>
              <w:pStyle w:val="Compact"/>
            </w:pPr>
            <w:r>
              <w:t xml:space="preserve">201 AD, 248 CTL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GSE99039</w:t>
            </w:r>
          </w:p>
        </w:tc>
        <w:tc>
          <w:tcPr/>
          <w:p>
            <w:pPr>
              <w:pStyle w:val="Compact"/>
            </w:pPr>
            <w:r>
              <w:t xml:space="preserve">Affymetrix HG-U133 Plus 2 (GPL570)</w:t>
            </w:r>
          </w:p>
        </w:tc>
        <w:tc>
          <w:tcPr/>
          <w:p>
            <w:pPr>
              <w:pStyle w:val="Compact"/>
            </w:pPr>
            <w:r>
              <w:t xml:space="preserve">Parkinson’s disease specificity</w:t>
            </w:r>
          </w:p>
        </w:tc>
        <w:tc>
          <w:tcPr/>
          <w:p>
            <w:pPr>
              <w:pStyle w:val="Compact"/>
            </w:pPr>
            <w:r>
              <w:t xml:space="preserve">IPD 197, GPD 40, GU 22, CTL 229</w:t>
            </w:r>
          </w:p>
        </w:tc>
      </w:tr>
    </w:tbl>
    <w:bookmarkEnd w:id="16"/>
    <w:bookmarkStart w:id="17" w:name="eligibility-and-quality-control"/>
    <w:p>
      <w:pPr>
        <w:pStyle w:val="Heading3"/>
      </w:pPr>
      <w:r>
        <w:t xml:space="preserve">2.3 Eligibility and quality control</w:t>
      </w:r>
    </w:p>
    <w:p>
      <w:pPr>
        <w:pStyle w:val="FirstParagraph"/>
      </w:pPr>
      <w:r>
        <w:t xml:space="preserve">Eligibility was rule-based. Deposited diagnostic labels were used without relabelling, and mild cognitive impairment</w:t>
      </w:r>
      <w:r>
        <w:t xml:space="preserve"> </w:t>
      </w:r>
      <w:r>
        <w:t xml:space="preserve">and other labels were kept outside the primary contrasts. Duplicates were reviewed using metadata and expression</w:t>
      </w:r>
      <w:r>
        <w:t xml:space="preserve"> </w:t>
      </w:r>
      <w:r>
        <w:t xml:space="preserve">similarity, with a designated reviewer. Sex was checked on two independent axes (R8), using XIST and nine Y-chromosome</w:t>
      </w:r>
      <w:r>
        <w:t xml:space="preserve"> </w:t>
      </w:r>
      <w:r>
        <w:t xml:space="preserve">genes (eight on GPL570), without a validated threshold; robust outlier and near-identity flags were also computed (R9).</w:t>
      </w:r>
      <w:r>
        <w:t xml:space="preserve"> </w:t>
      </w:r>
      <w:r>
        <w:t xml:space="preserve">The author reviewed and approved each cohort’s complete rule-applied exclusion list before any expression model was fitted.</w:t>
      </w:r>
    </w:p>
    <w:p>
      <w:pPr>
        <w:pStyle w:val="BodyText"/>
      </w:pPr>
      <w:r>
        <w:t xml:space="preserve">This check produced an important finding. In GSE63060, 44 of 104 deposited controls, and no AD arrays, were discordant on</w:t>
      </w:r>
      <w:r>
        <w:t xml:space="preserve"> </w:t>
      </w:r>
      <w:r>
        <w:t xml:space="preserve">both sex axes. The expression-derived and recorded sex totals among controls were equal, which is consistent with a</w:t>
      </w:r>
      <w:r>
        <w:t xml:space="preserve"> </w:t>
      </w:r>
      <w:r>
        <w:t xml:space="preserve">permutation of sex labels or sample identities. The comparable rates were 1 of 388 arrays in GSE63061, 2 of 587 in</w:t>
      </w:r>
      <w:r>
        <w:t xml:space="preserve"> </w:t>
      </w:r>
      <w:r>
        <w:t xml:space="preserve">GSE140829 and 15 of 558 in GSE99039. The data owners were queried and the discrepancy was reported to GEO in October 2026; no</w:t>
      </w:r>
      <w:r>
        <w:t xml:space="preserve"> </w:t>
      </w:r>
      <w:r>
        <w:t xml:space="preserve">corrected GEO record was available at the time of writing. A curated AddNeuroMed release (ANMerge) reports correcting errors in previously shared data [13].</w:t>
      </w:r>
    </w:p>
    <w:bookmarkEnd w:id="17"/>
    <w:bookmarkStart w:id="18" w:name="probe-to-gene-mapping"/>
    <w:p>
      <w:pPr>
        <w:pStyle w:val="Heading3"/>
      </w:pPr>
      <w:r>
        <w:t xml:space="preserve">2.4 Probe-to-gene mapping</w:t>
      </w:r>
    </w:p>
    <w:p>
      <w:pPr>
        <w:pStyle w:val="FirstParagraph"/>
      </w:pPr>
      <w:r>
        <w:t xml:space="preserve">Illumina probes were mapped to Entrez genes with a single pinned annotation snapshot, and multi-mapped probes were</w:t>
      </w:r>
      <w:r>
        <w:t xml:space="preserve"> </w:t>
      </w:r>
      <w:r>
        <w:t xml:space="preserve">excluded. For GSE140829, nuIDs were translated to ILMN probe identifiers through the pinned annotation; the translation was</w:t>
      </w:r>
      <w:r>
        <w:t xml:space="preserve"> </w:t>
      </w:r>
      <w:r>
        <w:t xml:space="preserve">verified against a second package and against first-principles sequence decoding, with 47,008 of 47,008 features</w:t>
      </w:r>
      <w:r>
        <w:t xml:space="preserve"> </w:t>
      </w:r>
      <w:r>
        <w:t xml:space="preserve">agreeing. GPL570 used a separate, approved mapping. Each gene’s value was the mean of its eligible probes.</w:t>
      </w:r>
    </w:p>
    <w:bookmarkEnd w:id="18"/>
    <w:bookmarkStart w:id="19" w:name="discovery-and-signature-lock"/>
    <w:p>
      <w:pPr>
        <w:pStyle w:val="Heading3"/>
      </w:pPr>
      <w:r>
        <w:t xml:space="preserve">2.5 Discovery and signature lock</w:t>
      </w:r>
    </w:p>
    <w:p>
      <w:pPr>
        <w:pStyle w:val="FirstParagraph"/>
      </w:pPr>
      <w:r>
        <w:t xml:space="preserve">Differential expression was estimated with limma (lmFit with eBayes, trend = TRUE), modelling AD status, age (linear),</w:t>
      </w:r>
      <w:r>
        <w:t xml:space="preserve"> </w:t>
      </w:r>
      <w:r>
        <w:t xml:space="preserve">recorded sex and chip as a fixed effect in a full-rank basis. Multiple testing used Benjamini–Hochberg at q &lt; 0.05.</w:t>
      </w:r>
      <w:r>
        <w:t xml:space="preserve"> </w:t>
      </w:r>
      <w:r>
        <w:t xml:space="preserve">Identifiability was checked before the fit: 25 chips contained both groups, with design efficiency E = 0.82 and variance</w:t>
      </w:r>
      <w:r>
        <w:t xml:space="preserve"> </w:t>
      </w:r>
      <w:r>
        <w:t xml:space="preserve">inflation factor (VIF) 1.22. The top 200 genes by q (ties broken by |β|, then |t|) were locked, with their directions,</w:t>
      </w:r>
      <w:r>
        <w:t xml:space="preserve"> </w:t>
      </w:r>
      <w:r>
        <w:t xml:space="preserve">before any other cohort’s expression was modelled. Fourteen pre-specified sensitivity analyses varied the age range,</w:t>
      </w:r>
      <w:r>
        <w:t xml:space="preserve"> </w:t>
      </w:r>
      <w:r>
        <w:t xml:space="preserve">batch and site terms, QC exclusions, expression filtering, the gene-level summary and the sample subset.</w:t>
      </w:r>
    </w:p>
    <w:bookmarkEnd w:id="19"/>
    <w:bookmarkStart w:id="20" w:name="validation-tests"/>
    <w:p>
      <w:pPr>
        <w:pStyle w:val="Heading3"/>
      </w:pPr>
      <w:r>
        <w:t xml:space="preserve">2.6 Validation tests</w:t>
      </w:r>
    </w:p>
    <w:p>
      <w:pPr>
        <w:pStyle w:val="FirstParagraph"/>
      </w:pPr>
      <w:r>
        <w:t xml:space="preserve">Each cohort was analysed separately, without pooling. The primary test (C-c) used an equal-weight signature score: the</w:t>
      </w:r>
      <w:r>
        <w:t xml:space="preserve"> </w:t>
      </w:r>
      <w:r>
        <w:t xml:space="preserve">mean z-score of the up-genes minus the mean z-score of the down-genes, with z computed without reference to diagnosis.</w:t>
      </w:r>
      <w:r>
        <w:t xml:space="preserve"> </w:t>
      </w:r>
      <w:r>
        <w:t xml:space="preserve">A shift toward AD was tested one-sided, adjusted for the cohort’s covariates, and decided by the one-sided 95% lower</w:t>
      </w:r>
      <w:r>
        <w:t xml:space="preserve"> </w:t>
      </w:r>
      <w:r>
        <w:t xml:space="preserve">bound. A per-gene test (C-a) used one-sided moderated t tests in the locked direction, with BH correction across</w:t>
      </w:r>
      <w:r>
        <w:t xml:space="preserve"> </w:t>
      </w:r>
      <w:r>
        <w:t xml:space="preserve">measurable locked genes; direction agreement (C-b) was descriptive. For GSE63061, a descriptive Pearson correlation of</w:t>
      </w:r>
      <w:r>
        <w:t xml:space="preserve"> </w:t>
      </w:r>
      <w:r>
        <w:t xml:space="preserve">effects was added, with a nominal Fisher-z interval. A cohort was testable only if at least 50%, and at least min(5, n),</w:t>
      </w:r>
      <w:r>
        <w:t xml:space="preserve"> </w:t>
      </w:r>
      <w:r>
        <w:t xml:space="preserve">of the locked genes in each direction were measurable.</w:t>
      </w:r>
    </w:p>
    <w:bookmarkEnd w:id="20"/>
    <w:bookmarkStart w:id="21" w:name="specificity"/>
    <w:p>
      <w:pPr>
        <w:pStyle w:val="Heading3"/>
      </w:pPr>
      <w:r>
        <w:t xml:space="preserve">2.7 Specificity</w:t>
      </w:r>
    </w:p>
    <w:p>
      <w:pPr>
        <w:pStyle w:val="FirstParagraph"/>
      </w:pPr>
      <w:r>
        <w:t xml:space="preserve">In GSE99039, the score shift in each disease group versus controls was tested two-sided (Q1), adjusted for sex and</w:t>
      </w:r>
      <w:r>
        <w:t xml:space="preserve"> </w:t>
      </w:r>
      <w:r>
        <w:t xml:space="preserve">batch, with Holm correction across idiopathic PD (primary), genetic PD and genetic unaffected carriers (descriptive).</w:t>
      </w:r>
      <w:r>
        <w:t xml:space="preserve"> </w:t>
      </w:r>
      <w:r>
        <w:t xml:space="preserve">Per-gene tests were two-sided with BH correction within each contrast. An age-adjusted model (S15) was a labelled</w:t>
      </w:r>
      <w:r>
        <w:t xml:space="preserve"> </w:t>
      </w:r>
      <w:r>
        <w:t xml:space="preserve">sensitivity analysis. No equivalence margin was specified, so by design no claim of</w:t>
      </w:r>
      <w:r>
        <w:t xml:space="preserve"> </w:t>
      </w:r>
      <w:r>
        <w:t xml:space="preserve">“absence of association”</w:t>
      </w:r>
      <w:r>
        <w:t xml:space="preserve"> </w:t>
      </w:r>
      <w:r>
        <w:t xml:space="preserve">or</w:t>
      </w:r>
      <w:r>
        <w:t xml:space="preserve"> </w:t>
      </w:r>
      <w:r>
        <w:t xml:space="preserve">“AD-specific”</w:t>
      </w:r>
      <w:r>
        <w:t xml:space="preserve"> </w:t>
      </w:r>
      <w:r>
        <w:t xml:space="preserve">could be made.</w:t>
      </w:r>
    </w:p>
    <w:bookmarkEnd w:id="21"/>
    <w:bookmarkStart w:id="22" w:name="Xddfa5d78e2a3033982ba0fe283b0c5a9ff0fe10"/>
    <w:p>
      <w:pPr>
        <w:pStyle w:val="Heading3"/>
      </w:pPr>
      <w:r>
        <w:t xml:space="preserve">2.8 Cell-composition sensitivity (S11 and S11-ext)</w:t>
      </w:r>
    </w:p>
    <w:p>
      <w:pPr>
        <w:pStyle w:val="FirstParagraph"/>
      </w:pPr>
      <w:r>
        <w:t xml:space="preserve">Five leukocyte-class indices (T cells, B lineage, NK cells, monocytic lineage, neutrophils) were built from the published</w:t>
      </w:r>
      <w:r>
        <w:t xml:space="preserve"> </w:t>
      </w:r>
      <w:r>
        <w:t xml:space="preserve">MCP-counter marker lists [14], pinned by commit and SHA-256 (licence CC0). Each index is the mean of diagnosis-blind</w:t>
      </w:r>
      <w:r>
        <w:t xml:space="preserve"> </w:t>
      </w:r>
      <w:r>
        <w:t xml:space="preserve">z-scores of that class’s markers measurable in the cohort, and the indices were added as linear covariates to each</w:t>
      </w:r>
      <w:r>
        <w:t xml:space="preserve"> </w:t>
      </w:r>
      <w:r>
        <w:t xml:space="preserve">primary model. In the discovery cohort (S11), the analysis was pre-specified as a sensitivity analysis but its method was</w:t>
      </w:r>
      <w:r>
        <w:t xml:space="preserve"> </w:t>
      </w:r>
      <w:r>
        <w:t xml:space="preserve">chosen after the primary results. The extension to GSE140829 and GSE99039 (S11-ext) was decided post hoc. Because the</w:t>
      </w:r>
      <w:r>
        <w:t xml:space="preserve"> </w:t>
      </w:r>
      <w:r>
        <w:t xml:space="preserve">covariates are themselves estimated from expression, both analyses are labelled accordingly, and neither alters the</w:t>
      </w:r>
      <w:r>
        <w:t xml:space="preserve"> </w:t>
      </w:r>
      <w:r>
        <w:t xml:space="preserve">locked signature. CD3D, a T-cell marker that is also a locked gene, stayed in the T-cell index and was excluded from the</w:t>
      </w:r>
      <w:r>
        <w:t xml:space="preserve"> </w:t>
      </w:r>
      <w:r>
        <w:t xml:space="preserve">S11 locked-gene comparison.</w:t>
      </w:r>
    </w:p>
    <w:bookmarkEnd w:id="22"/>
    <w:bookmarkStart w:id="23" w:name="classifier"/>
    <w:p>
      <w:pPr>
        <w:pStyle w:val="Heading3"/>
      </w:pPr>
      <w:r>
        <w:t xml:space="preserve">2.9 Classifier</w:t>
      </w:r>
    </w:p>
    <w:p>
      <w:pPr>
        <w:pStyle w:val="FirstParagraph"/>
      </w:pPr>
      <w:r>
        <w:t xml:space="preserve">The machine-learning protocol was written and approved before any machine-learning code touched real data. Features were</w:t>
      </w:r>
      <w:r>
        <w:t xml:space="preserve"> </w:t>
      </w:r>
      <w:r>
        <w:t xml:space="preserve">gene-level expression values, excluding the R8 sex-check genes; recorded sex and chip were never used as predictors.</w:t>
      </w:r>
      <w:r>
        <w:t xml:space="preserve"> </w:t>
      </w:r>
      <w:r>
        <w:t xml:space="preserve">Expression was centred within each chip without reference to diagnosis. Inside each training fold, the pipeline scaled the</w:t>
      </w:r>
      <w:r>
        <w:t xml:space="preserve"> </w:t>
      </w:r>
      <w:r>
        <w:t xml:space="preserve">data, selected the top k genes with limma (k ∈ {50, 100, 200}) and fitted a ridge penalty, with k and the penalty chosen</w:t>
      </w:r>
      <w:r>
        <w:t xml:space="preserve"> </w:t>
      </w:r>
      <w:r>
        <w:t xml:space="preserve">by inner cross-validation. The outer loop was 20 repeats of 5-fold cross-validation with whole chips kept together in each</w:t>
      </w:r>
      <w:r>
        <w:t xml:space="preserve"> </w:t>
      </w:r>
      <w:r>
        <w:t xml:space="preserve">fold, inner folds likewise grouped by chip, and class-weighted fitting. Baselines were prevalence only, age only and an</w:t>
      </w:r>
      <w:r>
        <w:t xml:space="preserve"> </w:t>
      </w:r>
      <w:r>
        <w:t xml:space="preserve">equal-weight score. Metrics were AUROC, AUPRC, Brier score, calibration, and sensitivity, specificity and PPV at a threshold</w:t>
      </w:r>
      <w:r>
        <w:t xml:space="preserve"> </w:t>
      </w:r>
      <w:r>
        <w:t xml:space="preserve">fixed in the inner loop; a 200-permutation within-chip label null gave the reference distribution.</w:t>
      </w:r>
    </w:p>
    <w:p>
      <w:pPr>
        <w:pStyle w:val="BodyText"/>
      </w:pPr>
      <w:r>
        <w:t xml:space="preserve">Before any real-data run, synthetic leakage tests had to pass: random labels gave chance AUROC; a strong batch–label</w:t>
      </w:r>
      <w:r>
        <w:t xml:space="preserve"> </w:t>
      </w:r>
      <w:r>
        <w:t xml:space="preserve">confound (AUROC 0.87 on its own) was not exploited; and changing test-fold expression left every training choice</w:t>
      </w:r>
      <w:r>
        <w:t xml:space="preserve"> </w:t>
      </w:r>
      <w:r>
        <w:t xml:space="preserve">unchanged. The final model was then refitted on all 205 discovery arrays, frozen and hashed, and applied once to each</w:t>
      </w:r>
      <w:r>
        <w:t xml:space="preserve"> </w:t>
      </w:r>
      <w:r>
        <w:t xml:space="preserve">external cohort with within-cohort standardisation. How the frozen model turns an expression profile into a prediction is</w:t>
      </w:r>
      <w:r>
        <w:t xml:space="preserve"> </w:t>
      </w:r>
      <w:r>
        <w:t xml:space="preserve">shown in Figure 8.</w:t>
      </w:r>
    </w:p>
    <w:bookmarkEnd w:id="23"/>
    <w:bookmarkStart w:id="24" w:name="use-of-ai-tools"/>
    <w:p>
      <w:pPr>
        <w:pStyle w:val="Heading3"/>
      </w:pPr>
      <w:r>
        <w:t xml:space="preserve">2.10 Use of AI tools</w:t>
      </w:r>
    </w:p>
    <w:p>
      <w:pPr>
        <w:pStyle w:val="FirstParagraph"/>
      </w:pPr>
      <w:r>
        <w:t xml:space="preserve">The author used an AI assistant (Anthropic’s Claude, model Claude Opus 5.5, through Claude Code) to write and test</w:t>
      </w:r>
      <w:r>
        <w:t xml:space="preserve"> </w:t>
      </w:r>
      <w:r>
        <w:t xml:space="preserve">analysis code, run the analyses, and draft and edit the manuscript text. Every analytic decision was made or approved by the</w:t>
      </w:r>
      <w:r>
        <w:t xml:space="preserve"> </w:t>
      </w:r>
      <w:r>
        <w:t xml:space="preserve">author, recorded in a decision register before the corresponding analysis, and verified through the code-identity</w:t>
      </w:r>
      <w:r>
        <w:t xml:space="preserve"> </w:t>
      </w:r>
      <w:r>
        <w:t xml:space="preserve">checks described in 2.1. The author reviewed all outputs and text and takes full responsibility for the content. AI</w:t>
      </w:r>
      <w:r>
        <w:t xml:space="preserve"> </w:t>
      </w:r>
      <w:r>
        <w:t xml:space="preserve">tools are not authors.</w:t>
      </w:r>
    </w:p>
    <w:bookmarkEnd w:id="24"/>
    <w:bookmarkStart w:id="25" w:name="reporting"/>
    <w:p>
      <w:pPr>
        <w:pStyle w:val="Heading3"/>
      </w:pPr>
      <w:r>
        <w:t xml:space="preserve">2.11 Reporting</w:t>
      </w:r>
    </w:p>
    <w:p>
      <w:pPr>
        <w:pStyle w:val="FirstParagraph"/>
      </w:pPr>
      <w:r>
        <w:t xml:space="preserve">The classifier component is reported with reference to TRIPOD+AI [15] where applicable. No new data were collected.</w:t>
      </w:r>
    </w:p>
    <w:bookmarkEnd w:id="25"/>
    <w:bookmarkEnd w:id="26"/>
    <w:bookmarkStart w:id="54" w:name="results"/>
    <w:p>
      <w:pPr>
        <w:pStyle w:val="Heading2"/>
      </w:pPr>
      <w:r>
        <w:t xml:space="preserve">3. Results</w:t>
      </w:r>
    </w:p>
    <w:bookmarkStart w:id="30" w:name="Xec52793d637fd505df7ec94909b12ce957ee82b"/>
    <w:p>
      <w:pPr>
        <w:pStyle w:val="Heading3"/>
      </w:pPr>
      <w:r>
        <w:t xml:space="preserve">3.1 Discovery: a mitochondrial and ribosomal signature</w:t>
      </w:r>
    </w:p>
    <w:p>
      <w:pPr>
        <w:pStyle w:val="FirstParagraph"/>
      </w:pPr>
      <w:r>
        <w:t xml:space="preserve">In GSE63060, 1,401 of 17,425 genes were associated with AD at q &lt; 0.05: 739 were lower and 662 higher in AD. At probe</w:t>
      </w:r>
      <w:r>
        <w:t xml:space="preserve"> </w:t>
      </w:r>
      <w:r>
        <w:t xml:space="preserve">level, 1,744 of 38,323 probes reached the same threshold. The strongest associations were reductions in AD (Figure 2a).</w:t>
      </w:r>
      <w:r>
        <w:t xml:space="preserve"> </w:t>
      </w:r>
      <w:r>
        <w:t xml:space="preserve">The locked 200-gene signature contained 172 genes lower and 28 higher in AD. The ten top-ranked genes were NDUFA1, MRPL51,</w:t>
      </w:r>
      <w:r>
        <w:t xml:space="preserve"> </w:t>
      </w:r>
      <w:r>
        <w:t xml:space="preserve">CETN2, NDUFS5, RPL36AL, ATP6V1E1, SEM1, COX17, UFC1 and TBCA, all lower in AD; several encode components of the</w:t>
      </w:r>
      <w:r>
        <w:t xml:space="preserve"> </w:t>
      </w:r>
      <w:r>
        <w:t xml:space="preserve">mitochondrial respiratory chain or of ribosomes.</w:t>
      </w:r>
    </w:p>
    <w:p>
      <w:pPr>
        <w:pStyle w:val="BodyText"/>
      </w:pPr>
      <w:r>
        <w:t xml:space="preserve">The result was robust (Figure 2b). All 14 sensitivity analyses preserved the sign of all, or nearly all, of the 1,401</w:t>
      </w:r>
      <w:r>
        <w:t xml:space="preserve"> </w:t>
      </w:r>
      <w:r>
        <w:t xml:space="preserve">genes. Spearman correlations of t statistics with the primary analysis ranged from 0.897 to 0.999 in 13 of them; the</w:t>
      </w:r>
      <w:r>
        <w:t xml:space="preserve"> </w:t>
      </w:r>
      <w:r>
        <w:t xml:space="preserve">analysis with the smallest sample (49 AD, 37 controls) gave 0.737.</w:t>
      </w:r>
    </w:p>
    <w:p>
      <w:pPr>
        <w:pStyle w:val="CaptionedFigure"/>
      </w:pPr>
      <w:r>
        <w:drawing>
          <wp:inline>
            <wp:extent cx="5969000" cy="2728685"/>
            <wp:effectExtent b="0" l="0" r="0" t="0"/>
            <wp:docPr descr="Figure 2. Discovery in GSE63060. (a) Volcano plot of 17,425 genes: adjusted AD minus control effect (x-axis) against statistical significance (y-axis). Coloured points are the 200 locked genes (blue, lower in AD; orange, higher); grey points are other genes at FDR &lt; 0.05; the dashed line marks FDR 0.05. The most significant locked genes are labelled. (b) Agreement of each of the 14 pre-specified sensitivity analyses with the primary analysis, measured as the Spearman correlation of gene-level t statistics; n is the number of arrays in each analysis." title="" id="28" name="Picture"/>
            <a:graphic>
              <a:graphicData uri="http://schemas.openxmlformats.org/drawingml/2006/picture">
                <pic:pic>
                  <pic:nvPicPr>
                    <pic:cNvPr descr="figures/Figure2_discover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28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 Discovery in GSE63060.</w:t>
      </w:r>
      <w:r>
        <w:t xml:space="preserve"> </w:t>
      </w:r>
      <w:r>
        <w:t xml:space="preserve">(a) Volcano plot of 17,425 genes: adjusted AD minus control effect (x-axis)</w:t>
      </w:r>
      <w:r>
        <w:t xml:space="preserve"> </w:t>
      </w:r>
      <w:r>
        <w:t xml:space="preserve">against statistical significance (y-axis). Coloured points are the 200 locked genes (blue, lower in AD; orange, higher);</w:t>
      </w:r>
      <w:r>
        <w:t xml:space="preserve"> </w:t>
      </w:r>
      <w:r>
        <w:t xml:space="preserve">grey points are other genes at FDR &lt; 0.05; the dashed line marks FDR 0.05. The most significant locked genes are labelled.</w:t>
      </w:r>
      <w:r>
        <w:t xml:space="preserve"> </w:t>
      </w:r>
      <w:r>
        <w:t xml:space="preserve">(b) Agreement of each of the 14 pre-specified sensitivity analyses with the primary analysis, measured as the Spearman</w:t>
      </w:r>
      <w:r>
        <w:t xml:space="preserve"> </w:t>
      </w:r>
      <w:r>
        <w:t xml:space="preserve">correlation of gene-level t statistics; n is the number of arrays in each analysis.</w:t>
      </w:r>
    </w:p>
    <w:bookmarkEnd w:id="30"/>
    <w:bookmarkStart w:id="31" w:name="related-cohort-consistency-gse63061"/>
    <w:p>
      <w:pPr>
        <w:pStyle w:val="Heading3"/>
      </w:pPr>
      <w:r>
        <w:t xml:space="preserve">3.2 Related-cohort consistency (GSE63061)</w:t>
      </w:r>
    </w:p>
    <w:p>
      <w:pPr>
        <w:pStyle w:val="FirstParagraph"/>
      </w:pPr>
      <w:r>
        <w:t xml:space="preserve">All 200 locked genes were measurable in GSE63061. The signature score was clearly higher in AD than in controls</w:t>
      </w:r>
      <w:r>
        <w:t xml:space="preserve"> </w:t>
      </w:r>
      <w:r>
        <w:t xml:space="preserve">(Figure 3a): the adjusted shift was θ̂ = 1.24 score units (one-sided p = 3.0 × 10⁻¹⁴; lower bound 0.985). At gene level,</w:t>
      </w:r>
      <w:r>
        <w:t xml:space="preserve"> </w:t>
      </w:r>
      <w:r>
        <w:t xml:space="preserve">194 of 200 genes were consistent at q &lt; 0.05 and 198 of 200 agreed in direction, and the discovery and GSE63061 effects</w:t>
      </w:r>
      <w:r>
        <w:t xml:space="preserve"> </w:t>
      </w:r>
      <w:r>
        <w:t xml:space="preserve">were tightly correlated (Pearson r = 0.92; nominal Fisher-z interval 0.90–0.94; Figure 5a).</w:t>
      </w:r>
    </w:p>
    <w:bookmarkEnd w:id="31"/>
    <w:bookmarkStart w:id="35" w:name="replication-gse140829"/>
    <w:p>
      <w:pPr>
        <w:pStyle w:val="Heading3"/>
      </w:pPr>
      <w:r>
        <w:t xml:space="preserve">3.3 Replication (GSE140829)</w:t>
      </w:r>
    </w:p>
    <w:p>
      <w:pPr>
        <w:pStyle w:val="FirstParagraph"/>
      </w:pPr>
      <w:r>
        <w:t xml:space="preserve">All 200 genes were also measurable in GSE140829, but the picture was very different. The composite test passed</w:t>
      </w:r>
      <w:r>
        <w:t xml:space="preserve"> </w:t>
      </w:r>
      <w:r>
        <w:t xml:space="preserve">(θ̂ = 0.25; one-sided p = 0.0019; lower bound 0.108), yet the AD and control score distributions overlapped almost</w:t>
      </w:r>
      <w:r>
        <w:t xml:space="preserve"> </w:t>
      </w:r>
      <w:r>
        <w:t xml:space="preserve">completely (Figure 3b). Only 43 of 200 genes replicated at q &lt; 0.05 (36 of 172 down-genes and 7 of 28 up-genes), although</w:t>
      </w:r>
      <w:r>
        <w:t xml:space="preserve"> </w:t>
      </w:r>
      <w:r>
        <w:t xml:space="preserve">183 of 200 agreed in direction (Figure 5b). The strongest replicated genes were RPS12, RPL32, ITGAM (up), GTF2H5, RPS25,</w:t>
      </w:r>
      <w:r>
        <w:t xml:space="preserve"> </w:t>
      </w:r>
      <w:r>
        <w:t xml:space="preserve">RPL22 and RPS27A.</w:t>
      </w:r>
    </w:p>
    <w:p>
      <w:pPr>
        <w:pStyle w:val="CaptionedFigure"/>
      </w:pPr>
      <w:r>
        <w:drawing>
          <wp:inline>
            <wp:extent cx="5969000" cy="2387600"/>
            <wp:effectExtent b="0" l="0" r="0" t="0"/>
            <wp:docPr descr="Figure 3. Distribution of the locked signature score by group. Each point is one array; boxes show the median and interquartile range. (a) GSE63061, related AddNeuroMed cohort. (b) GSE140829, replication cohort. (c) GSE99039, idiopathic Parkinson’s disease versus controls (the primary specificity contrast; arrays with recorded sex). Scores are unadjusted and on each cohort’s own scale; the formal tests (Figure 4) adjust for each cohort’s covariates." title="" id="33" name="Picture"/>
            <a:graphic>
              <a:graphicData uri="http://schemas.openxmlformats.org/drawingml/2006/picture">
                <pic:pic>
                  <pic:nvPicPr>
                    <pic:cNvPr descr="figures/Figure3_score_distributio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38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 Distribution of the locked signature score by group.</w:t>
      </w:r>
      <w:r>
        <w:t xml:space="preserve"> </w:t>
      </w:r>
      <w:r>
        <w:t xml:space="preserve">Each point is one array; boxes show the median and</w:t>
      </w:r>
      <w:r>
        <w:t xml:space="preserve"> </w:t>
      </w:r>
      <w:r>
        <w:t xml:space="preserve">interquartile range. (a) GSE63061, related AddNeuroMed cohort. (b) GSE140829, replication cohort. (c) GSE99039, idiopathic</w:t>
      </w:r>
      <w:r>
        <w:t xml:space="preserve"> </w:t>
      </w:r>
      <w:r>
        <w:t xml:space="preserve">Parkinson’s disease versus controls (the primary specificity contrast; arrays with recorded sex). Scores are unadjusted</w:t>
      </w:r>
      <w:r>
        <w:t xml:space="preserve"> </w:t>
      </w:r>
      <w:r>
        <w:t xml:space="preserve">and on each cohort’s own scale; the formal tests (Figure 4) adjust for each cohort’s covariates.</w:t>
      </w:r>
    </w:p>
    <w:bookmarkEnd w:id="35"/>
    <w:bookmarkStart w:id="42" w:name="specificity-gse99039"/>
    <w:p>
      <w:pPr>
        <w:pStyle w:val="Heading3"/>
      </w:pPr>
      <w:r>
        <w:t xml:space="preserve">3.4 Specificity (GSE99039)</w:t>
      </w:r>
    </w:p>
    <w:p>
      <w:pPr>
        <w:pStyle w:val="FirstParagraph"/>
      </w:pPr>
      <w:r>
        <w:t xml:space="preserve">On GPL570, 190 of 200 locked genes were measurable. In idiopathic PD versus controls (183 versus 208 arrays after the sex</w:t>
      </w:r>
      <w:r>
        <w:t xml:space="preserve"> </w:t>
      </w:r>
      <w:r>
        <w:t xml:space="preserve">requirement), the score shifted in the AD direction: θ̂ = +0.20 (95% CI 0.04–0.37; two-sided p = 0.018; Holm-adjusted</w:t>
      </w:r>
      <w:r>
        <w:t xml:space="preserve"> </w:t>
      </w:r>
      <w:r>
        <w:t xml:space="preserve">p = 0.053; Figure 3c and Figure 4c). Two genes were individually significant, both in the AD direction: TCIRG1 and</w:t>
      </w:r>
      <w:r>
        <w:t xml:space="preserve"> </w:t>
      </w:r>
      <w:r>
        <w:t xml:space="preserve">NBEAL2. The genetic PD (θ̂ = +0.10, p = 0.47) and genetic unaffected (θ̂ = +0.19, p = 0.37) contrasts were not significant,</w:t>
      </w:r>
      <w:r>
        <w:t xml:space="preserve"> </w:t>
      </w:r>
      <w:r>
        <w:t xml:space="preserve">and the age-adjusted IPD estimate was +0.17 (p = 0.13). Under the pre-specified rule, therefore, no association with</w:t>
      </w:r>
      <w:r>
        <w:t xml:space="preserve"> </w:t>
      </w:r>
      <w:r>
        <w:t xml:space="preserve">Parkinson’s disease was demonstrated, but every estimate lay in the AD direction.</w:t>
      </w:r>
    </w:p>
    <w:p>
      <w:pPr>
        <w:pStyle w:val="CaptionedFigure"/>
      </w:pPr>
      <w:r>
        <w:drawing>
          <wp:inline>
            <wp:extent cx="4655820" cy="5320937"/>
            <wp:effectExtent b="0" l="0" r="0" t="0"/>
            <wp:docPr descr="Figure 4. Composite score shifts of the locked 200-gene signature. Adjusted mean difference in the signature score (disease minus control) with two-sided 95% confidence intervals. (a) GSE63061, related cohort with possible participant overlap. (b) GSE140829, replication cohort. (c) GSE99039, Parkinson’s disease contrasts versus controls (primary analysis two-sided and Holm-corrected across three contrasts). Blue, primary pre-specified analyses; orange, post hoc analyses additionally adjusted for five marker-based leukocyte composition indices. Each panel uses its cohort’s own score scale, so magnitudes are not comparable across panels." title="" id="37" name="Picture"/>
            <a:graphic>
              <a:graphicData uri="http://schemas.openxmlformats.org/drawingml/2006/picture">
                <pic:pic>
                  <pic:nvPicPr>
                    <pic:cNvPr descr="figures/Figure4_score_shif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532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 Composite score shifts of the locked 200-gene signature.</w:t>
      </w:r>
      <w:r>
        <w:t xml:space="preserve"> </w:t>
      </w:r>
      <w:r>
        <w:t xml:space="preserve">Adjusted mean difference in the signature score</w:t>
      </w:r>
      <w:r>
        <w:t xml:space="preserve"> </w:t>
      </w:r>
      <w:r>
        <w:t xml:space="preserve">(disease minus control) with two-sided 95% confidence intervals. (a) GSE63061, related cohort with possible participant</w:t>
      </w:r>
      <w:r>
        <w:t xml:space="preserve"> </w:t>
      </w:r>
      <w:r>
        <w:t xml:space="preserve">overlap. (b) GSE140829, replication cohort. (c) GSE99039, Parkinson’s disease contrasts versus controls (primary analysis</w:t>
      </w:r>
      <w:r>
        <w:t xml:space="preserve"> </w:t>
      </w:r>
      <w:r>
        <w:t xml:space="preserve">two-sided and Holm-corrected across three contrasts). Blue, primary pre-specified analyses; orange, post hoc analyses</w:t>
      </w:r>
      <w:r>
        <w:t xml:space="preserve"> </w:t>
      </w:r>
      <w:r>
        <w:t xml:space="preserve">additionally adjusted for five marker-based leukocyte composition indices. Each panel uses its cohort’s own score scale,</w:t>
      </w:r>
      <w:r>
        <w:t xml:space="preserve"> </w:t>
      </w:r>
      <w:r>
        <w:t xml:space="preserve">so magnitudes are not comparable across panels.</w:t>
      </w:r>
    </w:p>
    <w:p>
      <w:pPr>
        <w:pStyle w:val="CaptionedFigure"/>
      </w:pPr>
      <w:r>
        <w:drawing>
          <wp:inline>
            <wp:extent cx="5969000" cy="2865120"/>
            <wp:effectExtent b="0" l="0" r="0" t="0"/>
            <wp:docPr descr="Figure 5. Per-gene agreement of the locked signature. Each point is one of the 200 locked genes: its discovery effect in GSE63060 (x-axis) against its effect in the second cohort (y-axis), both adjusted AD minus control differences. (a) GSE63061: coloured genes are consistent at one-sided BH q &lt; 0.05 in the locked direction. (b) GSE140829: coloured genes are replicated at the same threshold. Note the different y-axis scales." title="" id="40" name="Picture"/>
            <a:graphic>
              <a:graphicData uri="http://schemas.openxmlformats.org/drawingml/2006/picture">
                <pic:pic>
                  <pic:nvPicPr>
                    <pic:cNvPr descr="figures/Figure5_gene_agreemen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86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5. Per-gene agreement of the locked signature.</w:t>
      </w:r>
      <w:r>
        <w:t xml:space="preserve"> </w:t>
      </w:r>
      <w:r>
        <w:t xml:space="preserve">Each point is one of the 200 locked genes: its discovery effect</w:t>
      </w:r>
      <w:r>
        <w:t xml:space="preserve"> </w:t>
      </w:r>
      <w:r>
        <w:t xml:space="preserve">in GSE63060 (x-axis) against its effect in the second cohort (y-axis), both adjusted AD minus control differences.</w:t>
      </w:r>
      <w:r>
        <w:t xml:space="preserve"> </w:t>
      </w:r>
      <w:r>
        <w:t xml:space="preserve">(a) GSE63061: coloured genes are consistent at one-sided BH q &lt; 0.05 in the locked direction. (b) GSE140829: coloured</w:t>
      </w:r>
      <w:r>
        <w:t xml:space="preserve"> </w:t>
      </w:r>
      <w:r>
        <w:t xml:space="preserve">genes are replicated at the same threshold. Note the different y-axis scales.</w:t>
      </w:r>
    </w:p>
    <w:bookmarkEnd w:id="42"/>
    <w:bookmarkStart w:id="46" w:name="leukocyte-composition"/>
    <w:p>
      <w:pPr>
        <w:pStyle w:val="Heading3"/>
      </w:pPr>
      <w:r>
        <w:t xml:space="preserve">3.5 Leukocyte composition</w:t>
      </w:r>
    </w:p>
    <w:p>
      <w:pPr>
        <w:pStyle w:val="FirstParagraph"/>
      </w:pPr>
      <w:r>
        <w:t xml:space="preserve">In the discovery cohort, AD arrays had slightly higher neutrophil, monocytic and NK indices and lower T-cell indices</w:t>
      </w:r>
      <w:r>
        <w:t xml:space="preserve"> </w:t>
      </w:r>
      <w:r>
        <w:t xml:space="preserve">(descriptive; Figure 6a). Adding the five indices to the discovery model (E = 0.76; VIF 1.31) left the signature intact:</w:t>
      </w:r>
      <w:r>
        <w:t xml:space="preserve"> </w:t>
      </w:r>
      <w:r>
        <w:t xml:space="preserve">all 199 evaluable locked genes kept their direction and q &lt; 0.05, and their median effect size was 0.84 of the primary</w:t>
      </w:r>
      <w:r>
        <w:t xml:space="preserve"> </w:t>
      </w:r>
      <w:r>
        <w:t xml:space="preserve">(Figure 6b). Across all genes, 783 of the 1,401 primary associations remained significant, all with the same sign</w:t>
      </w:r>
      <w:r>
        <w:t xml:space="preserve"> </w:t>
      </w:r>
      <w:r>
        <w:t xml:space="preserve">(Spearman ρ of t = 0.92). The signature is therefore not explained by these indices in the discovery cohort, although</w:t>
      </w:r>
      <w:r>
        <w:t xml:space="preserve"> </w:t>
      </w:r>
      <w:r>
        <w:t xml:space="preserve">part of the wider discovery signal is composition-related.</w:t>
      </w:r>
    </w:p>
    <w:p>
      <w:pPr>
        <w:pStyle w:val="BodyText"/>
      </w:pPr>
      <w:r>
        <w:t xml:space="preserve">Outside the discovery cohort the result was different (post hoc). In GSE140829, adjustment reduced the composite shift</w:t>
      </w:r>
      <w:r>
        <w:t xml:space="preserve"> </w:t>
      </w:r>
      <w:r>
        <w:t xml:space="preserve">from 0.25 to 0.12 (one-sided p = 0.041; lower bound 0.006). Gene-level replication fell from 43 to 1 of 200, and</w:t>
      </w:r>
      <w:r>
        <w:t xml:space="preserve"> </w:t>
      </w:r>
      <w:r>
        <w:t xml:space="preserve">direction agreement from 0.92 to 0.78 (Figure 4b and Figure 6c). In idiopathic PD, the shift fell from +0.20 to +0.08</w:t>
      </w:r>
      <w:r>
        <w:t xml:space="preserve"> </w:t>
      </w:r>
      <w:r>
        <w:t xml:space="preserve">(p = 0.27; Holm p = 0.51), and the genetic PD and genetic unaffected contrasts remained non-significant (Figure 4c). Most</w:t>
      </w:r>
      <w:r>
        <w:t xml:space="preserve"> </w:t>
      </w:r>
      <w:r>
        <w:t xml:space="preserve">of the externally reproducible signal, and the borderline Parkinson’s shift, therefore track the leukocyte composition</w:t>
      </w:r>
      <w:r>
        <w:t xml:space="preserve"> </w:t>
      </w:r>
      <w:r>
        <w:t xml:space="preserve">indices.</w:t>
      </w:r>
    </w:p>
    <w:p>
      <w:pPr>
        <w:pStyle w:val="CaptionedFigure"/>
      </w:pPr>
      <w:r>
        <w:drawing>
          <wp:inline>
            <wp:extent cx="5969000" cy="2333336"/>
            <wp:effectExtent b="0" l="0" r="0" t="0"/>
            <wp:docPr descr="Figure 6. Leukocyte composition. (a) Marker-based leukocyte indices (MCP-counter markers) in GSE63060 controls and AD arrays (descriptive). (b) Discovery cohort: locked-gene effects in the primary model (x-axis) against the model additionally adjusted for the five indices (y-axis); the dashed line is equality (199 genes; CD3D excluded because it is a T-cell marker). (c) GSE140829: the same comparison in the replication cohort (200 genes; post hoc). Points near the dashed line keep their effect after adjustment; points pulled toward zero lose it." title="" id="44" name="Picture"/>
            <a:graphic>
              <a:graphicData uri="http://schemas.openxmlformats.org/drawingml/2006/picture">
                <pic:pic>
                  <pic:nvPicPr>
                    <pic:cNvPr descr="figures/Figure6_leukocyte_composi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333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6. Leukocyte composition.</w:t>
      </w:r>
      <w:r>
        <w:t xml:space="preserve"> </w:t>
      </w:r>
      <w:r>
        <w:t xml:space="preserve">(a) Marker-based leukocyte indices (MCP-counter markers) in GSE63060 controls and</w:t>
      </w:r>
      <w:r>
        <w:t xml:space="preserve"> </w:t>
      </w:r>
      <w:r>
        <w:t xml:space="preserve">AD arrays (descriptive). (b) Discovery cohort: locked-gene effects in the primary model (x-axis) against the model</w:t>
      </w:r>
      <w:r>
        <w:t xml:space="preserve"> </w:t>
      </w:r>
      <w:r>
        <w:t xml:space="preserve">additionally adjusted for the five indices (y-axis); the dashed line is equality (199 genes; CD3D excluded because it is a</w:t>
      </w:r>
      <w:r>
        <w:t xml:space="preserve"> </w:t>
      </w:r>
      <w:r>
        <w:t xml:space="preserve">T-cell marker). (c) GSE140829: the same comparison in the replication cohort (200 genes; post hoc). Points near the</w:t>
      </w:r>
      <w:r>
        <w:t xml:space="preserve"> </w:t>
      </w:r>
      <w:r>
        <w:t xml:space="preserve">dashed line keep their effect after adjustment; points pulled toward zero lose it.</w:t>
      </w:r>
    </w:p>
    <w:bookmarkEnd w:id="46"/>
    <w:bookmarkStart w:id="53" w:name="classifier-1"/>
    <w:p>
      <w:pPr>
        <w:pStyle w:val="Heading3"/>
      </w:pPr>
      <w:r>
        <w:t xml:space="preserve">3.6 Classifier</w:t>
      </w:r>
    </w:p>
    <w:p>
      <w:pPr>
        <w:pStyle w:val="FirstParagraph"/>
      </w:pPr>
      <w:r>
        <w:t xml:space="preserve">Within GSE63060, under nested chip-grouped cross-validation, the ridge model reached an AUROC of 0.841 (Table 2; Figure 7a).</w:t>
      </w:r>
      <w:r>
        <w:t xml:space="preserve"> </w:t>
      </w:r>
      <w:r>
        <w:t xml:space="preserve">It exceeded the age-only model by 0.22 (DeLong p = 5.9 × 10⁻⁶) and the equal-weight score by 0.06 (p = 0.002). The</w:t>
      </w:r>
      <w:r>
        <w:t xml:space="preserve"> </w:t>
      </w:r>
      <w:r>
        <w:t xml:space="preserve">within-chip permutation null averaged 0.485 (maximum 0.642; p = 0.005; Figure 7b).</w:t>
      </w:r>
    </w:p>
    <w:p>
      <w:pPr>
        <w:pStyle w:val="TableCaption"/>
      </w:pPr>
      <w:r>
        <w:rPr>
          <w:b/>
          <w:bCs/>
        </w:rPr>
        <w:t xml:space="preserve">Table 2. Classifier discrimination within the discovery cohort.</w:t>
      </w:r>
      <w:r>
        <w:t xml:space="preserve"> </w:t>
      </w:r>
      <w:r>
        <w:t xml:space="preserve">Out-of-fold results over 20 repeats of</w:t>
      </w:r>
      <w:r>
        <w:t xml:space="preserve"> </w:t>
      </w:r>
      <w:r>
        <w:t xml:space="preserve">nested, chip-grouped 5-fold cross-validation in GSE63060.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Classifier discrimination within the discovery cohort. Out-of-fold results over 20 repeats of nested, chip-grouped 5-fold cross-validation in GSE63060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AUROC (range over repeats)</w:t>
            </w:r>
          </w:p>
        </w:tc>
        <w:tc>
          <w:tcPr/>
          <w:p>
            <w:pPr>
              <w:pStyle w:val="Compact"/>
            </w:pPr>
            <w:r>
              <w:t xml:space="preserve">Sensitivity / specificity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</w:t>
            </w:r>
          </w:p>
        </w:tc>
        <w:tc>
          <w:tcPr/>
          <w:p>
            <w:pPr>
              <w:pStyle w:val="Compact"/>
            </w:pPr>
            <w:r>
              <w:t xml:space="preserve">0.841 (0.824–0.852)</w:t>
            </w:r>
          </w:p>
        </w:tc>
        <w:tc>
          <w:tcPr/>
          <w:p>
            <w:pPr>
              <w:pStyle w:val="Compact"/>
            </w:pPr>
            <w:r>
              <w:t xml:space="preserve">0.75 /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net</w:t>
            </w:r>
          </w:p>
        </w:tc>
        <w:tc>
          <w:tcPr/>
          <w:p>
            <w:pPr>
              <w:pStyle w:val="Compact"/>
            </w:pPr>
            <w:r>
              <w:t xml:space="preserve">0.850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Equal-weight score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only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frozen model was then applied once to each external cohort, without re-tuning (Table 3; Figure 7c). It retained much</w:t>
      </w:r>
      <w:r>
        <w:t xml:space="preserve"> </w:t>
      </w:r>
      <w:r>
        <w:t xml:space="preserve">of its performance in the related cohort GSE63061 (AUROC 0.769), but in the replication cohort GSE140829 it performed at</w:t>
      </w:r>
      <w:r>
        <w:t xml:space="preserve"> </w:t>
      </w:r>
      <w:r>
        <w:t xml:space="preserve">chance (0.525) and did not differ from the age-only model (p = 0.17).</w:t>
      </w:r>
    </w:p>
    <w:p>
      <w:pPr>
        <w:pStyle w:val="TableCaption"/>
      </w:pPr>
      <w:r>
        <w:rPr>
          <w:b/>
          <w:bCs/>
        </w:rPr>
        <w:t xml:space="preserve">Table 3. Frozen classifier applied once to external cohorts.</w:t>
      </w:r>
      <w:r>
        <w:t xml:space="preserve"> </w:t>
      </w:r>
      <w:r>
        <w:t xml:space="preserve">AUROC with DeLong 95% confidence interval.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Frozen classifier applied once to external cohorts. AUROC with DeLong 95% confidence interval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Ridge AUROC (95% CI)</w:t>
            </w:r>
          </w:p>
        </w:tc>
        <w:tc>
          <w:tcPr/>
          <w:p>
            <w:pPr>
              <w:pStyle w:val="Compact"/>
            </w:pPr>
            <w:r>
              <w:t xml:space="preserve">Age-only AUROC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GSE63061 (related)</w:t>
            </w:r>
          </w:p>
        </w:tc>
        <w:tc>
          <w:tcPr/>
          <w:p>
            <w:pPr>
              <w:pStyle w:val="Compact"/>
            </w:pPr>
            <w:r>
              <w:t xml:space="preserve">0.769 (0.714–0.824)</w:t>
            </w:r>
          </w:p>
        </w:tc>
        <w:tc>
          <w:tcPr/>
          <w:p>
            <w:pPr>
              <w:pStyle w:val="Compact"/>
            </w:pPr>
            <w:r>
              <w:t xml:space="preserve">0.631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GSE140829 (replication)</w:t>
            </w:r>
          </w:p>
        </w:tc>
        <w:tc>
          <w:tcPr/>
          <w:p>
            <w:pPr>
              <w:pStyle w:val="Compact"/>
            </w:pPr>
            <w:r>
              <w:t xml:space="preserve">0.525 (0.471–0.579)</w:t>
            </w:r>
          </w:p>
        </w:tc>
        <w:tc>
          <w:tcPr/>
          <w:p>
            <w:pPr>
              <w:pStyle w:val="Compact"/>
            </w:pPr>
            <w:r>
              <w:t xml:space="preserve">0.472 (difference p = 0.17)</w:t>
            </w:r>
          </w:p>
        </w:tc>
      </w:tr>
    </w:tbl>
    <w:p>
      <w:pPr>
        <w:pStyle w:val="CaptionedFigure"/>
      </w:pPr>
      <w:r>
        <w:drawing>
          <wp:inline>
            <wp:extent cx="5969000" cy="2179982"/>
            <wp:effectExtent b="0" l="0" r="0" t="0"/>
            <wp:docPr descr="Figure 7. Classifier discrimination. (a) Out-of-fold AUROC over 20 repeats of nested, chip-grouped 5-fold cross-validation in GSE63060 for the ridge model, the elastic net, an equal-weight score of fold-selected genes and an age-only model; dashed line, chance. (b) Mean AUROC under 200 within-chip label permutations, with the observed mean ridge AUROC (0.841). (c) ROC curves: GSE63060 from repeat-averaged out-of-fold predictions (AUROC 0.85 for the averaged predictions, compared with a mean of 0.841 over individual repeats), and the frozen model applied once to GSE63061 and GSE140829." title="" id="48" name="Picture"/>
            <a:graphic>
              <a:graphicData uri="http://schemas.openxmlformats.org/drawingml/2006/picture">
                <pic:pic>
                  <pic:nvPicPr>
                    <pic:cNvPr descr="figures/Figure7_classifier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179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7. Classifier discrimination.</w:t>
      </w:r>
      <w:r>
        <w:t xml:space="preserve"> </w:t>
      </w:r>
      <w:r>
        <w:t xml:space="preserve">(a) Out-of-fold AUROC over 20 repeats of nested, chip-grouped 5-fold</w:t>
      </w:r>
      <w:r>
        <w:t xml:space="preserve"> </w:t>
      </w:r>
      <w:r>
        <w:t xml:space="preserve">cross-validation in GSE63060 for the ridge model, the elastic net, an equal-weight score of fold-selected genes and an</w:t>
      </w:r>
      <w:r>
        <w:t xml:space="preserve"> </w:t>
      </w:r>
      <w:r>
        <w:t xml:space="preserve">age-only model; dashed line, chance. (b) Mean AUROC under 200 within-chip label permutations, with the observed mean</w:t>
      </w:r>
      <w:r>
        <w:t xml:space="preserve"> </w:t>
      </w:r>
      <w:r>
        <w:t xml:space="preserve">ridge AUROC (0.841). (c) ROC curves: GSE63060 from repeat-averaged out-of-fold predictions (AUROC 0.85 for the averaged</w:t>
      </w:r>
      <w:r>
        <w:t xml:space="preserve"> </w:t>
      </w:r>
      <w:r>
        <w:t xml:space="preserve">predictions, compared with a mean of 0.841 over individual repeats), and the frozen model applied once to GSE63061 and</w:t>
      </w:r>
      <w:r>
        <w:t xml:space="preserve"> </w:t>
      </w:r>
      <w:r>
        <w:t xml:space="preserve">GSE140829.</w:t>
      </w:r>
    </w:p>
    <w:p>
      <w:pPr>
        <w:pStyle w:val="CaptionedFigure"/>
      </w:pPr>
      <w:r>
        <w:drawing>
          <wp:inline>
            <wp:extent cx="5969000" cy="3700780"/>
            <wp:effectExtent b="0" l="0" r="0" t="0"/>
            <wp:docPr descr="Figure 8. Anatomy of the frozen classifier. (Left) The steps from blood expression to a prediction. (Right) The 20 of 200 genes with the largest weights (per standard deviation of expression): orange, higher expression pushes toward an AD-like prediction; blue, lower expression does. Ridge regression spreads the signal across all genes, so individual weights are small and should not be read as a diagnostic gene panel." title="" id="51" name="Picture"/>
            <a:graphic>
              <a:graphicData uri="http://schemas.openxmlformats.org/drawingml/2006/picture">
                <pic:pic>
                  <pic:nvPicPr>
                    <pic:cNvPr descr="figures/Figure8_model_anatomy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700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8. Anatomy of the frozen classifier.</w:t>
      </w:r>
      <w:r>
        <w:t xml:space="preserve"> </w:t>
      </w:r>
      <w:r>
        <w:t xml:space="preserve">(Left) The steps from blood expression to a prediction. (Right) The 20 of</w:t>
      </w:r>
      <w:r>
        <w:t xml:space="preserve"> </w:t>
      </w:r>
      <w:r>
        <w:t xml:space="preserve">200 genes with the largest weights (per standard deviation of expression): orange, higher expression pushes toward an</w:t>
      </w:r>
      <w:r>
        <w:t xml:space="preserve"> </w:t>
      </w:r>
      <w:r>
        <w:t xml:space="preserve">AD-like prediction; blue, lower expression does. Ridge regression spreads the signal across all genes, so individual</w:t>
      </w:r>
      <w:r>
        <w:t xml:space="preserve"> </w:t>
      </w:r>
      <w:r>
        <w:t xml:space="preserve">weights are small and should not be read as a diagnostic gene panel.</w:t>
      </w:r>
    </w:p>
    <w:bookmarkEnd w:id="53"/>
    <w:bookmarkEnd w:id="54"/>
    <w:bookmarkStart w:id="55" w:name="discussion"/>
    <w:p>
      <w:pPr>
        <w:pStyle w:val="Heading2"/>
      </w:pPr>
      <w:r>
        <w:t xml:space="preserve">4. Discussion</w:t>
      </w:r>
    </w:p>
    <w:p>
      <w:pPr>
        <w:pStyle w:val="FirstParagraph"/>
      </w:pPr>
      <w:r>
        <w:t xml:space="preserve">In a fully pre-specified analysis of four public whole-blood cohorts, a 200-gene AD signature derived in the AddNeuroMed</w:t>
      </w:r>
      <w:r>
        <w:t xml:space="preserve"> </w:t>
      </w:r>
      <w:r>
        <w:t xml:space="preserve">discovery cohort reproduced across cohorts, but only as a modest group-level shift. Three features of the results</w:t>
      </w:r>
      <w:r>
        <w:t xml:space="preserve"> </w:t>
      </w:r>
      <w:r>
        <w:t xml:space="preserve">qualify that reproduction.</w:t>
      </w:r>
    </w:p>
    <w:p>
      <w:pPr>
        <w:pStyle w:val="BodyText"/>
      </w:pPr>
      <w:r>
        <w:rPr>
          <w:b/>
          <w:bCs/>
        </w:rPr>
        <w:t xml:space="preserve">Within-consortium agreement overstated external evidence.</w:t>
      </w:r>
      <w:r>
        <w:t xml:space="preserve"> </w:t>
      </w:r>
      <w:r>
        <w:t xml:space="preserve">In GSE63061, from the same consortium, agreement was</w:t>
      </w:r>
      <w:r>
        <w:t xml:space="preserve"> </w:t>
      </w:r>
      <w:r>
        <w:t xml:space="preserve">nearly complete: 194 of 200 genes were consistent, effects correlated at r = 0.92, and the frozen classifier reached</w:t>
      </w:r>
      <w:r>
        <w:t xml:space="preserve"> </w:t>
      </w:r>
      <w:r>
        <w:t xml:space="preserve">AUROC 0.77. In GSE140829 the composite test passed (one-sided p = 0.0019), but only 43 genes replicated</w:t>
      </w:r>
      <w:r>
        <w:t xml:space="preserve"> </w:t>
      </w:r>
      <w:r>
        <w:t xml:space="preserve">individually, direction agreement fell to 92%, and the same classifier performed at chance (AUROC 0.53). Score</w:t>
      </w:r>
      <w:r>
        <w:t xml:space="preserve"> </w:t>
      </w:r>
      <w:r>
        <w:t xml:space="preserve">magnitudes are not comparable across cohorts, so we do not compare θ directly; the contrast in gene-level and</w:t>
      </w:r>
      <w:r>
        <w:t xml:space="preserve"> </w:t>
      </w:r>
      <w:r>
        <w:t xml:space="preserve">classifier results is nonetheless large and consistent (Figures 5 and 7). Possible participant overlap and shared</w:t>
      </w:r>
      <w:r>
        <w:t xml:space="preserve"> </w:t>
      </w:r>
      <w:r>
        <w:t xml:space="preserve">processing within AddNeuroMed provide a plausible explanation. The pattern suggests that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in a sister</w:t>
      </w:r>
      <w:r>
        <w:t xml:space="preserve"> </w:t>
      </w:r>
      <w:r>
        <w:t xml:space="preserve">cohort should not be read as external evidence [15].</w:t>
      </w:r>
    </w:p>
    <w:p>
      <w:pPr>
        <w:pStyle w:val="BodyText"/>
      </w:pPr>
      <w:r>
        <w:rPr>
          <w:b/>
          <w:bCs/>
        </w:rPr>
        <w:t xml:space="preserve">The external signal is largely a leukocyte-composition signal.</w:t>
      </w:r>
      <w:r>
        <w:t xml:space="preserve"> </w:t>
      </w:r>
      <w:r>
        <w:t xml:space="preserve">The signature is dominated by lower expression of</w:t>
      </w:r>
      <w:r>
        <w:t xml:space="preserve"> </w:t>
      </w:r>
      <w:r>
        <w:t xml:space="preserve">mitochondrial oxidative-phosphorylation and ribosomal genes. The genes that replicated in GSE140829, or shifted in</w:t>
      </w:r>
      <w:r>
        <w:t xml:space="preserve"> </w:t>
      </w:r>
      <w:r>
        <w:t xml:space="preserve">Parkinson’s disease, included ribosomal and myeloid-associated genes (ITGAM, TCIRG1, NBEAL2). In whole blood, ribosomal</w:t>
      </w:r>
      <w:r>
        <w:t xml:space="preserve"> </w:t>
      </w:r>
      <w:r>
        <w:t xml:space="preserve">transcript abundance tracks lymphocyte content, and myeloid genes track neutrophil and monocyte content [9,10]. In the</w:t>
      </w:r>
      <w:r>
        <w:t xml:space="preserve"> </w:t>
      </w:r>
      <w:r>
        <w:t xml:space="preserve">discovery cohort, adjustment for five marker-based composition indices left every evaluable locked gene significant; the</w:t>
      </w:r>
      <w:r>
        <w:t xml:space="preserve"> </w:t>
      </w:r>
      <w:r>
        <w:t xml:space="preserve">lock was, after all, selected to be robust there. In GSE140829, the same adjustment halved the composite shift and removed</w:t>
      </w:r>
      <w:r>
        <w:t xml:space="preserve"> </w:t>
      </w:r>
      <w:r>
        <w:t xml:space="preserve">almost all gene-level replication, and in idiopathic Parkinson’s disease it removed most of the borderline shift</w:t>
      </w:r>
      <w:r>
        <w:t xml:space="preserve"> </w:t>
      </w:r>
      <w:r>
        <w:t xml:space="preserve">(Figure 6).</w:t>
      </w:r>
    </w:p>
    <w:p>
      <w:pPr>
        <w:pStyle w:val="BodyText"/>
      </w:pPr>
      <w:r>
        <w:t xml:space="preserve">AD arrays showed slightly higher myeloid and NK indices and lower T-cell indices, consistent with reports of altered</w:t>
      </w:r>
      <w:r>
        <w:t xml:space="preserve"> </w:t>
      </w:r>
      <w:r>
        <w:t xml:space="preserve">leukocyte profiles in AD, and with the monocyte- and neutrophil-driven innate immune signal reported by the GSE140829</w:t>
      </w:r>
      <w:r>
        <w:t xml:space="preserve"> </w:t>
      </w:r>
      <w:r>
        <w:t xml:space="preserve">investigators [11,16]. Adjustment cannot distinguish confounding from mediation. If AD is accompanied by a genuine shift in</w:t>
      </w:r>
      <w:r>
        <w:t xml:space="preserve"> </w:t>
      </w:r>
      <w:r>
        <w:t xml:space="preserve">circulating immune cells, that shift is itself disease-associated biology, but it is unlikely to be specific to AD; those</w:t>
      </w:r>
      <w:r>
        <w:t xml:space="preserve"> </w:t>
      </w:r>
      <w:r>
        <w:t xml:space="preserve">investigators found the same innate immune signal in several non-AD dementias, and peripheral neutrophil-to-lymphocyte</w:t>
      </w:r>
      <w:r>
        <w:t xml:space="preserve"> </w:t>
      </w:r>
      <w:r>
        <w:t xml:space="preserve">ratios are also elevated in Parkinson’s disease [11,17]. The external extension of this analysis was post hoc, and the</w:t>
      </w:r>
      <w:r>
        <w:t xml:space="preserve"> </w:t>
      </w:r>
      <w:r>
        <w:t xml:space="preserve">indices are noisy proxies, so these findings are hypothesis-generating.</w:t>
      </w:r>
    </w:p>
    <w:p>
      <w:pPr>
        <w:pStyle w:val="BodyText"/>
      </w:pPr>
      <w:r>
        <w:rPr>
          <w:b/>
          <w:bCs/>
        </w:rPr>
        <w:t xml:space="preserve">Specificity was not established.</w:t>
      </w:r>
      <w:r>
        <w:t xml:space="preserve"> </w:t>
      </w:r>
      <w:r>
        <w:t xml:space="preserve">The idiopathic PD contrast showed a same-direction shift that was nominally</w:t>
      </w:r>
      <w:r>
        <w:t xml:space="preserve"> </w:t>
      </w:r>
      <w:r>
        <w:t xml:space="preserve">significant, but not after the pre-specified Holm correction, and largely composition-related on adjustment. No</w:t>
      </w:r>
      <w:r>
        <w:t xml:space="preserve"> </w:t>
      </w:r>
      <w:r>
        <w:t xml:space="preserve">equivalence margin was defined, so our data cannot show absence of association. The same-direction estimates in all</w:t>
      </w:r>
      <w:r>
        <w:t xml:space="preserve"> </w:t>
      </w:r>
      <w:r>
        <w:t xml:space="preserve">three Parkinson’s contrasts argue against interpreting the signature as AD-specific. They are more consistent with a</w:t>
      </w:r>
      <w:r>
        <w:t xml:space="preserve"> </w:t>
      </w:r>
      <w:r>
        <w:t xml:space="preserve">shared, possibly non-specific, systemic component [11,12,17].</w:t>
      </w:r>
    </w:p>
    <w:p>
      <w:pPr>
        <w:pStyle w:val="BodyText"/>
      </w:pPr>
      <w:r>
        <w:rPr>
          <w:b/>
          <w:bCs/>
        </w:rPr>
        <w:t xml:space="preserve">Classifier transportability.</w:t>
      </w:r>
      <w:r>
        <w:t xml:space="preserve"> </w:t>
      </w:r>
      <w:r>
        <w:t xml:space="preserve">Inside the discovery cohort, a leakage-controlled ridge model clearly outperformed</w:t>
      </w:r>
      <w:r>
        <w:t xml:space="preserve"> </w:t>
      </w:r>
      <w:r>
        <w:t xml:space="preserve">age-only and equal-weight baselines and a within-chip permutation null. Its failure in GSE140829 was observed in a</w:t>
      </w:r>
      <w:r>
        <w:t xml:space="preserve"> </w:t>
      </w:r>
      <w:r>
        <w:t xml:space="preserve">single pre-specified application of a frozen model, and we did not re-tune it. That failure is consistent with the</w:t>
      </w:r>
      <w:r>
        <w:t xml:space="preserve"> </w:t>
      </w:r>
      <w:r>
        <w:t xml:space="preserve">composition findings: a classifier trained on one cohort’s mixture of cell-mix, processing and disease effects need not</w:t>
      </w:r>
      <w:r>
        <w:t xml:space="preserve"> </w:t>
      </w:r>
      <w:r>
        <w:t xml:space="preserve">generalise when those components differ.</w:t>
      </w:r>
    </w:p>
    <w:p>
      <w:pPr>
        <w:pStyle w:val="BodyText"/>
      </w:pPr>
      <w:r>
        <w:rPr>
          <w:b/>
          <w:bCs/>
        </w:rPr>
        <w:t xml:space="preserve">Data quality.</w:t>
      </w:r>
      <w:r>
        <w:t xml:space="preserve"> </w:t>
      </w:r>
      <w:r>
        <w:t xml:space="preserve">Quality control revealed that 44 of 104 deposited controls in GSE63060 had expression-derived sex</w:t>
      </w:r>
      <w:r>
        <w:t xml:space="preserve"> </w:t>
      </w:r>
      <w:r>
        <w:t xml:space="preserve">discordant on both X and Y axes, with balanced totals suggestive of permuted labels or identities. Because GSE63060 is</w:t>
      </w:r>
      <w:r>
        <w:t xml:space="preserve"> </w:t>
      </w:r>
      <w:r>
        <w:t xml:space="preserve">widely reused, this finding warrants attention. The affected arrays were excluded by a pre-specified rule, but a two-axis</w:t>
      </w:r>
      <w:r>
        <w:t xml:space="preserve"> </w:t>
      </w:r>
      <w:r>
        <w:t xml:space="preserve">sex check cannot detect label or sample swaps between participants of the same sex, so residual mislabelling in GSE63060</w:t>
      </w:r>
      <w:r>
        <w:t xml:space="preserve"> </w:t>
      </w:r>
      <w:r>
        <w:t xml:space="preserve">cannot be ruled out. ANMerge, a curated release of the AddNeuroMed data that reports correcting errors in previously</w:t>
      </w:r>
      <w:r>
        <w:t xml:space="preserve"> </w:t>
      </w:r>
      <w:r>
        <w:t xml:space="preserve">shared data [13], offers a route to test this directly; we have not yet used it.</w:t>
      </w:r>
    </w:p>
    <w:p>
      <w:pPr>
        <w:pStyle w:val="BodyText"/>
      </w:pPr>
      <w:r>
        <w:rPr>
          <w:b/>
          <w:bCs/>
        </w:rPr>
        <w:t xml:space="preserve">Strengths and implications.</w:t>
      </w:r>
      <w:r>
        <w:t xml:space="preserve"> </w:t>
      </w:r>
      <w:r>
        <w:t xml:space="preserve">The study’s strengths are a written plan with logged approvals; signature locking</w:t>
      </w:r>
      <w:r>
        <w:t xml:space="preserve"> </w:t>
      </w:r>
      <w:r>
        <w:t xml:space="preserve">before any other cohort’s expression was modelled; per-cohort roles fixed in advance; byte-reproducible outputs under</w:t>
      </w:r>
      <w:r>
        <w:t xml:space="preserve"> </w:t>
      </w:r>
      <w:r>
        <w:t xml:space="preserve">code-identity verification; and a machine-learning protocol with synthetic leakage tests run before real data. The design</w:t>
      </w:r>
      <w:r>
        <w:t xml:space="preserve"> </w:t>
      </w:r>
      <w:r>
        <w:t xml:space="preserve">prevented outcome-dependent revision, which is visible here as a willingness to report a chance-level external AUROC and a</w:t>
      </w:r>
      <w:r>
        <w:t xml:space="preserve"> </w:t>
      </w:r>
      <w:r>
        <w:t xml:space="preserve">non-significant specificity test. For future work, blood transcriptomic AD signatures should be evaluated against</w:t>
      </w:r>
      <w:r>
        <w:t xml:space="preserve"> </w:t>
      </w:r>
      <w:r>
        <w:t xml:space="preserve">composition-adjusted models and measured blood counts, tested in cohorts that are demonstrably independent, and compared</w:t>
      </w:r>
      <w:r>
        <w:t xml:space="preserve"> </w:t>
      </w:r>
      <w:r>
        <w:t xml:space="preserve">with other neurodegenerative diseases using pre-specified equivalence margins.</w:t>
      </w:r>
    </w:p>
    <w:bookmarkEnd w:id="55"/>
    <w:bookmarkStart w:id="56" w:name="limitations"/>
    <w:p>
      <w:pPr>
        <w:pStyle w:val="Heading2"/>
      </w:pPr>
      <w:r>
        <w:t xml:space="preserve">5. Limitations</w:t>
      </w:r>
    </w:p>
    <w:p>
      <w:pPr>
        <w:pStyle w:val="Compact"/>
        <w:numPr>
          <w:ilvl w:val="0"/>
          <w:numId w:val="1002"/>
        </w:numPr>
      </w:pPr>
      <w:r>
        <w:t xml:space="preserve">Labels are as deposited. They may not reflect diagnosis at the time of the blood draw, and diagnostic criteria differ</w:t>
      </w:r>
      <w:r>
        <w:t xml:space="preserve"> </w:t>
      </w:r>
      <w:r>
        <w:t xml:space="preserve">across cohorts.</w:t>
      </w:r>
    </w:p>
    <w:p>
      <w:pPr>
        <w:pStyle w:val="Compact"/>
        <w:numPr>
          <w:ilvl w:val="0"/>
          <w:numId w:val="1002"/>
        </w:numPr>
      </w:pPr>
      <w:r>
        <w:t xml:space="preserve">The independence of GSE140829 from AddNeuroMed participants is unverified, and GSE63061 may overlap with GSE63060.</w:t>
      </w:r>
    </w:p>
    <w:p>
      <w:pPr>
        <w:pStyle w:val="Compact"/>
        <w:numPr>
          <w:ilvl w:val="0"/>
          <w:numId w:val="1002"/>
        </w:numPr>
      </w:pPr>
      <w:r>
        <w:t xml:space="preserve">Platforms and processing differ (Illumina v3 and v4, nuID-keyed data, Affymetrix), and score magnitudes cannot be</w:t>
      </w:r>
      <w:r>
        <w:t xml:space="preserve"> </w:t>
      </w:r>
      <w:r>
        <w:t xml:space="preserve">compared across cohorts.</w:t>
      </w:r>
    </w:p>
    <w:p>
      <w:pPr>
        <w:pStyle w:val="Compact"/>
        <w:numPr>
          <w:ilvl w:val="0"/>
          <w:numId w:val="1002"/>
        </w:numPr>
      </w:pPr>
      <w:r>
        <w:t xml:space="preserve">No equivalence margin was set, so specificity cannot be established.</w:t>
      </w:r>
    </w:p>
    <w:p>
      <w:pPr>
        <w:pStyle w:val="Compact"/>
        <w:numPr>
          <w:ilvl w:val="0"/>
          <w:numId w:val="1002"/>
        </w:numPr>
      </w:pPr>
      <w:r>
        <w:t xml:space="preserve">The GSE63060 deposit has known annotation problems: two-axis sex-discordant arrays were excluded, but same-sex label or</w:t>
      </w:r>
      <w:r>
        <w:t xml:space="preserve"> </w:t>
      </w:r>
      <w:r>
        <w:t xml:space="preserve">sample swaps are undetectable from the deposited data. Re-analysis against the curated ANMerge release [13] was not</w:t>
      </w:r>
      <w:r>
        <w:t xml:space="preserve"> </w:t>
      </w:r>
      <w:r>
        <w:t xml:space="preserve">performed.</w:t>
      </w:r>
    </w:p>
    <w:p>
      <w:pPr>
        <w:pStyle w:val="Compact"/>
        <w:numPr>
          <w:ilvl w:val="0"/>
          <w:numId w:val="1002"/>
        </w:numPr>
      </w:pPr>
      <w:r>
        <w:t xml:space="preserve">Cell composition was assessed only with marker-based indices from markers developed mainly for tissue. The S11 method</w:t>
      </w:r>
      <w:r>
        <w:t xml:space="preserve"> </w:t>
      </w:r>
      <w:r>
        <w:t xml:space="preserve">was chosen after the primary results, and the external extension (S11-ext) was post hoc. Both residual confounding and</w:t>
      </w:r>
      <w:r>
        <w:t xml:space="preserve"> </w:t>
      </w:r>
      <w:r>
        <w:t xml:space="preserve">over-adjustment are possible, and no measured blood counts were available.</w:t>
      </w:r>
    </w:p>
    <w:p>
      <w:pPr>
        <w:pStyle w:val="Compact"/>
        <w:numPr>
          <w:ilvl w:val="0"/>
          <w:numId w:val="1002"/>
        </w:numPr>
      </w:pPr>
      <w:r>
        <w:t xml:space="preserve">Classifier probabilities are not calibrated risks (class weighting); there is no clinical validation and no</w:t>
      </w:r>
      <w:r>
        <w:t xml:space="preserve"> </w:t>
      </w:r>
      <w:r>
        <w:t xml:space="preserve">prospective cohort.</w:t>
      </w:r>
    </w:p>
    <w:bookmarkEnd w:id="56"/>
    <w:bookmarkStart w:id="57" w:name="conclusions"/>
    <w:p>
      <w:pPr>
        <w:pStyle w:val="Heading2"/>
      </w:pPr>
      <w:r>
        <w:t xml:space="preserve">6. Conclusions</w:t>
      </w:r>
    </w:p>
    <w:p>
      <w:pPr>
        <w:pStyle w:val="FirstParagraph"/>
      </w:pPr>
      <w:r>
        <w:t xml:space="preserve">A carefully pre-specified re-analysis found a real but modest blood transcriptomic signal of AD. It reproduced strongly</w:t>
      </w:r>
      <w:r>
        <w:t xml:space="preserve"> </w:t>
      </w:r>
      <w:r>
        <w:t xml:space="preserve">within one consortium and weakly outside it, where it was largely explained by leukocyte composition, may be shared with</w:t>
      </w:r>
      <w:r>
        <w:t xml:space="preserve"> </w:t>
      </w:r>
      <w:r>
        <w:t xml:space="preserve">Parkinson’s disease, and did not support individual-level classification. Claims of blood transcriptomic AD biomarkers</w:t>
      </w:r>
      <w:r>
        <w:t xml:space="preserve"> </w:t>
      </w:r>
      <w:r>
        <w:t xml:space="preserve">should be tested against these three hurdles: independent cohorts, composition adjustment and disease specificity.</w:t>
      </w:r>
    </w:p>
    <w:bookmarkEnd w:id="57"/>
    <w:bookmarkStart w:id="58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Ethics statement.</w:t>
      </w:r>
      <w:r>
        <w:t xml:space="preserve"> </w:t>
      </w:r>
      <w:r>
        <w:t xml:space="preserve">This study is a secondary analysis of de-identified data that are openly available in the Gene</w:t>
      </w:r>
      <w:r>
        <w:t xml:space="preserve"> </w:t>
      </w:r>
      <w:r>
        <w:t xml:space="preserve">Expression Omnibus (GSE63060, GSE63061, GSE140829, GSE99039). The original studies obtained ethical approval and</w:t>
      </w:r>
      <w:r>
        <w:t xml:space="preserve"> </w:t>
      </w:r>
      <w:r>
        <w:t xml:space="preserve">participant consent, as described in their publications [4,5,11,12]. No new participants were recruited, and no</w:t>
      </w:r>
      <w:r>
        <w:t xml:space="preserve"> </w:t>
      </w:r>
      <w:r>
        <w:t xml:space="preserve">additional ethics approval was required.</w:t>
      </w:r>
    </w:p>
    <w:p>
      <w:pPr>
        <w:pStyle w:val="BodyText"/>
      </w:pPr>
      <w:r>
        <w:rPr>
          <w:b/>
          <w:bCs/>
        </w:rPr>
        <w:t xml:space="preserve">Funding.</w:t>
      </w:r>
      <w:r>
        <w:t xml:space="preserve"> </w:t>
      </w:r>
      <w:r>
        <w:t xml:space="preserve">None. This work received no specific funding.</w:t>
      </w:r>
    </w:p>
    <w:p>
      <w:pPr>
        <w:pStyle w:val="BodyText"/>
      </w:pPr>
      <w:r>
        <w:rPr>
          <w:b/>
          <w:bCs/>
        </w:rPr>
        <w:t xml:space="preserve">Competing interests.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Data availability.</w:t>
      </w:r>
      <w:r>
        <w:t xml:space="preserve"> </w:t>
      </w:r>
      <w:r>
        <w:t xml:space="preserve">All data are publicly available from GEO under the accessions above. Derived outputs (exclusion</w:t>
      </w:r>
      <w:r>
        <w:t xml:space="preserve"> </w:t>
      </w:r>
      <w:r>
        <w:t xml:space="preserve">lists, signature, test results, model coefficients) are included in the project repository.</w:t>
      </w:r>
    </w:p>
    <w:p>
      <w:pPr>
        <w:pStyle w:val="BodyText"/>
      </w:pPr>
      <w:r>
        <w:rPr>
          <w:b/>
          <w:bCs/>
        </w:rPr>
        <w:t xml:space="preserve">Code availability.</w:t>
      </w:r>
      <w:r>
        <w:t xml:space="preserve"> </w:t>
      </w:r>
      <w:r>
        <w:t xml:space="preserve">All analysis code, pinned environment specifications, decision records and accepted outputs with</w:t>
      </w:r>
      <w:r>
        <w:t xml:space="preserve"> </w:t>
      </w:r>
      <w:r>
        <w:t xml:space="preserve">their code-identity records are available at https://github.com/sadgaselime/BIO-MB-001-public. The figures are drawn by</w:t>
      </w:r>
      <w:r>
        <w:t xml:space="preserve"> </w:t>
      </w:r>
      <w:r>
        <w:rPr>
          <w:rStyle w:val="VerbatimChar"/>
        </w:rPr>
        <w:t xml:space="preserve">R/manuscript_figures_design.R</w:t>
      </w:r>
      <w:r>
        <w:t xml:space="preserve">,</w:t>
      </w:r>
      <w:r>
        <w:t xml:space="preserve"> </w:t>
      </w:r>
      <w:r>
        <w:rPr>
          <w:rStyle w:val="VerbatimChar"/>
        </w:rPr>
        <w:t xml:space="preserve">R/manuscript_figures.R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R/manuscript_figures_results.R</w:t>
      </w:r>
      <w:r>
        <w:t xml:space="preserve"> </w:t>
      </w:r>
      <w:r>
        <w:t xml:space="preserve">from the accepted outputs.</w:t>
      </w:r>
    </w:p>
    <w:p>
      <w:pPr>
        <w:pStyle w:val="BodyText"/>
      </w:pPr>
      <w:r>
        <w:rPr>
          <w:b/>
          <w:bCs/>
        </w:rPr>
        <w:t xml:space="preserve">Author contributions.</w:t>
      </w:r>
      <w:r>
        <w:t xml:space="preserve"> </w:t>
      </w:r>
      <w:r>
        <w:t xml:space="preserve">S.S. conceived the study, made all analytic decisions, supervised and verified the analyses, and</w:t>
      </w:r>
      <w:r>
        <w:t xml:space="preserve"> </w:t>
      </w:r>
      <w:r>
        <w:t xml:space="preserve">wrote the manuscript (see 2.10 on AI assistance).</w:t>
      </w:r>
    </w:p>
    <w:p>
      <w:pPr>
        <w:pStyle w:val="BodyText"/>
      </w:pPr>
      <w:r>
        <w:rPr>
          <w:b/>
          <w:bCs/>
        </w:rPr>
        <w:t xml:space="preserve">Acknowledgements.</w:t>
      </w:r>
      <w:r>
        <w:t xml:space="preserve"> </w:t>
      </w:r>
      <w:r>
        <w:t xml:space="preserve">The author thanks the investigators and participants of the AddNeuroMed cohorts, the GSE140829 study</w:t>
      </w:r>
      <w:r>
        <w:t xml:space="preserve"> </w:t>
      </w:r>
      <w:r>
        <w:t xml:space="preserve">and the GSE99039 study for making their data openly available.</w:t>
      </w:r>
    </w:p>
    <w:bookmarkEnd w:id="58"/>
    <w:bookmarkStart w:id="59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Hansson O. Biomarkers for neurodegenerative diseases.</w:t>
      </w:r>
      <w:r>
        <w:t xml:space="preserve"> </w:t>
      </w:r>
      <w:r>
        <w:rPr>
          <w:i/>
          <w:iCs/>
        </w:rPr>
        <w:t xml:space="preserve">Nat Med</w:t>
      </w:r>
      <w:r>
        <w:t xml:space="preserve">. 2021;27:954–963.</w:t>
      </w:r>
    </w:p>
    <w:p>
      <w:pPr>
        <w:pStyle w:val="Compact"/>
        <w:numPr>
          <w:ilvl w:val="0"/>
          <w:numId w:val="1003"/>
        </w:numPr>
      </w:pPr>
      <w:r>
        <w:t xml:space="preserve">Palmqvist S, et al. Discriminative accuracy of plasma phospho-tau217 for Alzheimer disease vs other neurodegenerative disorders.</w:t>
      </w:r>
      <w:r>
        <w:t xml:space="preserve"> </w:t>
      </w:r>
      <w:r>
        <w:rPr>
          <w:i/>
          <w:iCs/>
        </w:rPr>
        <w:t xml:space="preserve">JAMA</w:t>
      </w:r>
      <w:r>
        <w:t xml:space="preserve">. 2020;324(8):772–781. doi:10.1001/jama.2020.12134</w:t>
      </w:r>
    </w:p>
    <w:p>
      <w:pPr>
        <w:pStyle w:val="Compact"/>
        <w:numPr>
          <w:ilvl w:val="0"/>
          <w:numId w:val="1003"/>
        </w:numPr>
      </w:pPr>
      <w:r>
        <w:t xml:space="preserve">Lunnon K, Ibrahim Z, Proitsi P, et al.; AddNeuroMed Consortium. Mitochondrial dysfunction and immune activation are detectable in early Alzheimer’s disease blood.</w:t>
      </w:r>
      <w:r>
        <w:t xml:space="preserve"> </w:t>
      </w:r>
      <w:r>
        <w:rPr>
          <w:i/>
          <w:iCs/>
        </w:rPr>
        <w:t xml:space="preserve">J Alzheimers Dis</w:t>
      </w:r>
      <w:r>
        <w:t xml:space="preserve">. 2012;30(3):685–710. doi:10.3233/JAD-2012-111592. PMID 22466004.</w:t>
      </w:r>
    </w:p>
    <w:p>
      <w:pPr>
        <w:pStyle w:val="Compact"/>
        <w:numPr>
          <w:ilvl w:val="0"/>
          <w:numId w:val="1003"/>
        </w:numPr>
      </w:pPr>
      <w:r>
        <w:t xml:space="preserve">Lovestone S, et al.; AddNeuroMed Consortium. AddNeuroMed—the European collaboration for the discovery of novel biomarkers for Alzheimer’s disease.</w:t>
      </w:r>
      <w:r>
        <w:t xml:space="preserve"> </w:t>
      </w:r>
      <w:r>
        <w:rPr>
          <w:i/>
          <w:iCs/>
        </w:rPr>
        <w:t xml:space="preserve">Ann N Y Acad Sci</w:t>
      </w:r>
      <w:r>
        <w:t xml:space="preserve">. 2009;1180:36–46. PMID 19906259.</w:t>
      </w:r>
    </w:p>
    <w:p>
      <w:pPr>
        <w:pStyle w:val="Compact"/>
        <w:numPr>
          <w:ilvl w:val="0"/>
          <w:numId w:val="1003"/>
        </w:numPr>
      </w:pPr>
      <w:r>
        <w:t xml:space="preserve">Sood S, et al. A novel multi-tissue RNA diagnostic of healthy ageing relates to cognitive health status.</w:t>
      </w:r>
      <w:r>
        <w:t xml:space="preserve"> </w:t>
      </w:r>
      <w:r>
        <w:rPr>
          <w:i/>
          <w:iCs/>
        </w:rPr>
        <w:t xml:space="preserve">Genome Biol</w:t>
      </w:r>
      <w:r>
        <w:t xml:space="preserve">. 2015;16:185. doi:10.1186/s13059-015-0750-x</w:t>
      </w:r>
    </w:p>
    <w:p>
      <w:pPr>
        <w:pStyle w:val="Compact"/>
        <w:numPr>
          <w:ilvl w:val="0"/>
          <w:numId w:val="1003"/>
        </w:numPr>
      </w:pPr>
      <w:r>
        <w:t xml:space="preserve">Lee T, Lee H. Prediction of Alzheimer’s disease using blood gene expression data.</w:t>
      </w:r>
      <w:r>
        <w:t xml:space="preserve"> </w:t>
      </w:r>
      <w:r>
        <w:rPr>
          <w:i/>
          <w:iCs/>
        </w:rPr>
        <w:t xml:space="preserve">Sci Rep</w:t>
      </w:r>
      <w:r>
        <w:t xml:space="preserve">. 2020;10:3485.</w:t>
      </w:r>
    </w:p>
    <w:p>
      <w:pPr>
        <w:pStyle w:val="Compact"/>
        <w:numPr>
          <w:ilvl w:val="0"/>
          <w:numId w:val="1003"/>
        </w:numPr>
      </w:pPr>
      <w:r>
        <w:t xml:space="preserve">Kapoor S, Narayanan A. Leakage and the reproducibility crisis in machine-learning-based science.</w:t>
      </w:r>
      <w:r>
        <w:t xml:space="preserve"> </w:t>
      </w:r>
      <w:r>
        <w:rPr>
          <w:i/>
          <w:iCs/>
        </w:rPr>
        <w:t xml:space="preserve">Patterns</w:t>
      </w:r>
      <w:r>
        <w:t xml:space="preserve">. 2023;4(9):100804. doi:10.1016/j.patter.2023.100804</w:t>
      </w:r>
    </w:p>
    <w:p>
      <w:pPr>
        <w:pStyle w:val="Compact"/>
        <w:numPr>
          <w:ilvl w:val="0"/>
          <w:numId w:val="1003"/>
        </w:numPr>
      </w:pPr>
      <w:r>
        <w:t xml:space="preserve">Whalen S, Schreiber J, Noble WS, Pollard KS. Navigating the pitfalls of applying machine learning in genomics.</w:t>
      </w:r>
      <w:r>
        <w:t xml:space="preserve"> </w:t>
      </w:r>
      <w:r>
        <w:rPr>
          <w:i/>
          <w:iCs/>
        </w:rPr>
        <w:t xml:space="preserve">Nat Rev Genet</w:t>
      </w:r>
      <w:r>
        <w:t xml:space="preserve">. 2022;23(3):169–181. doi:10.1038/s41576-021-00434-9</w:t>
      </w:r>
    </w:p>
    <w:p>
      <w:pPr>
        <w:pStyle w:val="Compact"/>
        <w:numPr>
          <w:ilvl w:val="0"/>
          <w:numId w:val="1003"/>
        </w:numPr>
      </w:pPr>
      <w:r>
        <w:t xml:space="preserve">Whitney AR, et al. Individuality and variation in gene expression patterns in human blood.</w:t>
      </w:r>
      <w:r>
        <w:t xml:space="preserve"> </w:t>
      </w:r>
      <w:r>
        <w:rPr>
          <w:i/>
          <w:iCs/>
        </w:rPr>
        <w:t xml:space="preserve">Proc Natl Acad Sci USA</w:t>
      </w:r>
      <w:r>
        <w:t xml:space="preserve">. 2003;100(4):1896–1901. PMID 12578971.</w:t>
      </w:r>
    </w:p>
    <w:p>
      <w:pPr>
        <w:pStyle w:val="Compact"/>
        <w:numPr>
          <w:ilvl w:val="0"/>
          <w:numId w:val="1003"/>
        </w:numPr>
      </w:pPr>
      <w:r>
        <w:t xml:space="preserve">Palmer C, Diehn M, Alizadeh AA, Brown PO. Cell-type specific gene expression profiles of leukocytes in human peripheral blood.</w:t>
      </w:r>
      <w:r>
        <w:t xml:space="preserve"> </w:t>
      </w:r>
      <w:r>
        <w:rPr>
          <w:i/>
          <w:iCs/>
        </w:rPr>
        <w:t xml:space="preserve">BMC Genomics</w:t>
      </w:r>
      <w:r>
        <w:t xml:space="preserve">. 2006;7:115. doi:10.1186/1471-2164-7-115</w:t>
      </w:r>
    </w:p>
    <w:p>
      <w:pPr>
        <w:pStyle w:val="Compact"/>
        <w:numPr>
          <w:ilvl w:val="0"/>
          <w:numId w:val="1003"/>
        </w:numPr>
      </w:pPr>
      <w:r>
        <w:t xml:space="preserve">Nachun D, Ramos EM, Karydas A, Dokuru D, Gao F, Yang Z, Van Berlo V, Sears R, Kramer J, Boxer AL, Rosen H, Miller BL, Coppola G. Systems-level analysis of peripheral blood gene expression in dementia patients reveals an innate immune response shared across multiple disorders.</w:t>
      </w:r>
      <w:r>
        <w:t xml:space="preserve"> </w:t>
      </w:r>
      <w:r>
        <w:rPr>
          <w:i/>
          <w:iCs/>
        </w:rPr>
        <w:t xml:space="preserve">bioRxiv</w:t>
      </w:r>
      <w:r>
        <w:t xml:space="preserve">. 2019 (posted 13 December). doi:10.1101/2019.12.13.875112. Preprint (GSE140829 depositors’ study); no peer-reviewed version found as of 2026-10-21.</w:t>
      </w:r>
    </w:p>
    <w:p>
      <w:pPr>
        <w:pStyle w:val="Compact"/>
        <w:numPr>
          <w:ilvl w:val="0"/>
          <w:numId w:val="1003"/>
        </w:numPr>
      </w:pPr>
      <w:r>
        <w:t xml:space="preserve">Shamir R, et al. Analysis of blood-based gene expression in idiopathic Parkinson disease.</w:t>
      </w:r>
      <w:r>
        <w:t xml:space="preserve"> </w:t>
      </w:r>
      <w:r>
        <w:rPr>
          <w:i/>
          <w:iCs/>
        </w:rPr>
        <w:t xml:space="preserve">Neurology</w:t>
      </w:r>
      <w:r>
        <w:t xml:space="preserve">. 2017;89(16):1676–1683. doi:10.1212/WNL.0000000000004516</w:t>
      </w:r>
    </w:p>
    <w:p>
      <w:pPr>
        <w:pStyle w:val="Compact"/>
        <w:numPr>
          <w:ilvl w:val="0"/>
          <w:numId w:val="1003"/>
        </w:numPr>
      </w:pPr>
      <w:r>
        <w:t xml:space="preserve">Birkenbihl C, et al. ANMerge: a comprehensive and accessible Alzheimer’s disease patient-level dataset.</w:t>
      </w:r>
      <w:r>
        <w:t xml:space="preserve"> </w:t>
      </w:r>
      <w:r>
        <w:rPr>
          <w:i/>
          <w:iCs/>
        </w:rPr>
        <w:t xml:space="preserve">J Alzheimers Dis</w:t>
      </w:r>
      <w:r>
        <w:t xml:space="preserve">. 2021;79(1):423–431. doi:10.3233/JAD-200948</w:t>
      </w:r>
    </w:p>
    <w:p>
      <w:pPr>
        <w:pStyle w:val="Compact"/>
        <w:numPr>
          <w:ilvl w:val="0"/>
          <w:numId w:val="1003"/>
        </w:numPr>
      </w:pPr>
      <w:r>
        <w:t xml:space="preserve">Becht E, et al. Estimating the population abundance of tissue-infiltrating immune and stromal cell populations using gene expression.</w:t>
      </w:r>
      <w:r>
        <w:t xml:space="preserve"> </w:t>
      </w:r>
      <w:r>
        <w:rPr>
          <w:i/>
          <w:iCs/>
        </w:rPr>
        <w:t xml:space="preserve">Genome Biol</w:t>
      </w:r>
      <w:r>
        <w:t xml:space="preserve">. 2016;17:218. doi:10.1186/s13059-016-1070-5 (erratum published)</w:t>
      </w:r>
    </w:p>
    <w:p>
      <w:pPr>
        <w:pStyle w:val="Compact"/>
        <w:numPr>
          <w:ilvl w:val="0"/>
          <w:numId w:val="1003"/>
        </w:numPr>
      </w:pPr>
      <w:r>
        <w:t xml:space="preserve">Collins GS, Moons KGM, et al. TRIPOD+AI statement: updated guidance for reporting clinical prediction models that use regression or machine learning methods.</w:t>
      </w:r>
      <w:r>
        <w:t xml:space="preserve"> </w:t>
      </w:r>
      <w:r>
        <w:rPr>
          <w:i/>
          <w:iCs/>
        </w:rPr>
        <w:t xml:space="preserve">BMJ</w:t>
      </w:r>
      <w:r>
        <w:t xml:space="preserve">. 2024;385:e078378. doi:10.1136/bmj-2023-078378</w:t>
      </w:r>
    </w:p>
    <w:p>
      <w:pPr>
        <w:pStyle w:val="Compact"/>
        <w:numPr>
          <w:ilvl w:val="0"/>
          <w:numId w:val="1003"/>
        </w:numPr>
      </w:pPr>
      <w:r>
        <w:t xml:space="preserve">Gate D, et al. Clonally expanded CD8 T cells patrol the cerebrospinal fluid in Alzheimer’s disease.</w:t>
      </w:r>
      <w:r>
        <w:t xml:space="preserve"> </w:t>
      </w:r>
      <w:r>
        <w:rPr>
          <w:i/>
          <w:iCs/>
        </w:rPr>
        <w:t xml:space="preserve">Nature</w:t>
      </w:r>
      <w:r>
        <w:t xml:space="preserve">. 2020;577(7790):399–404. doi:10.1038/s41586-019-1895-7</w:t>
      </w:r>
    </w:p>
    <w:p>
      <w:pPr>
        <w:pStyle w:val="Compact"/>
        <w:numPr>
          <w:ilvl w:val="0"/>
          <w:numId w:val="1003"/>
        </w:numPr>
      </w:pPr>
      <w:r>
        <w:t xml:space="preserve">Hosseini S, Shafiabadi N, Khanzadeh M, et al. Neutrophil to lymphocyte ratio in Parkinson’s disease: a systematic review and meta-analysis.</w:t>
      </w:r>
      <w:r>
        <w:t xml:space="preserve"> </w:t>
      </w:r>
      <w:r>
        <w:rPr>
          <w:i/>
          <w:iCs/>
        </w:rPr>
        <w:t xml:space="preserve">BMC Neurol</w:t>
      </w:r>
      <w:r>
        <w:t xml:space="preserve">. 2023;23(1):333. doi:10.1186/s12883-023-03380-7</w:t>
      </w:r>
    </w:p>
    <w:bookmarkEnd w:id="59"/>
    <w:bookmarkStart w:id="60" w:name="X89fea8f905c602c515c6728855dabbad1373f7d"/>
    <w:p>
      <w:pPr>
        <w:pStyle w:val="Heading2"/>
      </w:pPr>
      <w:r>
        <w:t xml:space="preserve">Supplementary Table S1. Locations of accepted outputs in the project repository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Output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fit and sensitivities</w:t>
            </w:r>
          </w:p>
        </w:tc>
        <w:tc>
          <w:tcPr/>
          <w:p>
            <w:pPr>
              <w:pStyle w:val="Compact"/>
            </w:pPr>
            <w:r>
              <w:t xml:space="preserve">reports/discovery/GSE63060/fit_v1, sensitivity_v1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lock</w:t>
            </w:r>
          </w:p>
        </w:tc>
        <w:tc>
          <w:tcPr/>
          <w:p>
            <w:pPr>
              <w:pStyle w:val="Compact"/>
            </w:pPr>
            <w:r>
              <w:t xml:space="preserve">reports/lock/GSE63060/v1 (signature SHA-256 9ca4310c…)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GSE63061 consistency</w:t>
            </w:r>
          </w:p>
        </w:tc>
        <w:tc>
          <w:tcPr/>
          <w:p>
            <w:pPr>
              <w:pStyle w:val="Compact"/>
            </w:pPr>
            <w:r>
              <w:t xml:space="preserve">reports/validation/GSE63061/v1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GSE140829 replication</w:t>
            </w:r>
          </w:p>
        </w:tc>
        <w:tc>
          <w:tcPr/>
          <w:p>
            <w:pPr>
              <w:pStyle w:val="Compact"/>
            </w:pPr>
            <w:r>
              <w:t xml:space="preserve">reports/validation/GSE140829/v1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GSE99039 specificity</w:t>
            </w:r>
          </w:p>
        </w:tc>
        <w:tc>
          <w:tcPr/>
          <w:p>
            <w:pPr>
              <w:pStyle w:val="Compact"/>
            </w:pPr>
            <w:r>
              <w:t xml:space="preserve">reports/specificity/GSE99039/v1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 CV and final model</w:t>
            </w:r>
          </w:p>
        </w:tc>
        <w:tc>
          <w:tcPr/>
          <w:p>
            <w:pPr>
              <w:pStyle w:val="Compact"/>
            </w:pPr>
            <w:r>
              <w:t xml:space="preserve">reports/ml/GSE63060/v1 (final model SHA-256 e4f7f18e…)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classifier applications</w:t>
            </w:r>
          </w:p>
        </w:tc>
        <w:tc>
          <w:tcPr/>
          <w:p>
            <w:pPr>
              <w:pStyle w:val="Compact"/>
            </w:pPr>
            <w:r>
              <w:t xml:space="preserve">reports/ml/GSE63061_external/v1, reports/ml/GSE140829_external/v1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 and exclusion lists</w:t>
            </w:r>
          </w:p>
        </w:tc>
        <w:tc>
          <w:tcPr/>
          <w:p>
            <w:pPr>
              <w:pStyle w:val="Compact"/>
            </w:pPr>
            <w:r>
              <w:t xml:space="preserve">reports/qc_stage_b/(cohort)/v1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Cell-composition sensitivity (S11)</w:t>
            </w:r>
          </w:p>
        </w:tc>
        <w:tc>
          <w:tcPr/>
          <w:p>
            <w:pPr>
              <w:pStyle w:val="Compact"/>
            </w:pPr>
            <w:r>
              <w:t xml:space="preserve">reports/discovery/GSE63060/s11_v1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Composition-adjusted replication and specificity (S11-ext, post hoc)</w:t>
            </w:r>
          </w:p>
        </w:tc>
        <w:tc>
          <w:tcPr/>
          <w:p>
            <w:pPr>
              <w:pStyle w:val="Compact"/>
            </w:pPr>
            <w:r>
              <w:t xml:space="preserve">reports/s11_ext/v1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Marker resource</w:t>
            </w:r>
          </w:p>
        </w:tc>
        <w:tc>
          <w:tcPr/>
          <w:p>
            <w:pPr>
              <w:pStyle w:val="Compact"/>
            </w:pPr>
            <w:r>
              <w:t xml:space="preserve">reference/mcpcounter_6b85a67 (genes.txt SHA-256 408f6c5d…)</w:t>
            </w:r>
          </w:p>
        </w:tc>
      </w:tr>
    </w:tbl>
    <w:bookmarkEnd w:id="60"/>
    <w:sectPr>
      <w:footerReference r:id="rIdFooterPage" w:type="default"/>
      <w:pgSz w:h="16838" w:w="11906"/>
      <w:pgMar w:bottom="1247" w:footer="567" w:gutter="0" w:header="567" w:left="1247" w:right="124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Helvetica Neue" w:hAnsi="Helvetica Neue" w:eastAsia="Helvetica Neue" w:cs="Helvetica Neue"/>
        <w:color w:val="5B6675"/>
        <w:sz w:val="16"/>
      </w:rPr>
      <w:fldChar w:fldCharType="begin"/>
    </w:r>
    <w:r>
      <w:rPr>
        <w:rFonts w:ascii="Helvetica Neue" w:hAnsi="Helvetica Neue" w:eastAsia="Helvetica Neue" w:cs="Helvetica Neue"/>
        <w:color w:val="5B6675"/>
        <w:sz w:val="16"/>
      </w:rPr>
      <w:instrText xml:space="preserve"> PAGE </w:instrText>
    </w:r>
    <w:r>
      <w:rPr>
        <w:rFonts w:ascii="Helvetica Neue" w:hAnsi="Helvetica Neue" w:eastAsia="Helvetica Neue" w:cs="Helvetica Neue"/>
        <w:color w:val="5B6675"/>
        <w:sz w:val="16"/>
      </w:rPr>
      <w:fldChar w:fldCharType="separate"/>
    </w:r>
    <w:r>
      <w:rPr>
        <w:rFonts w:ascii="Helvetica Neue" w:hAnsi="Helvetica Neue" w:eastAsia="Helvetica Neue" w:cs="Helvetica Neue"/>
        <w:color w:val="5B6675"/>
        <w:sz w:val="16"/>
      </w:rPr>
      <w:t>1</w:t>
    </w:r>
    <w:r>
      <w:rPr>
        <w:rFonts w:ascii="Helvetica Neue" w:hAnsi="Helvetica Neue" w:eastAsia="Helvetica Neue" w:cs="Helvetica Neue"/>
        <w:color w:val="5B6675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276" w:lineRule="auto"/>
    </w:pPr>
    <w:rPr>
      <w:rFonts w:ascii="Cambria" w:cs="Cambria" w:eastAsia="Cambria" w:hAnsi="Cambria"/>
      <w:color w:val="1D2733"/>
      <w:sz w:val="20"/>
      <w:szCs w:val="20"/>
    </w:rPr>
  </w:style>
  <w:style w:styleId="BodyText" w:type="paragraph">
    <w:name w:val="Body Text"/>
    <w:basedOn w:val="Normal"/>
    <w:next w:val="BodyText"/>
    <w:qFormat/>
    <w:pPr>
      <w:spacing w:after="140" w:before="0"/>
      <w:jc w:val="both"/>
    </w:pPr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next w:val="BodyText"/>
    <w:qFormat/>
    <w:pPr>
      <w:spacing w:after="40" w:before="20"/>
    </w:pPr>
    <w:rPr/>
  </w:style>
  <w:style w:styleId="Title" w:type="paragraph">
    <w:name w:val="Title"/>
    <w:basedOn w:val="Normal"/>
    <w:next w:val="BodyText"/>
    <w:qFormat/>
    <w:pPr>
      <w:spacing w:after="320" w:before="0" w:line="300" w:lineRule="auto"/>
    </w:pPr>
    <w:rPr>
      <w:rFonts w:ascii="Helvetica Neue" w:cs="Helvetica Neue" w:eastAsia="Helvetica Neue" w:hAnsi="Helvetica Neue"/>
      <w:b/>
      <w:color w:val="1D2733"/>
      <w:sz w:val="34"/>
      <w:szCs w:val="3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qFormat/>
    <w:pPr>
      <w:keepNext/>
      <w:keepLines/>
      <w:spacing w:after="140" w:before="400"/>
      <w:outlineLvl w:val="0"/>
    </w:pPr>
    <w:rPr>
      <w:rFonts w:ascii="Helvetica Neue" w:cs="Helvetica Neue" w:eastAsia="Helvetica Neue" w:hAnsi="Helvetica Neue"/>
      <w:b/>
      <w:color w:val="2B5B8F"/>
      <w:sz w:val="26"/>
      <w:szCs w:val="26"/>
    </w:rPr>
  </w:style>
  <w:style w:styleId="Heading2" w:type="paragraph">
    <w:name w:val="heading 2"/>
    <w:basedOn w:val="Normal"/>
    <w:next w:val="BodyText"/>
    <w:qFormat/>
    <w:pPr>
      <w:keepNext/>
      <w:keepLines/>
      <w:spacing w:after="100" w:before="280"/>
      <w:outlineLvl w:val="1"/>
    </w:pPr>
    <w:rPr>
      <w:rFonts w:ascii="Helvetica Neue" w:cs="Helvetica Neue" w:eastAsia="Helvetica Neue" w:hAnsi="Helvetica Neue"/>
      <w:b/>
      <w:color w:val="1D2733"/>
      <w:sz w:val="22"/>
      <w:szCs w:val="22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20"/>
      <w:outlineLvl w:val="2"/>
    </w:pPr>
    <w:rPr>
      <w:rFonts w:ascii="Helvetica Neue" w:cs="Helvetica Neue" w:eastAsia="Helvetica Neue" w:hAnsi="Helvetica Neue"/>
      <w:b/>
      <w:color w:val="5B6675"/>
      <w:sz w:val="20"/>
      <w:szCs w:val="20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40" w:before="40" w:line="240" w:lineRule="auto"/>
      <w:jc w:val="left"/>
    </w:pPr>
    <w:rPr>
      <w:rFonts w:ascii="Helvetica Neue" w:cs="Helvetica Neue" w:eastAsia="Helvetica Neue" w:hAnsi="Helvetica Neue"/>
      <w:sz w:val="17"/>
      <w:szCs w:val="17"/>
    </w:rPr>
    <w:tblPr>
      <w:jc w:val="center"/>
      <w:tblInd w:type="dxa" w:w="0"/>
      <w:tblBorders>
        <w:top w:color="1D2733" w:space="0" w:sz="10" w:val="single"/>
        <w:bottom w:color="1D2733" w:space="0" w:sz="10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</w:rPr>
      <w:tcPr>
        <w:tcBorders>
          <w:bottom w:color="1D2733" w:space="0" w:sz="6" w:val="single"/>
        </w:tcBorders>
        <w:shd w:color="auto" w:fill="EEF2F6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BodyText"/>
    <w:qFormat/>
    <w:pPr>
      <w:spacing w:after="280" w:before="80" w:line="252" w:lineRule="auto"/>
      <w:jc w:val="both"/>
    </w:pPr>
    <w:rPr>
      <w:rFonts w:ascii="Helvetica Neue" w:cs="Helvetica Neue" w:eastAsia="Helvetica Neue" w:hAnsi="Helvetica Neue"/>
      <w:color w:val="5B6675"/>
      <w:sz w:val="16"/>
      <w:szCs w:val="16"/>
    </w:rPr>
  </w:style>
  <w:style w:customStyle="1" w:styleId="TableCaption" w:type="paragraph">
    <w:name w:val="Table Caption"/>
    <w:basedOn w:val="Caption"/>
    <w:next w:val="BodyText"/>
    <w:qFormat/>
    <w:pPr>
      <w:keepNext/>
      <w:spacing w:after="80" w:before="200"/>
    </w:pPr>
    <w:rPr/>
  </w:style>
  <w:style w:customStyle="1" w:styleId="ImageCaption" w:type="paragraph">
    <w:name w:val="Image Caption"/>
    <w:basedOn w:val="Caption"/>
    <w:next w:val="BodyText"/>
    <w:qFormat/>
    <w:pPr/>
    <w:rPr/>
  </w:style>
  <w:style w:customStyle="1" w:styleId="Figure" w:type="paragraph">
    <w:name w:val="Figure"/>
    <w:basedOn w:val="Normal"/>
    <w:next w:val="BodyText"/>
    <w:qFormat/>
    <w:pPr>
      <w:keepNext/>
      <w:jc w:val="center"/>
    </w:pPr>
    <w:rPr/>
  </w:style>
  <w:style w:customStyle="1" w:styleId="CaptionedFigure" w:type="paragraph">
    <w:name w:val="Captioned Figure"/>
    <w:basedOn w:val="Normal"/>
    <w:next w:val="BodyText"/>
    <w:qFormat/>
    <w:pPr>
      <w:keepNext/>
      <w:spacing w:after="0" w:before="200"/>
      <w:jc w:val="center"/>
    </w:pPr>
    <w:rPr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B5B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Page" Target="footer1.xml" Type="http://schemas.openxmlformats.org/officeDocument/2006/relationships/footer" /><Relationship Type="http://schemas.openxmlformats.org/officeDocument/2006/relationships/image" Id="rId11" Target="media/rId11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reproducible blood transcriptomic signal of Alzheimer’s disease is largely explained by leukocyte composition and does not transport to individual-level classification</dc:title>
  <dc:creator/>
  <cp:keywords/>
  <dcterms:created xsi:type="dcterms:W3CDTF">2026-10-21T20:56:26Z</dcterms:created>
  <dcterms:modified xsi:type="dcterms:W3CDTF">2026-10-21T20:56:26Z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