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CellMar>
          <w:left w:w="10" w:type="dxa"/>
          <w:right w:w="10" w:type="dxa"/>
        </w:tblCellMar>
        <w:tblLook w:val="04A0" w:firstRow="1" w:lastRow="0" w:firstColumn="1" w:lastColumn="0" w:noHBand="0" w:noVBand="1"/>
      </w:tblPr>
      <w:tblGrid>
        <w:gridCol w:w="1389"/>
        <w:gridCol w:w="7971"/>
      </w:tblGrid>
      <w:tr w:rsidR="00DA3D1D" w14:paraId="4749708F" w14:textId="77777777">
        <w:tc>
          <w:tcPr>
            <w:tcW w:w="1200" w:type="dxa"/>
            <w:tcMar>
              <w:top w:w="90" w:type="dxa"/>
              <w:left w:w="130" w:type="dxa"/>
              <w:bottom w:w="90" w:type="dxa"/>
              <w:right w:w="130" w:type="dxa"/>
            </w:tcMar>
            <w:vAlign w:val="center"/>
          </w:tcPr>
          <w:p w14:paraId="08F3176B" w14:textId="016D617E" w:rsidR="00DA3D1D" w:rsidRDefault="00D30629">
            <w:r>
              <w:rPr>
                <w:noProof/>
              </w:rPr>
              <w:drawing>
                <wp:inline distT="0" distB="0" distL="0" distR="0" wp14:anchorId="5C41DB2A" wp14:editId="10321FBC">
                  <wp:extent cx="717452" cy="717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749286" cy="749286"/>
                          </a:xfrm>
                          <a:prstGeom prst="rect">
                            <a:avLst/>
                          </a:prstGeom>
                        </pic:spPr>
                      </pic:pic>
                    </a:graphicData>
                  </a:graphic>
                </wp:inline>
              </w:drawing>
            </w:r>
          </w:p>
        </w:tc>
        <w:tc>
          <w:tcPr>
            <w:tcW w:w="8160" w:type="dxa"/>
            <w:tcMar>
              <w:top w:w="90" w:type="dxa"/>
              <w:left w:w="130" w:type="dxa"/>
              <w:bottom w:w="90" w:type="dxa"/>
              <w:right w:w="130" w:type="dxa"/>
            </w:tcMar>
            <w:vAlign w:val="center"/>
          </w:tcPr>
          <w:p w14:paraId="70D62641" w14:textId="77777777" w:rsidR="00DA3D1D" w:rsidRDefault="00F22469">
            <w:pPr>
              <w:spacing w:after="20"/>
            </w:pPr>
            <w:r>
              <w:rPr>
                <w:rFonts w:ascii="Calibri" w:eastAsia="Calibri" w:hAnsi="Calibri" w:cs="Calibri"/>
                <w:b/>
                <w:bCs/>
                <w:color w:val="0B3D67"/>
                <w:sz w:val="26"/>
                <w:szCs w:val="26"/>
              </w:rPr>
              <w:t>North South University</w:t>
            </w:r>
          </w:p>
          <w:p w14:paraId="62868944" w14:textId="77777777" w:rsidR="00DA3D1D" w:rsidRDefault="00F22469">
            <w:pPr>
              <w:spacing w:after="10"/>
            </w:pPr>
            <w:r>
              <w:rPr>
                <w:rFonts w:ascii="Calibri" w:eastAsia="Calibri" w:hAnsi="Calibri" w:cs="Calibri"/>
                <w:color w:val="41505F"/>
                <w:sz w:val="18"/>
                <w:szCs w:val="18"/>
              </w:rPr>
              <w:t>Department of Electrical &amp; Computer Engineering</w:t>
            </w:r>
          </w:p>
          <w:p w14:paraId="5E4CE711" w14:textId="77777777" w:rsidR="00DA3D1D" w:rsidRDefault="00F22469">
            <w:r>
              <w:rPr>
                <w:rFonts w:ascii="Calibri" w:eastAsia="Calibri" w:hAnsi="Calibri" w:cs="Calibri"/>
                <w:color w:val="6A7686"/>
                <w:sz w:val="16"/>
                <w:szCs w:val="16"/>
              </w:rPr>
              <w:t>CSE299 — Junior Design Project · Summer 2026</w:t>
            </w:r>
          </w:p>
        </w:tc>
      </w:tr>
    </w:tbl>
    <w:p w14:paraId="677001AD" w14:textId="63DA391A" w:rsidR="00DA3D1D" w:rsidRDefault="00DA3D1D">
      <w:pPr>
        <w:pBdr>
          <w:bottom w:val="single" w:sz="12" w:space="0" w:color="0B3D67"/>
        </w:pBdr>
        <w:spacing w:before="120" w:after="200"/>
      </w:pPr>
    </w:p>
    <w:tbl>
      <w:tblPr>
        <w:tblW w:w="9360" w:type="dxa"/>
        <w:tblBorders>
          <w:top w:val="single" w:sz="4" w:space="0" w:color="D3CEC1"/>
          <w:left w:val="single" w:sz="4" w:space="0" w:color="D3CEC1"/>
          <w:bottom w:val="single" w:sz="4" w:space="0" w:color="D3CEC1"/>
          <w:right w:val="single" w:sz="4" w:space="0" w:color="D3CEC1"/>
          <w:insideH w:val="single" w:sz="4" w:space="0" w:color="D3CEC1"/>
          <w:insideV w:val="single" w:sz="4" w:space="0" w:color="D3CEC1"/>
        </w:tblBorders>
        <w:tblCellMar>
          <w:left w:w="10" w:type="dxa"/>
          <w:right w:w="10" w:type="dxa"/>
        </w:tblCellMar>
        <w:tblLook w:val="04A0" w:firstRow="1" w:lastRow="0" w:firstColumn="1" w:lastColumn="0" w:noHBand="0" w:noVBand="1"/>
      </w:tblPr>
      <w:tblGrid>
        <w:gridCol w:w="4680"/>
        <w:gridCol w:w="4680"/>
      </w:tblGrid>
      <w:tr w:rsidR="00DA3D1D" w14:paraId="640332A9" w14:textId="77777777">
        <w:tc>
          <w:tcPr>
            <w:tcW w:w="4680" w:type="dxa"/>
            <w:tcMar>
              <w:top w:w="90" w:type="dxa"/>
              <w:left w:w="130" w:type="dxa"/>
              <w:bottom w:w="90" w:type="dxa"/>
              <w:right w:w="130" w:type="dxa"/>
            </w:tcMar>
          </w:tcPr>
          <w:p w14:paraId="4EFD40FC" w14:textId="77777777" w:rsidR="00DA3D1D" w:rsidRDefault="00F22469">
            <w:pPr>
              <w:spacing w:after="40"/>
            </w:pPr>
            <w:r>
              <w:rPr>
                <w:rFonts w:ascii="Calibri" w:eastAsia="Calibri" w:hAnsi="Calibri" w:cs="Calibri"/>
                <w:b/>
                <w:bCs/>
                <w:caps/>
                <w:color w:val="0E7C86"/>
                <w:spacing w:val="24"/>
                <w:sz w:val="15"/>
                <w:szCs w:val="15"/>
              </w:rPr>
              <w:t>Course</w:t>
            </w:r>
          </w:p>
          <w:p w14:paraId="64B2D60A" w14:textId="77777777" w:rsidR="00DA3D1D" w:rsidRDefault="00F22469">
            <w:r>
              <w:rPr>
                <w:rFonts w:ascii="Calibri" w:eastAsia="Calibri" w:hAnsi="Calibri" w:cs="Calibri"/>
                <w:b/>
                <w:bCs/>
                <w:sz w:val="19"/>
                <w:szCs w:val="19"/>
              </w:rPr>
              <w:t>CSE299 — Junior Design Project</w:t>
            </w:r>
            <w:r>
              <w:rPr>
                <w:rFonts w:ascii="Calibri" w:eastAsia="Calibri" w:hAnsi="Calibri" w:cs="Calibri"/>
                <w:color w:val="6A7686"/>
                <w:sz w:val="19"/>
                <w:szCs w:val="19"/>
              </w:rPr>
              <w:t xml:space="preserve">  ·  Section 3</w:t>
            </w:r>
          </w:p>
        </w:tc>
        <w:tc>
          <w:tcPr>
            <w:tcW w:w="4680" w:type="dxa"/>
            <w:tcMar>
              <w:top w:w="90" w:type="dxa"/>
              <w:left w:w="130" w:type="dxa"/>
              <w:bottom w:w="90" w:type="dxa"/>
              <w:right w:w="130" w:type="dxa"/>
            </w:tcMar>
          </w:tcPr>
          <w:p w14:paraId="3BCA3D50" w14:textId="77777777" w:rsidR="00DA3D1D" w:rsidRDefault="00F22469">
            <w:pPr>
              <w:spacing w:after="40"/>
            </w:pPr>
            <w:r>
              <w:rPr>
                <w:rFonts w:ascii="Calibri" w:eastAsia="Calibri" w:hAnsi="Calibri" w:cs="Calibri"/>
                <w:b/>
                <w:bCs/>
                <w:caps/>
                <w:color w:val="0E7C86"/>
                <w:spacing w:val="24"/>
                <w:sz w:val="15"/>
                <w:szCs w:val="15"/>
              </w:rPr>
              <w:t>Project Group</w:t>
            </w:r>
          </w:p>
          <w:p w14:paraId="589EED51" w14:textId="77777777" w:rsidR="00DA3D1D" w:rsidRDefault="00F22469">
            <w:r>
              <w:rPr>
                <w:rFonts w:ascii="Calibri" w:eastAsia="Calibri" w:hAnsi="Calibri" w:cs="Calibri"/>
                <w:b/>
                <w:bCs/>
                <w:sz w:val="19"/>
                <w:szCs w:val="19"/>
              </w:rPr>
              <w:t>Group No. 3</w:t>
            </w:r>
          </w:p>
        </w:tc>
      </w:tr>
      <w:tr w:rsidR="00DA3D1D" w14:paraId="1FA887C7" w14:textId="77777777">
        <w:tc>
          <w:tcPr>
            <w:tcW w:w="9360" w:type="dxa"/>
            <w:gridSpan w:val="2"/>
            <w:tcMar>
              <w:top w:w="90" w:type="dxa"/>
              <w:left w:w="130" w:type="dxa"/>
              <w:bottom w:w="90" w:type="dxa"/>
              <w:right w:w="130" w:type="dxa"/>
            </w:tcMar>
          </w:tcPr>
          <w:p w14:paraId="69BB6F5C" w14:textId="77777777" w:rsidR="00DA3D1D" w:rsidRDefault="00F22469">
            <w:pPr>
              <w:spacing w:after="40"/>
            </w:pPr>
            <w:r>
              <w:rPr>
                <w:rFonts w:ascii="Calibri" w:eastAsia="Calibri" w:hAnsi="Calibri" w:cs="Calibri"/>
                <w:b/>
                <w:bCs/>
                <w:caps/>
                <w:color w:val="0E7C86"/>
                <w:spacing w:val="24"/>
                <w:sz w:val="15"/>
                <w:szCs w:val="15"/>
              </w:rPr>
              <w:t>Group Members</w:t>
            </w:r>
          </w:p>
          <w:p w14:paraId="4D88EFF2" w14:textId="77777777" w:rsidR="00D30629" w:rsidRDefault="00F22469">
            <w:pPr>
              <w:rPr>
                <w:rFonts w:ascii="Calibri" w:eastAsia="Calibri" w:hAnsi="Calibri" w:cs="Calibri"/>
                <w:color w:val="6A7686"/>
                <w:sz w:val="17"/>
                <w:szCs w:val="17"/>
              </w:rPr>
            </w:pPr>
            <w:r>
              <w:rPr>
                <w:rFonts w:ascii="Calibri" w:eastAsia="Calibri" w:hAnsi="Calibri" w:cs="Calibri"/>
                <w:sz w:val="19"/>
                <w:szCs w:val="19"/>
              </w:rPr>
              <w:t xml:space="preserve">Sadia Rahman Peya </w:t>
            </w:r>
            <w:r>
              <w:rPr>
                <w:rFonts w:ascii="Calibri" w:eastAsia="Calibri" w:hAnsi="Calibri" w:cs="Calibri"/>
                <w:color w:val="6A7686"/>
                <w:sz w:val="17"/>
                <w:szCs w:val="17"/>
              </w:rPr>
              <w:t>2221136042</w:t>
            </w:r>
          </w:p>
          <w:p w14:paraId="7CB24E0A" w14:textId="77777777" w:rsidR="00D30629" w:rsidRDefault="00F22469">
            <w:pPr>
              <w:rPr>
                <w:rFonts w:ascii="Calibri" w:eastAsia="Calibri" w:hAnsi="Calibri" w:cs="Calibri"/>
                <w:sz w:val="19"/>
                <w:szCs w:val="19"/>
              </w:rPr>
            </w:pPr>
            <w:r>
              <w:rPr>
                <w:rFonts w:ascii="Calibri" w:eastAsia="Calibri" w:hAnsi="Calibri" w:cs="Calibri"/>
                <w:sz w:val="19"/>
                <w:szCs w:val="19"/>
              </w:rPr>
              <w:t xml:space="preserve">Rawnakul Islam Desh </w:t>
            </w:r>
            <w:r>
              <w:rPr>
                <w:rFonts w:ascii="Calibri" w:eastAsia="Calibri" w:hAnsi="Calibri" w:cs="Calibri"/>
                <w:color w:val="6A7686"/>
                <w:sz w:val="17"/>
                <w:szCs w:val="17"/>
              </w:rPr>
              <w:t>2233282642</w:t>
            </w:r>
            <w:r>
              <w:rPr>
                <w:rFonts w:ascii="Calibri" w:eastAsia="Calibri" w:hAnsi="Calibri" w:cs="Calibri"/>
                <w:sz w:val="19"/>
                <w:szCs w:val="19"/>
              </w:rPr>
              <w:t xml:space="preserve"> </w:t>
            </w:r>
          </w:p>
          <w:p w14:paraId="045FE1A0" w14:textId="77777777" w:rsidR="00D30629" w:rsidRDefault="00F22469">
            <w:pPr>
              <w:rPr>
                <w:rFonts w:ascii="Calibri" w:eastAsia="Calibri" w:hAnsi="Calibri" w:cs="Calibri"/>
                <w:sz w:val="19"/>
                <w:szCs w:val="19"/>
              </w:rPr>
            </w:pPr>
            <w:r>
              <w:rPr>
                <w:rFonts w:ascii="Calibri" w:eastAsia="Calibri" w:hAnsi="Calibri" w:cs="Calibri"/>
                <w:sz w:val="19"/>
                <w:szCs w:val="19"/>
              </w:rPr>
              <w:t xml:space="preserve">Md. Tanvir Rahman </w:t>
            </w:r>
            <w:r>
              <w:rPr>
                <w:rFonts w:ascii="Calibri" w:eastAsia="Calibri" w:hAnsi="Calibri" w:cs="Calibri"/>
                <w:color w:val="6A7686"/>
                <w:sz w:val="17"/>
                <w:szCs w:val="17"/>
              </w:rPr>
              <w:t>2232397042</w:t>
            </w:r>
            <w:r>
              <w:rPr>
                <w:rFonts w:ascii="Calibri" w:eastAsia="Calibri" w:hAnsi="Calibri" w:cs="Calibri"/>
                <w:sz w:val="19"/>
                <w:szCs w:val="19"/>
              </w:rPr>
              <w:t xml:space="preserve"> </w:t>
            </w:r>
          </w:p>
          <w:p w14:paraId="56AC00D3" w14:textId="1808276D" w:rsidR="00DA3D1D" w:rsidRPr="00D30629" w:rsidRDefault="00F22469">
            <w:pPr>
              <w:rPr>
                <w:rFonts w:ascii="Calibri" w:eastAsia="Calibri" w:hAnsi="Calibri" w:cs="Calibri"/>
                <w:sz w:val="19"/>
                <w:szCs w:val="19"/>
              </w:rPr>
            </w:pPr>
            <w:r>
              <w:rPr>
                <w:rFonts w:ascii="Calibri" w:eastAsia="Calibri" w:hAnsi="Calibri" w:cs="Calibri"/>
                <w:sz w:val="19"/>
                <w:szCs w:val="19"/>
              </w:rPr>
              <w:t xml:space="preserve">Shahina Alian Mahifa </w:t>
            </w:r>
            <w:r>
              <w:rPr>
                <w:rFonts w:ascii="Calibri" w:eastAsia="Calibri" w:hAnsi="Calibri" w:cs="Calibri"/>
                <w:color w:val="6A7686"/>
                <w:sz w:val="17"/>
                <w:szCs w:val="17"/>
              </w:rPr>
              <w:t>2231167642</w:t>
            </w:r>
          </w:p>
        </w:tc>
      </w:tr>
      <w:tr w:rsidR="00DA3D1D" w14:paraId="6B43EF6C" w14:textId="77777777">
        <w:tc>
          <w:tcPr>
            <w:tcW w:w="9360" w:type="dxa"/>
            <w:gridSpan w:val="2"/>
            <w:tcMar>
              <w:top w:w="90" w:type="dxa"/>
              <w:left w:w="130" w:type="dxa"/>
              <w:bottom w:w="90" w:type="dxa"/>
              <w:right w:w="130" w:type="dxa"/>
            </w:tcMar>
          </w:tcPr>
          <w:p w14:paraId="1F6DB111" w14:textId="77777777" w:rsidR="00DA3D1D" w:rsidRDefault="00F22469">
            <w:pPr>
              <w:spacing w:after="40"/>
            </w:pPr>
            <w:r>
              <w:rPr>
                <w:rFonts w:ascii="Calibri" w:eastAsia="Calibri" w:hAnsi="Calibri" w:cs="Calibri"/>
                <w:b/>
                <w:bCs/>
                <w:caps/>
                <w:color w:val="0E7C86"/>
                <w:spacing w:val="24"/>
                <w:sz w:val="15"/>
                <w:szCs w:val="15"/>
              </w:rPr>
              <w:t>Faculty Advisor</w:t>
            </w:r>
          </w:p>
          <w:p w14:paraId="4E2E8F80" w14:textId="77777777" w:rsidR="00DA3D1D" w:rsidRDefault="00F22469">
            <w:r>
              <w:rPr>
                <w:rFonts w:ascii="Calibri" w:eastAsia="Calibri" w:hAnsi="Calibri" w:cs="Calibri"/>
                <w:b/>
                <w:bCs/>
                <w:sz w:val="19"/>
                <w:szCs w:val="19"/>
              </w:rPr>
              <w:t>Mohammad Shifat-E-Rabbi</w:t>
            </w:r>
            <w:r>
              <w:rPr>
                <w:rFonts w:ascii="Calibri" w:eastAsia="Calibri" w:hAnsi="Calibri" w:cs="Calibri"/>
                <w:color w:val="6A7686"/>
                <w:sz w:val="19"/>
                <w:szCs w:val="19"/>
              </w:rPr>
              <w:t xml:space="preserve">  —  Dept. of Electrical and Computer Engineering</w:t>
            </w:r>
          </w:p>
        </w:tc>
      </w:tr>
    </w:tbl>
    <w:p w14:paraId="2844FED8" w14:textId="77777777" w:rsidR="00DA3D1D" w:rsidRDefault="00F22469">
      <w:pPr>
        <w:spacing w:before="360" w:after="120"/>
        <w:jc w:val="center"/>
      </w:pPr>
      <w:r>
        <w:rPr>
          <w:rFonts w:cs="Georgia"/>
          <w:b/>
          <w:bCs/>
          <w:sz w:val="36"/>
          <w:szCs w:val="36"/>
        </w:rPr>
        <w:t>AmarCure: A Mobile Platform for Personal Health Records, Emergency Medical Access, and Localized Blood-Donor Discovery</w:t>
      </w:r>
    </w:p>
    <w:p w14:paraId="79F15AA4" w14:textId="77777777" w:rsidR="00DA3D1D" w:rsidRDefault="00F22469">
      <w:pPr>
        <w:spacing w:after="60"/>
        <w:jc w:val="center"/>
      </w:pPr>
      <w:r>
        <w:rPr>
          <w:rFonts w:ascii="Calibri" w:eastAsia="Calibri" w:hAnsi="Calibri" w:cs="Calibri"/>
          <w:color w:val="41505F"/>
          <w:sz w:val="20"/>
          <w:szCs w:val="20"/>
        </w:rPr>
        <w:t>S. R. Peya, R. I. Desh, Md. T. Rahman, and S. A. Mahifa</w:t>
      </w:r>
    </w:p>
    <w:p w14:paraId="3B2F2BEE" w14:textId="77777777" w:rsidR="00DA3D1D" w:rsidRDefault="00F22469">
      <w:pPr>
        <w:spacing w:after="40"/>
        <w:jc w:val="center"/>
      </w:pPr>
      <w:r>
        <w:rPr>
          <w:rFonts w:cs="Georgia"/>
          <w:i/>
          <w:iCs/>
          <w:color w:val="6A7686"/>
          <w:sz w:val="18"/>
          <w:szCs w:val="18"/>
        </w:rPr>
        <w:t>Dept. of Electrical and Computer Engineering — CSE299 Junior Design Project</w:t>
      </w:r>
    </w:p>
    <w:p w14:paraId="1BB52819" w14:textId="77777777" w:rsidR="00DA3D1D" w:rsidRDefault="00F22469">
      <w:pPr>
        <w:spacing w:after="240"/>
        <w:jc w:val="center"/>
      </w:pPr>
      <w:r>
        <w:rPr>
          <w:rFonts w:cs="Georgia"/>
          <w:i/>
          <w:iCs/>
          <w:color w:val="6A7686"/>
          <w:sz w:val="18"/>
          <w:szCs w:val="18"/>
        </w:rPr>
        <w:t>Supervised by Mohammad Shifat-E-Rabbi</w:t>
      </w:r>
    </w:p>
    <w:p w14:paraId="0FD00A5F" w14:textId="77777777" w:rsidR="00DA3D1D" w:rsidRDefault="00F22469">
      <w:pPr>
        <w:spacing w:after="60"/>
      </w:pPr>
      <w:r>
        <w:rPr>
          <w:rFonts w:ascii="Calibri" w:eastAsia="Calibri" w:hAnsi="Calibri" w:cs="Calibri"/>
          <w:b/>
          <w:bCs/>
          <w:caps/>
          <w:color w:val="0E7C86"/>
          <w:spacing w:val="24"/>
          <w:sz w:val="15"/>
          <w:szCs w:val="15"/>
        </w:rPr>
        <w:t>Abstract</w:t>
      </w:r>
    </w:p>
    <w:p w14:paraId="3B2A9655" w14:textId="77777777" w:rsidR="00DA3D1D" w:rsidRDefault="00F22469">
      <w:pPr>
        <w:pBdr>
          <w:top w:val="single" w:sz="2" w:space="0" w:color="F4F2EC"/>
          <w:left w:val="single" w:sz="18" w:space="0" w:color="0E7C86"/>
          <w:bottom w:val="single" w:sz="2" w:space="0" w:color="F4F2EC"/>
          <w:right w:val="single" w:sz="2" w:space="0" w:color="F4F2EC"/>
        </w:pBdr>
        <w:shd w:val="clear" w:color="auto" w:fill="F4F2EC"/>
        <w:spacing w:after="120" w:line="288" w:lineRule="auto"/>
        <w:jc w:val="both"/>
      </w:pPr>
      <w:r>
        <w:rPr>
          <w:rFonts w:cs="Georgia"/>
          <w:b/>
          <w:bCs/>
          <w:i/>
          <w:iCs/>
          <w:sz w:val="19"/>
          <w:szCs w:val="19"/>
        </w:rPr>
        <w:t xml:space="preserve">Abstract— </w:t>
      </w:r>
      <w:r>
        <w:rPr>
          <w:rFonts w:cs="Georgia"/>
          <w:sz w:val="19"/>
          <w:szCs w:val="19"/>
        </w:rPr>
        <w:t>AmarCure is a cross-platform mobile and web application. It runs on Expo/React Native with a Node.js/Express/MySQL backend, and it keeps a person’s medical records in one place while making the most critical parts reachable in an emergency. Whoever finds the patient does not need an account to see them. Reports are stored as private objects in Backblaze B2 and are only served through short-lived signed URLs. A scannable QR “emergency card” shows blood group, chronic conditions, and emergency contacts. The token behind that card is never stored in plaintext, it expires on a fixed schedule, and it is replaced the moment a new one is issued. There is also a “family access” model that lets a caregiver manage a dependant’s profile at one of three access levels, with every change written to an audit log. On top of this, two location-aware features (nearby-hospital and specialist search, and thana-level blood-donor matching) run on OpenStreetMap geodata together with a curated neighbourhood-to-thana alias table for Dhaka. In this paper we walk through the system’s architecture, data model, and security mechanisms, and we report the results of end-to-end functional testing done against a live MySQL instance and Backblaze bucket. We close with the system’s limitations and a few directions for future work.</w:t>
      </w:r>
    </w:p>
    <w:p w14:paraId="6BD62114" w14:textId="77777777" w:rsidR="00DA3D1D" w:rsidRDefault="00F22469">
      <w:pPr>
        <w:spacing w:after="240" w:line="276" w:lineRule="auto"/>
      </w:pPr>
      <w:r>
        <w:rPr>
          <w:rFonts w:ascii="Calibri" w:eastAsia="Calibri" w:hAnsi="Calibri" w:cs="Calibri"/>
          <w:b/>
          <w:bCs/>
          <w:color w:val="6A7686"/>
          <w:sz w:val="16"/>
          <w:szCs w:val="16"/>
        </w:rPr>
        <w:t xml:space="preserve">Index Terms— </w:t>
      </w:r>
      <w:r>
        <w:rPr>
          <w:rFonts w:cs="Georgia"/>
          <w:i/>
          <w:iCs/>
          <w:sz w:val="18"/>
          <w:szCs w:val="18"/>
        </w:rPr>
        <w:t>personal health records, mHealth, emergency medical access, geolocation, blood donation, Argon2, JSON Web Tokens, Expo, React Native.</w:t>
      </w:r>
    </w:p>
    <w:p w14:paraId="10BFF32E" w14:textId="77777777" w:rsidR="00DA3D1D" w:rsidRDefault="00F22469">
      <w:pPr>
        <w:pStyle w:val="Heading1"/>
        <w:spacing w:before="320" w:after="120"/>
      </w:pPr>
      <w:r>
        <w:rPr>
          <w:rFonts w:ascii="Consolas" w:eastAsia="Consolas" w:hAnsi="Consolas" w:cs="Consolas"/>
          <w:color w:val="0E7C86"/>
          <w:sz w:val="22"/>
          <w:szCs w:val="22"/>
        </w:rPr>
        <w:t xml:space="preserve">I  </w:t>
      </w:r>
      <w:r>
        <w:t>Introduction</w:t>
      </w:r>
    </w:p>
    <w:p w14:paraId="2EE0E961" w14:textId="77777777" w:rsidR="00DA3D1D" w:rsidRDefault="00F22469">
      <w:pPr>
        <w:spacing w:after="160" w:line="300" w:lineRule="auto"/>
        <w:jc w:val="both"/>
      </w:pPr>
      <w:r>
        <w:rPr>
          <w:rFonts w:cs="Georgia"/>
        </w:rPr>
        <w:t>In Bangladesh, a person’s medical history is usually spread across paper prescriptions, printed diagnostic films, and hospital systems that do not share data with one another. If that person is suddenly incapacitated, say after a road accident or a fainting spell, a bystander or first responder has no easy way to find their blood group, chronic conditions, or an emergency contact. The frustrating part is that this information often already sits on the patient’s own phone. Finding a compatible blood donor is a second problem that is just as urgent. Requests for blood still move mostly through Facebook groups and long phone chains rather than a searchable, location-aware directory, and that costs precious minutes in exactly the situations where minutes matter most.</w:t>
      </w:r>
    </w:p>
    <w:p w14:paraId="0565F486" w14:textId="77777777" w:rsidR="00DA3D1D" w:rsidRDefault="00F22469">
      <w:pPr>
        <w:spacing w:after="160" w:line="300" w:lineRule="auto"/>
        <w:jc w:val="both"/>
      </w:pPr>
      <w:r>
        <w:rPr>
          <w:rFonts w:cs="Georgia"/>
        </w:rPr>
        <w:lastRenderedPageBreak/>
        <w:t>AmarCure sets out to solve both of these, along with a third problem that comes with them. Not every patient can manage their own digital record. Children and elderly dependants need a trusted family member to do it for them, and that kind of access should be limited, revocable, and traceable rather than just a shared password.</w:t>
      </w:r>
    </w:p>
    <w:p w14:paraId="33627AB1" w14:textId="77777777" w:rsidR="00DA3D1D" w:rsidRDefault="00F22469">
      <w:pPr>
        <w:spacing w:after="160" w:line="300" w:lineRule="auto"/>
        <w:jc w:val="both"/>
      </w:pPr>
      <w:r>
        <w:rPr>
          <w:rFonts w:cs="Georgia"/>
        </w:rPr>
        <w:t>Concretely, this project contributes:</w:t>
      </w:r>
    </w:p>
    <w:p w14:paraId="6409B31D" w14:textId="77777777" w:rsidR="00DA3D1D" w:rsidRDefault="00F22469">
      <w:pPr>
        <w:spacing w:after="100" w:line="288" w:lineRule="auto"/>
        <w:ind w:left="420" w:hanging="220"/>
        <w:jc w:val="both"/>
      </w:pPr>
      <w:r>
        <w:rPr>
          <w:rFonts w:cs="Georgia"/>
          <w:color w:val="0E7C86"/>
          <w:sz w:val="16"/>
          <w:szCs w:val="16"/>
        </w:rPr>
        <w:t xml:space="preserve">◆  </w:t>
      </w:r>
      <w:r>
        <w:rPr>
          <w:rFonts w:cs="Georgia"/>
        </w:rPr>
        <w:t>a patient-owned personal health record with encrypted-at-rest object storage and time-limited, revocable sharing;</w:t>
      </w:r>
    </w:p>
    <w:p w14:paraId="63293F11" w14:textId="77777777" w:rsidR="00DA3D1D" w:rsidRDefault="00F22469">
      <w:pPr>
        <w:spacing w:after="100" w:line="288" w:lineRule="auto"/>
        <w:ind w:left="420" w:hanging="220"/>
        <w:jc w:val="both"/>
      </w:pPr>
      <w:r>
        <w:rPr>
          <w:rFonts w:cs="Georgia"/>
          <w:color w:val="0E7C86"/>
          <w:sz w:val="16"/>
          <w:szCs w:val="16"/>
        </w:rPr>
        <w:t xml:space="preserve">◆  </w:t>
      </w:r>
      <w:r>
        <w:rPr>
          <w:rFonts w:cs="Georgia"/>
        </w:rPr>
        <w:t>a public, unauthenticated “emergency card” endpoint reachable via QR code, backed by hashed, expiring, single-active tokens;</w:t>
      </w:r>
    </w:p>
    <w:p w14:paraId="40655FB8" w14:textId="77777777" w:rsidR="00DA3D1D" w:rsidRDefault="00F22469">
      <w:pPr>
        <w:spacing w:after="100" w:line="288" w:lineRule="auto"/>
        <w:ind w:left="420" w:hanging="220"/>
        <w:jc w:val="both"/>
      </w:pPr>
      <w:r>
        <w:rPr>
          <w:rFonts w:cs="Georgia"/>
          <w:color w:val="0E7C86"/>
          <w:sz w:val="16"/>
          <w:szCs w:val="16"/>
        </w:rPr>
        <w:t xml:space="preserve">◆  </w:t>
      </w:r>
      <w:r>
        <w:rPr>
          <w:rFonts w:cs="Georgia"/>
        </w:rPr>
        <w:t>a delegated family-access model with three access tiers and a full activity audit log;</w:t>
      </w:r>
    </w:p>
    <w:p w14:paraId="0C15E8F1" w14:textId="77777777" w:rsidR="00DA3D1D" w:rsidRDefault="00F22469">
      <w:pPr>
        <w:spacing w:after="100" w:line="288" w:lineRule="auto"/>
        <w:ind w:left="420" w:hanging="220"/>
        <w:jc w:val="both"/>
      </w:pPr>
      <w:r>
        <w:rPr>
          <w:rFonts w:cs="Georgia"/>
          <w:color w:val="0E7C86"/>
          <w:sz w:val="16"/>
          <w:szCs w:val="16"/>
        </w:rPr>
        <w:t>GPS-driven discovery of nearby hospitals and specialists, and of compatible blood donors matched at the level of a Dhaka Metropolitan Police thana rather than a whole city.</w:t>
      </w:r>
    </w:p>
    <w:p w14:paraId="3F9629E3" w14:textId="77777777" w:rsidR="00DA3D1D" w:rsidRDefault="00F22469">
      <w:pPr>
        <w:spacing w:after="160" w:line="300" w:lineRule="auto"/>
        <w:jc w:val="both"/>
      </w:pPr>
      <w:r>
        <w:rPr>
          <w:rFonts w:cs="Georgia"/>
        </w:rPr>
        <w:t>The remainder of this paper reviews related work (Sec. II), describes the system architecture and data model (Secs. III–IV), details the security mechanisms and location-aware features (Secs. V–VI), reports implementation notes and functional verification (Secs. VII–VIII), and discusses limitations and future work (Sec. IX).</w:t>
      </w:r>
    </w:p>
    <w:p w14:paraId="7ED1B61D" w14:textId="77777777" w:rsidR="00DA3D1D" w:rsidRDefault="00F22469">
      <w:pPr>
        <w:pStyle w:val="Heading1"/>
        <w:spacing w:before="320" w:after="120"/>
      </w:pPr>
      <w:r>
        <w:rPr>
          <w:rFonts w:ascii="Consolas" w:eastAsia="Consolas" w:hAnsi="Consolas" w:cs="Consolas"/>
          <w:color w:val="0E7C86"/>
          <w:sz w:val="22"/>
          <w:szCs w:val="22"/>
        </w:rPr>
        <w:t xml:space="preserve">II  </w:t>
      </w:r>
      <w:r>
        <w:t>Related Work</w:t>
      </w:r>
    </w:p>
    <w:p w14:paraId="4E446FC5" w14:textId="77777777" w:rsidR="00DA3D1D" w:rsidRDefault="00F22469">
      <w:pPr>
        <w:spacing w:after="160" w:line="300" w:lineRule="auto"/>
        <w:jc w:val="both"/>
      </w:pPr>
      <w:r>
        <w:rPr>
          <w:rFonts w:cs="Georgia"/>
        </w:rPr>
        <w:t>Personal health record (PHR) systems have been studied since the mid-2000s. Tang et al. survey what they can offer and the barriers that have slowed their adoption, mainly interoperability and keeping patients engaged over the long term [1]. Most of this literature assumes the record ties into a hospital’s electronic health record system, usually over HL7 or FHIR. That assumption does not hold in a country where even hospital-to-hospital data exchange is still immature. AmarCure goes a different way with a patient-owned model. The record is filled in and controlled entirely by its subject, or by their family delegate, and does not rely on any single provider’s system.</w:t>
      </w:r>
    </w:p>
    <w:p w14:paraId="3280AE83" w14:textId="77777777" w:rsidR="00DA3D1D" w:rsidRDefault="00F22469">
      <w:pPr>
        <w:spacing w:after="160" w:line="300" w:lineRule="auto"/>
        <w:jc w:val="both"/>
      </w:pPr>
      <w:r>
        <w:rPr>
          <w:rFonts w:cs="Georgia"/>
        </w:rPr>
        <w:t>The World Health Organization’s mHealth report describes the broader move toward mobile-first health tools in low- and middle-income countries, where smartphone use has grown faster than fixed health infrastructure [2]. AmarCure sits right in that space. It assumes a smartphone and a data connection, not a hospital account.</w:t>
      </w:r>
    </w:p>
    <w:p w14:paraId="0DB3982E" w14:textId="77777777" w:rsidR="00DA3D1D" w:rsidRDefault="00F22469">
      <w:pPr>
        <w:spacing w:after="160" w:line="300" w:lineRule="auto"/>
        <w:jc w:val="both"/>
      </w:pPr>
      <w:r>
        <w:rPr>
          <w:rFonts w:cs="Georgia"/>
        </w:rPr>
        <w:t>The closest existing products to the emergency card are static emergency-identification tools such as engraved medical-alert bracelets or the “Medical ID” fields built into iOS and Android lock screens. These work even without a network, but the information on them is fixed at the point of purchase or the last manual edit, so they cannot easily hold something like a recently added medication. AmarCure trades that offline guarantee for a record you can update at any time and revoke instantly if the sharing link is lost or misused. Blood donation is much the same story. In Bangladesh the usual approach is informal, built on social-media posts and phone chains, so AmarCure offers a structured directory instead. It is searched by a location taken automatically from GPS rather than a self-reported city name, and it works at the level of the police thana, which is fine enough to matter in a city as dense as Dhaka.</w:t>
      </w:r>
    </w:p>
    <w:p w14:paraId="3DE1E637" w14:textId="77777777" w:rsidR="00DA3D1D" w:rsidRDefault="00F22469">
      <w:pPr>
        <w:spacing w:after="160" w:line="300" w:lineRule="auto"/>
        <w:jc w:val="both"/>
      </w:pPr>
      <w:r>
        <w:rPr>
          <w:rFonts w:cs="Georgia"/>
        </w:rPr>
        <w:t>We want to be clear about what AmarCure is. It is a consumer, self-reported record and discovery tool, not a certified medical device or a hospital electronic health record system. Its symptom-triage feature (Sec. VI-C) is a decision aid, not a diagnostic one.</w:t>
      </w:r>
    </w:p>
    <w:p w14:paraId="1E49AD17" w14:textId="77777777" w:rsidR="00DA3D1D" w:rsidRDefault="00F22469">
      <w:pPr>
        <w:pStyle w:val="Heading1"/>
        <w:spacing w:before="320" w:after="120"/>
      </w:pPr>
      <w:r>
        <w:rPr>
          <w:rFonts w:ascii="Consolas" w:eastAsia="Consolas" w:hAnsi="Consolas" w:cs="Consolas"/>
          <w:color w:val="0E7C86"/>
          <w:sz w:val="22"/>
          <w:szCs w:val="22"/>
        </w:rPr>
        <w:t xml:space="preserve">III  </w:t>
      </w:r>
      <w:r>
        <w:t>System Architecture</w:t>
      </w:r>
    </w:p>
    <w:p w14:paraId="0B820E6B" w14:textId="77777777" w:rsidR="00DA3D1D" w:rsidRDefault="00F22469">
      <w:pPr>
        <w:spacing w:after="160" w:line="300" w:lineRule="auto"/>
        <w:jc w:val="both"/>
      </w:pPr>
      <w:r>
        <w:rPr>
          <w:rFonts w:cs="Georgia"/>
        </w:rPr>
        <w:t xml:space="preserve">AmarCure uses a standard three-tier client-server architecture, shown in Fig. 1. A single Expo/React Native TypeScript codebase, routed with Expo Router’s file-based navigation, targets iOS, Android, and </w:t>
      </w:r>
      <w:r>
        <w:rPr>
          <w:rFonts w:cs="Georgia"/>
        </w:rPr>
        <w:lastRenderedPageBreak/>
        <w:t>web from one source tree. It talks to a stateless Node.js/Express 5 REST API purely over JSON and authenticates with a bearer JWT on every protected route. The API is the only part of the system that holds credentials to the data tier. That tier includes a MySQL/MariaDB database reached through a pooled mysql2 connection, a private Backblaze B2 bucket reached through the S3-compatible AWS SDK, Gmail SMTP for transactional email, the Expo Push service for device notifications, and two OpenStreetMap-backed geodata services (Nominatim for reverse geocoding and Overpass for point-of-interest queries).</w:t>
      </w:r>
    </w:p>
    <w:tbl>
      <w:tblPr>
        <w:tblW w:w="9360" w:type="dxa"/>
        <w:tblCellMar>
          <w:left w:w="10" w:type="dxa"/>
          <w:right w:w="10" w:type="dxa"/>
        </w:tblCellMar>
        <w:tblLook w:val="04A0" w:firstRow="1" w:lastRow="0" w:firstColumn="1" w:lastColumn="0" w:noHBand="0" w:noVBand="1"/>
      </w:tblPr>
      <w:tblGrid>
        <w:gridCol w:w="3400"/>
        <w:gridCol w:w="2560"/>
        <w:gridCol w:w="3400"/>
      </w:tblGrid>
      <w:tr w:rsidR="00DA3D1D" w14:paraId="6D800F9F" w14:textId="77777777">
        <w:tc>
          <w:tcPr>
            <w:tcW w:w="3400" w:type="dxa"/>
            <w:tcBorders>
              <w:top w:val="single" w:sz="4" w:space="0" w:color="D3CEC1"/>
              <w:left w:val="single" w:sz="4" w:space="0" w:color="D3CEC1"/>
              <w:bottom w:val="single" w:sz="4" w:space="0" w:color="D3CEC1"/>
              <w:right w:val="single" w:sz="4" w:space="0" w:color="D3CEC1"/>
            </w:tcBorders>
            <w:shd w:val="clear" w:color="auto" w:fill="F4F2EC"/>
            <w:tcMar>
              <w:top w:w="90" w:type="dxa"/>
              <w:left w:w="130" w:type="dxa"/>
              <w:bottom w:w="90" w:type="dxa"/>
              <w:right w:w="130" w:type="dxa"/>
            </w:tcMar>
            <w:vAlign w:val="center"/>
          </w:tcPr>
          <w:p w14:paraId="176FE827" w14:textId="77777777" w:rsidR="00DA3D1D" w:rsidRDefault="00F22469">
            <w:pPr>
              <w:spacing w:after="20"/>
              <w:jc w:val="center"/>
            </w:pPr>
            <w:r>
              <w:rPr>
                <w:rFonts w:ascii="Calibri" w:eastAsia="Calibri" w:hAnsi="Calibri" w:cs="Calibri"/>
                <w:b/>
                <w:bCs/>
                <w:color w:val="0E7C86"/>
                <w:sz w:val="19"/>
                <w:szCs w:val="19"/>
              </w:rPr>
              <w:t>Expo Client</w:t>
            </w:r>
          </w:p>
          <w:p w14:paraId="3B29EC5F" w14:textId="77777777" w:rsidR="00DA3D1D" w:rsidRDefault="00F22469">
            <w:pPr>
              <w:jc w:val="center"/>
            </w:pPr>
            <w:r>
              <w:rPr>
                <w:rFonts w:ascii="Calibri" w:eastAsia="Calibri" w:hAnsi="Calibri" w:cs="Calibri"/>
                <w:color w:val="6A7686"/>
                <w:sz w:val="15"/>
                <w:szCs w:val="15"/>
              </w:rPr>
              <w:t>iOS · Android · Web</w:t>
            </w:r>
          </w:p>
        </w:tc>
        <w:tc>
          <w:tcPr>
            <w:tcW w:w="2560" w:type="dxa"/>
            <w:tcMar>
              <w:top w:w="90" w:type="dxa"/>
              <w:left w:w="130" w:type="dxa"/>
              <w:bottom w:w="90" w:type="dxa"/>
              <w:right w:w="130" w:type="dxa"/>
            </w:tcMar>
            <w:vAlign w:val="center"/>
          </w:tcPr>
          <w:p w14:paraId="525DC7EF" w14:textId="77777777" w:rsidR="00DA3D1D" w:rsidRDefault="00F22469">
            <w:pPr>
              <w:spacing w:after="20"/>
              <w:jc w:val="center"/>
            </w:pPr>
            <w:r>
              <w:rPr>
                <w:rFonts w:ascii="Consolas" w:eastAsia="Consolas" w:hAnsi="Consolas" w:cs="Consolas"/>
                <w:color w:val="0E7C86"/>
                <w:sz w:val="15"/>
                <w:szCs w:val="15"/>
              </w:rPr>
              <w:t>HTTPS · JSON  →</w:t>
            </w:r>
          </w:p>
          <w:p w14:paraId="72CC0A57" w14:textId="77777777" w:rsidR="00DA3D1D" w:rsidRDefault="00F22469">
            <w:pPr>
              <w:jc w:val="center"/>
            </w:pPr>
            <w:r>
              <w:rPr>
                <w:rFonts w:ascii="Consolas" w:eastAsia="Consolas" w:hAnsi="Consolas" w:cs="Consolas"/>
                <w:color w:val="0E7C86"/>
                <w:sz w:val="15"/>
                <w:szCs w:val="15"/>
              </w:rPr>
              <w:t>←  Bearer JWT</w:t>
            </w:r>
          </w:p>
        </w:tc>
        <w:tc>
          <w:tcPr>
            <w:tcW w:w="3400" w:type="dxa"/>
            <w:tcBorders>
              <w:top w:val="single" w:sz="4" w:space="0" w:color="D3CEC1"/>
              <w:left w:val="single" w:sz="4" w:space="0" w:color="D3CEC1"/>
              <w:bottom w:val="single" w:sz="4" w:space="0" w:color="D3CEC1"/>
              <w:right w:val="single" w:sz="4" w:space="0" w:color="D3CEC1"/>
            </w:tcBorders>
            <w:shd w:val="clear" w:color="auto" w:fill="F4F2EC"/>
            <w:tcMar>
              <w:top w:w="90" w:type="dxa"/>
              <w:left w:w="130" w:type="dxa"/>
              <w:bottom w:w="90" w:type="dxa"/>
              <w:right w:w="130" w:type="dxa"/>
            </w:tcMar>
            <w:vAlign w:val="center"/>
          </w:tcPr>
          <w:p w14:paraId="18B5A8BD" w14:textId="77777777" w:rsidR="00DA3D1D" w:rsidRDefault="00F22469">
            <w:pPr>
              <w:spacing w:after="20"/>
              <w:jc w:val="center"/>
            </w:pPr>
            <w:r>
              <w:rPr>
                <w:rFonts w:ascii="Calibri" w:eastAsia="Calibri" w:hAnsi="Calibri" w:cs="Calibri"/>
                <w:b/>
                <w:bCs/>
                <w:color w:val="0B3D67"/>
                <w:sz w:val="19"/>
                <w:szCs w:val="19"/>
              </w:rPr>
              <w:t>Express REST API</w:t>
            </w:r>
          </w:p>
          <w:p w14:paraId="0C171B54" w14:textId="77777777" w:rsidR="00DA3D1D" w:rsidRDefault="00F22469">
            <w:pPr>
              <w:jc w:val="center"/>
            </w:pPr>
            <w:r>
              <w:rPr>
                <w:rFonts w:ascii="Calibri" w:eastAsia="Calibri" w:hAnsi="Calibri" w:cs="Calibri"/>
                <w:color w:val="6A7686"/>
                <w:sz w:val="15"/>
                <w:szCs w:val="15"/>
              </w:rPr>
              <w:t>JWT auth · argon2id · rate limiting</w:t>
            </w:r>
          </w:p>
        </w:tc>
      </w:tr>
    </w:tbl>
    <w:p w14:paraId="64E44A1C" w14:textId="77777777" w:rsidR="00DA3D1D" w:rsidRDefault="00F22469">
      <w:pPr>
        <w:spacing w:before="100" w:after="80"/>
      </w:pPr>
      <w:r>
        <w:rPr>
          <w:rFonts w:ascii="Calibri" w:eastAsia="Calibri" w:hAnsi="Calibri" w:cs="Calibri"/>
          <w:i/>
          <w:iCs/>
          <w:color w:val="6A7686"/>
          <w:sz w:val="17"/>
          <w:szCs w:val="17"/>
        </w:rPr>
        <w:t>Data-tier integrations — reachable only through the Express API gateway:</w:t>
      </w:r>
    </w:p>
    <w:tbl>
      <w:tblPr>
        <w:tblW w:w="9360" w:type="dxa"/>
        <w:tblBorders>
          <w:top w:val="single" w:sz="4" w:space="0" w:color="D3CEC1"/>
          <w:left w:val="single" w:sz="4" w:space="0" w:color="D3CEC1"/>
          <w:bottom w:val="single" w:sz="4" w:space="0" w:color="D3CEC1"/>
          <w:right w:val="single" w:sz="4" w:space="0" w:color="D3CEC1"/>
          <w:insideH w:val="single" w:sz="4" w:space="0" w:color="D3CEC1"/>
          <w:insideV w:val="single" w:sz="4" w:space="0" w:color="D3CEC1"/>
        </w:tblBorders>
        <w:tblCellMar>
          <w:left w:w="10" w:type="dxa"/>
          <w:right w:w="10" w:type="dxa"/>
        </w:tblCellMar>
        <w:tblLook w:val="04A0" w:firstRow="1" w:lastRow="0" w:firstColumn="1" w:lastColumn="0" w:noHBand="0" w:noVBand="1"/>
      </w:tblPr>
      <w:tblGrid>
        <w:gridCol w:w="3900"/>
        <w:gridCol w:w="5460"/>
      </w:tblGrid>
      <w:tr w:rsidR="00DA3D1D" w14:paraId="307428D5" w14:textId="77777777">
        <w:tc>
          <w:tcPr>
            <w:tcW w:w="3900" w:type="dxa"/>
            <w:tcMar>
              <w:top w:w="90" w:type="dxa"/>
              <w:left w:w="130" w:type="dxa"/>
              <w:bottom w:w="90" w:type="dxa"/>
              <w:right w:w="130" w:type="dxa"/>
            </w:tcMar>
          </w:tcPr>
          <w:p w14:paraId="24FBFE0C" w14:textId="77777777" w:rsidR="00DA3D1D" w:rsidRDefault="00F22469">
            <w:r>
              <w:rPr>
                <w:rFonts w:ascii="Calibri" w:eastAsia="Calibri" w:hAnsi="Calibri" w:cs="Calibri"/>
                <w:b/>
                <w:bCs/>
                <w:sz w:val="18"/>
                <w:szCs w:val="18"/>
              </w:rPr>
              <w:t>MySQL / amarcure_db</w:t>
            </w:r>
          </w:p>
        </w:tc>
        <w:tc>
          <w:tcPr>
            <w:tcW w:w="5460" w:type="dxa"/>
            <w:tcMar>
              <w:top w:w="90" w:type="dxa"/>
              <w:left w:w="130" w:type="dxa"/>
              <w:bottom w:w="90" w:type="dxa"/>
              <w:right w:w="130" w:type="dxa"/>
            </w:tcMar>
          </w:tcPr>
          <w:p w14:paraId="724DDF15" w14:textId="77777777" w:rsidR="00DA3D1D" w:rsidRDefault="00F22469">
            <w:r>
              <w:rPr>
                <w:rFonts w:ascii="Calibri" w:eastAsia="Calibri" w:hAnsi="Calibri" w:cs="Calibri"/>
                <w:color w:val="6A7686"/>
                <w:sz w:val="17"/>
                <w:szCs w:val="17"/>
              </w:rPr>
              <w:t>14 relational tables · SQL</w:t>
            </w:r>
          </w:p>
        </w:tc>
      </w:tr>
      <w:tr w:rsidR="00DA3D1D" w14:paraId="1A2DD9CE" w14:textId="77777777">
        <w:tc>
          <w:tcPr>
            <w:tcW w:w="3900" w:type="dxa"/>
            <w:tcMar>
              <w:top w:w="90" w:type="dxa"/>
              <w:left w:w="130" w:type="dxa"/>
              <w:bottom w:w="90" w:type="dxa"/>
              <w:right w:w="130" w:type="dxa"/>
            </w:tcMar>
          </w:tcPr>
          <w:p w14:paraId="734F451F" w14:textId="77777777" w:rsidR="00DA3D1D" w:rsidRDefault="00F22469">
            <w:r>
              <w:rPr>
                <w:rFonts w:ascii="Calibri" w:eastAsia="Calibri" w:hAnsi="Calibri" w:cs="Calibri"/>
                <w:b/>
                <w:bCs/>
                <w:sz w:val="18"/>
                <w:szCs w:val="18"/>
              </w:rPr>
              <w:t>Backblaze B2</w:t>
            </w:r>
          </w:p>
        </w:tc>
        <w:tc>
          <w:tcPr>
            <w:tcW w:w="5460" w:type="dxa"/>
            <w:tcMar>
              <w:top w:w="90" w:type="dxa"/>
              <w:left w:w="130" w:type="dxa"/>
              <w:bottom w:w="90" w:type="dxa"/>
              <w:right w:w="130" w:type="dxa"/>
            </w:tcMar>
          </w:tcPr>
          <w:p w14:paraId="431BBCFC" w14:textId="77777777" w:rsidR="00DA3D1D" w:rsidRDefault="00F22469">
            <w:r>
              <w:rPr>
                <w:rFonts w:ascii="Calibri" w:eastAsia="Calibri" w:hAnsi="Calibri" w:cs="Calibri"/>
                <w:color w:val="6A7686"/>
                <w:sz w:val="17"/>
                <w:szCs w:val="17"/>
              </w:rPr>
              <w:t>S3 API · presigned PUT/GET URLs</w:t>
            </w:r>
          </w:p>
        </w:tc>
      </w:tr>
      <w:tr w:rsidR="00DA3D1D" w14:paraId="09FFF870" w14:textId="77777777">
        <w:tc>
          <w:tcPr>
            <w:tcW w:w="3900" w:type="dxa"/>
            <w:tcMar>
              <w:top w:w="90" w:type="dxa"/>
              <w:left w:w="130" w:type="dxa"/>
              <w:bottom w:w="90" w:type="dxa"/>
              <w:right w:w="130" w:type="dxa"/>
            </w:tcMar>
          </w:tcPr>
          <w:p w14:paraId="6C096789" w14:textId="77777777" w:rsidR="00DA3D1D" w:rsidRDefault="00F22469">
            <w:r>
              <w:rPr>
                <w:rFonts w:ascii="Calibri" w:eastAsia="Calibri" w:hAnsi="Calibri" w:cs="Calibri"/>
                <w:b/>
                <w:bCs/>
                <w:sz w:val="18"/>
                <w:szCs w:val="18"/>
              </w:rPr>
              <w:t>Gmail SMTP</w:t>
            </w:r>
          </w:p>
        </w:tc>
        <w:tc>
          <w:tcPr>
            <w:tcW w:w="5460" w:type="dxa"/>
            <w:tcMar>
              <w:top w:w="90" w:type="dxa"/>
              <w:left w:w="130" w:type="dxa"/>
              <w:bottom w:w="90" w:type="dxa"/>
              <w:right w:w="130" w:type="dxa"/>
            </w:tcMar>
          </w:tcPr>
          <w:p w14:paraId="3FD5D959" w14:textId="77777777" w:rsidR="00DA3D1D" w:rsidRDefault="00F22469">
            <w:r>
              <w:rPr>
                <w:rFonts w:ascii="Calibri" w:eastAsia="Calibri" w:hAnsi="Calibri" w:cs="Calibri"/>
                <w:color w:val="6A7686"/>
                <w:sz w:val="17"/>
                <w:szCs w:val="17"/>
              </w:rPr>
              <w:t>verification / reset codes</w:t>
            </w:r>
          </w:p>
        </w:tc>
      </w:tr>
      <w:tr w:rsidR="00DA3D1D" w14:paraId="2ECE72FE" w14:textId="77777777">
        <w:tc>
          <w:tcPr>
            <w:tcW w:w="3900" w:type="dxa"/>
            <w:tcMar>
              <w:top w:w="90" w:type="dxa"/>
              <w:left w:w="130" w:type="dxa"/>
              <w:bottom w:w="90" w:type="dxa"/>
              <w:right w:w="130" w:type="dxa"/>
            </w:tcMar>
          </w:tcPr>
          <w:p w14:paraId="3BEA90A4" w14:textId="77777777" w:rsidR="00DA3D1D" w:rsidRDefault="00F22469">
            <w:r>
              <w:rPr>
                <w:rFonts w:ascii="Calibri" w:eastAsia="Calibri" w:hAnsi="Calibri" w:cs="Calibri"/>
                <w:b/>
                <w:bCs/>
                <w:sz w:val="18"/>
                <w:szCs w:val="18"/>
              </w:rPr>
              <w:t>Expo Push Service</w:t>
            </w:r>
          </w:p>
        </w:tc>
        <w:tc>
          <w:tcPr>
            <w:tcW w:w="5460" w:type="dxa"/>
            <w:tcMar>
              <w:top w:w="90" w:type="dxa"/>
              <w:left w:w="130" w:type="dxa"/>
              <w:bottom w:w="90" w:type="dxa"/>
              <w:right w:w="130" w:type="dxa"/>
            </w:tcMar>
          </w:tcPr>
          <w:p w14:paraId="30BBC702" w14:textId="77777777" w:rsidR="00DA3D1D" w:rsidRDefault="00F22469">
            <w:r>
              <w:rPr>
                <w:rFonts w:ascii="Calibri" w:eastAsia="Calibri" w:hAnsi="Calibri" w:cs="Calibri"/>
                <w:color w:val="6A7686"/>
                <w:sz w:val="17"/>
                <w:szCs w:val="17"/>
              </w:rPr>
              <w:t>reminder notifications</w:t>
            </w:r>
          </w:p>
        </w:tc>
      </w:tr>
      <w:tr w:rsidR="00DA3D1D" w14:paraId="2E1BAF49" w14:textId="77777777">
        <w:tc>
          <w:tcPr>
            <w:tcW w:w="3900" w:type="dxa"/>
            <w:tcMar>
              <w:top w:w="90" w:type="dxa"/>
              <w:left w:w="130" w:type="dxa"/>
              <w:bottom w:w="90" w:type="dxa"/>
              <w:right w:w="130" w:type="dxa"/>
            </w:tcMar>
          </w:tcPr>
          <w:p w14:paraId="411E36E4" w14:textId="77777777" w:rsidR="00DA3D1D" w:rsidRDefault="00F22469">
            <w:r>
              <w:rPr>
                <w:rFonts w:ascii="Calibri" w:eastAsia="Calibri" w:hAnsi="Calibri" w:cs="Calibri"/>
                <w:b/>
                <w:bCs/>
                <w:sz w:val="18"/>
                <w:szCs w:val="18"/>
              </w:rPr>
              <w:t>OSM Nominatim / Overpass</w:t>
            </w:r>
          </w:p>
        </w:tc>
        <w:tc>
          <w:tcPr>
            <w:tcW w:w="5460" w:type="dxa"/>
            <w:tcMar>
              <w:top w:w="90" w:type="dxa"/>
              <w:left w:w="130" w:type="dxa"/>
              <w:bottom w:w="90" w:type="dxa"/>
              <w:right w:w="130" w:type="dxa"/>
            </w:tcMar>
          </w:tcPr>
          <w:p w14:paraId="3F2CA0A5" w14:textId="77777777" w:rsidR="00DA3D1D" w:rsidRDefault="00F22469">
            <w:r>
              <w:rPr>
                <w:rFonts w:ascii="Calibri" w:eastAsia="Calibri" w:hAnsi="Calibri" w:cs="Calibri"/>
                <w:color w:val="6A7686"/>
                <w:sz w:val="17"/>
                <w:szCs w:val="17"/>
              </w:rPr>
              <w:t>reverse geocode · POI queries</w:t>
            </w:r>
          </w:p>
        </w:tc>
      </w:tr>
    </w:tbl>
    <w:p w14:paraId="77205916" w14:textId="77777777" w:rsidR="00DA3D1D" w:rsidRDefault="00F22469">
      <w:pPr>
        <w:spacing w:before="60" w:after="220"/>
      </w:pPr>
      <w:r>
        <w:rPr>
          <w:rFonts w:ascii="Calibri" w:eastAsia="Calibri" w:hAnsi="Calibri" w:cs="Calibri"/>
          <w:b/>
          <w:bCs/>
          <w:color w:val="41505F"/>
          <w:sz w:val="16"/>
          <w:szCs w:val="16"/>
        </w:rPr>
        <w:t>Fig. 1.  System architecture. The client never talks to the data tier directly. Every credentialed integration, including the database, object storage, mail, push, and geodata services, is reachable only through the Express API.</w:t>
      </w:r>
    </w:p>
    <w:p w14:paraId="2F068B77" w14:textId="77777777" w:rsidR="00DA3D1D" w:rsidRDefault="00F22469">
      <w:pPr>
        <w:spacing w:after="160" w:line="300" w:lineRule="auto"/>
        <w:jc w:val="both"/>
      </w:pPr>
      <w:r>
        <w:rPr>
          <w:rFonts w:cs="Georgia"/>
        </w:rPr>
        <w:t>Because everything passes through this one gateway, every access-control decision (Sec. V) is enforced in a single place. The client only ever holds a short-lived JWT and, for a moment, whatever presigned URL the API has just given it. It never holds a database credential, a B2 application key, or an SMTP password.</w:t>
      </w:r>
    </w:p>
    <w:p w14:paraId="2921326B" w14:textId="77777777" w:rsidR="00DA3D1D" w:rsidRDefault="00F22469">
      <w:pPr>
        <w:pStyle w:val="Heading1"/>
        <w:spacing w:before="320" w:after="120"/>
      </w:pPr>
      <w:r>
        <w:rPr>
          <w:rFonts w:ascii="Consolas" w:eastAsia="Consolas" w:hAnsi="Consolas" w:cs="Consolas"/>
          <w:color w:val="0E7C86"/>
          <w:sz w:val="22"/>
          <w:szCs w:val="22"/>
        </w:rPr>
        <w:t xml:space="preserve">IV  </w:t>
      </w:r>
      <w:r>
        <w:t>Data Model</w:t>
      </w:r>
    </w:p>
    <w:p w14:paraId="7997F2B5" w14:textId="77777777" w:rsidR="00DA3D1D" w:rsidRDefault="00F22469">
      <w:pPr>
        <w:spacing w:after="160" w:line="300" w:lineRule="auto"/>
        <w:jc w:val="both"/>
      </w:pPr>
      <w:r>
        <w:rPr>
          <w:rFonts w:cs="Georgia"/>
        </w:rPr>
        <w:t>The schema (Table I) is built around four concerns. Identity and sessions holds the user profile, one-time email-verification and password-reset codes (hashed, with a short expiry), and a session_logs audit trail. Reports and sharing holds report metadata, with the file itself living in B2 and referenced only by its object key, plus report_share_links. Family and emergency covers delegated access and its own audit log. Discovery holds the imported public blood-donor list and the push-notification device tokens.</w:t>
      </w:r>
    </w:p>
    <w:p w14:paraId="554700AA" w14:textId="77777777" w:rsidR="00DA3D1D" w:rsidRDefault="00F22469">
      <w:pPr>
        <w:spacing w:after="160" w:line="300" w:lineRule="auto"/>
        <w:jc w:val="both"/>
      </w:pPr>
      <w:r>
        <w:rPr>
          <w:rFonts w:cs="Georgia"/>
        </w:rPr>
        <w:t>One design choice is worth pointing out. The family_relationships table serves as both the invitation and the live relationship. Because an invitee must already have an AmarCure account, every row points to a real user from the moment it is created, so there is no separate, temporary “invitation” record to reconcile later. If someone declines and is invited again, the same row simply moves back to pending rather than a duplicate being inserted, and the full history is kept as a series of status changes under one lasting (owner_user_id, member_user_id) key.</w:t>
      </w:r>
    </w:p>
    <w:p w14:paraId="1FF15DCA" w14:textId="77777777" w:rsidR="00DA3D1D" w:rsidRDefault="00F22469">
      <w:pPr>
        <w:spacing w:before="180" w:after="100"/>
      </w:pPr>
      <w:r>
        <w:rPr>
          <w:rFonts w:ascii="Calibri" w:eastAsia="Calibri" w:hAnsi="Calibri" w:cs="Calibri"/>
          <w:b/>
          <w:bCs/>
          <w:color w:val="0E7C86"/>
          <w:spacing w:val="16"/>
          <w:sz w:val="15"/>
          <w:szCs w:val="15"/>
        </w:rPr>
        <w:t xml:space="preserve">TABLE I   </w:t>
      </w:r>
      <w:r>
        <w:rPr>
          <w:rFonts w:ascii="Calibri" w:eastAsia="Calibri" w:hAnsi="Calibri" w:cs="Calibri"/>
          <w:b/>
          <w:bCs/>
          <w:color w:val="41505F"/>
          <w:sz w:val="17"/>
          <w:szCs w:val="17"/>
        </w:rPr>
        <w:t>Data model, grouped by concern</w:t>
      </w:r>
    </w:p>
    <w:tbl>
      <w:tblPr>
        <w:tblW w:w="9360" w:type="dxa"/>
        <w:tblBorders>
          <w:top w:val="single" w:sz="4" w:space="0" w:color="D3CEC1"/>
          <w:left w:val="single" w:sz="4" w:space="0" w:color="D3CEC1"/>
          <w:bottom w:val="single" w:sz="4" w:space="0" w:color="D3CEC1"/>
          <w:right w:val="single" w:sz="4" w:space="0" w:color="D3CEC1"/>
          <w:insideH w:val="single" w:sz="4" w:space="0" w:color="D3CEC1"/>
          <w:insideV w:val="single" w:sz="4" w:space="0" w:color="D3CEC1"/>
        </w:tblBorders>
        <w:tblCellMar>
          <w:left w:w="10" w:type="dxa"/>
          <w:right w:w="10" w:type="dxa"/>
        </w:tblCellMar>
        <w:tblLook w:val="04A0" w:firstRow="1" w:lastRow="0" w:firstColumn="1" w:lastColumn="0" w:noHBand="0" w:noVBand="1"/>
      </w:tblPr>
      <w:tblGrid>
        <w:gridCol w:w="2400"/>
        <w:gridCol w:w="3400"/>
        <w:gridCol w:w="3560"/>
      </w:tblGrid>
      <w:tr w:rsidR="00DA3D1D" w14:paraId="6A0E87CA" w14:textId="77777777">
        <w:trPr>
          <w:tblHeader/>
        </w:trPr>
        <w:tc>
          <w:tcPr>
            <w:tcW w:w="2400" w:type="dxa"/>
            <w:shd w:val="clear" w:color="auto" w:fill="F4F2EC"/>
            <w:tcMar>
              <w:top w:w="90" w:type="dxa"/>
              <w:left w:w="130" w:type="dxa"/>
              <w:bottom w:w="90" w:type="dxa"/>
              <w:right w:w="130" w:type="dxa"/>
            </w:tcMar>
          </w:tcPr>
          <w:p w14:paraId="09A7D4AB" w14:textId="77777777" w:rsidR="00DA3D1D" w:rsidRDefault="00F22469">
            <w:r>
              <w:rPr>
                <w:rFonts w:ascii="Calibri" w:eastAsia="Calibri" w:hAnsi="Calibri" w:cs="Calibri"/>
                <w:b/>
                <w:bCs/>
                <w:caps/>
                <w:color w:val="6A7686"/>
                <w:spacing w:val="16"/>
                <w:sz w:val="16"/>
                <w:szCs w:val="16"/>
              </w:rPr>
              <w:t>Concern</w:t>
            </w:r>
          </w:p>
        </w:tc>
        <w:tc>
          <w:tcPr>
            <w:tcW w:w="3400" w:type="dxa"/>
            <w:shd w:val="clear" w:color="auto" w:fill="F4F2EC"/>
            <w:tcMar>
              <w:top w:w="90" w:type="dxa"/>
              <w:left w:w="130" w:type="dxa"/>
              <w:bottom w:w="90" w:type="dxa"/>
              <w:right w:w="130" w:type="dxa"/>
            </w:tcMar>
          </w:tcPr>
          <w:p w14:paraId="06966623" w14:textId="77777777" w:rsidR="00DA3D1D" w:rsidRDefault="00F22469">
            <w:r>
              <w:rPr>
                <w:rFonts w:ascii="Calibri" w:eastAsia="Calibri" w:hAnsi="Calibri" w:cs="Calibri"/>
                <w:b/>
                <w:bCs/>
                <w:caps/>
                <w:color w:val="6A7686"/>
                <w:spacing w:val="16"/>
                <w:sz w:val="16"/>
                <w:szCs w:val="16"/>
              </w:rPr>
              <w:t>Tables</w:t>
            </w:r>
          </w:p>
        </w:tc>
        <w:tc>
          <w:tcPr>
            <w:tcW w:w="3560" w:type="dxa"/>
            <w:shd w:val="clear" w:color="auto" w:fill="F4F2EC"/>
            <w:tcMar>
              <w:top w:w="90" w:type="dxa"/>
              <w:left w:w="130" w:type="dxa"/>
              <w:bottom w:w="90" w:type="dxa"/>
              <w:right w:w="130" w:type="dxa"/>
            </w:tcMar>
          </w:tcPr>
          <w:p w14:paraId="52D9012A" w14:textId="77777777" w:rsidR="00DA3D1D" w:rsidRDefault="00F22469">
            <w:r>
              <w:rPr>
                <w:rFonts w:ascii="Calibri" w:eastAsia="Calibri" w:hAnsi="Calibri" w:cs="Calibri"/>
                <w:b/>
                <w:bCs/>
                <w:caps/>
                <w:color w:val="6A7686"/>
                <w:spacing w:val="16"/>
                <w:sz w:val="16"/>
                <w:szCs w:val="16"/>
              </w:rPr>
              <w:t>Purpose</w:t>
            </w:r>
          </w:p>
        </w:tc>
      </w:tr>
      <w:tr w:rsidR="00DA3D1D" w14:paraId="2BE48427" w14:textId="77777777">
        <w:tc>
          <w:tcPr>
            <w:tcW w:w="2400" w:type="dxa"/>
            <w:tcMar>
              <w:top w:w="90" w:type="dxa"/>
              <w:left w:w="130" w:type="dxa"/>
              <w:bottom w:w="90" w:type="dxa"/>
              <w:right w:w="130" w:type="dxa"/>
            </w:tcMar>
          </w:tcPr>
          <w:p w14:paraId="4A7C40ED" w14:textId="77777777" w:rsidR="00DA3D1D" w:rsidRDefault="00F22469">
            <w:r>
              <w:rPr>
                <w:rFonts w:ascii="Calibri" w:eastAsia="Calibri" w:hAnsi="Calibri" w:cs="Calibri"/>
                <w:b/>
                <w:bCs/>
                <w:color w:val="0B3D67"/>
                <w:sz w:val="18"/>
                <w:szCs w:val="18"/>
              </w:rPr>
              <w:t>Identity &amp; sessions</w:t>
            </w:r>
          </w:p>
        </w:tc>
        <w:tc>
          <w:tcPr>
            <w:tcW w:w="3400" w:type="dxa"/>
            <w:tcMar>
              <w:top w:w="90" w:type="dxa"/>
              <w:left w:w="130" w:type="dxa"/>
              <w:bottom w:w="90" w:type="dxa"/>
              <w:right w:w="130" w:type="dxa"/>
            </w:tcMar>
          </w:tcPr>
          <w:p w14:paraId="1BD39732" w14:textId="77777777" w:rsidR="00DA3D1D" w:rsidRDefault="00F22469">
            <w:r>
              <w:rPr>
                <w:rFonts w:ascii="Consolas" w:eastAsia="Consolas" w:hAnsi="Consolas" w:cs="Consolas"/>
                <w:color w:val="324055"/>
                <w:sz w:val="17"/>
                <w:szCs w:val="17"/>
              </w:rPr>
              <w:t>users</w:t>
            </w:r>
            <w:r>
              <w:rPr>
                <w:rFonts w:ascii="Calibri" w:eastAsia="Calibri" w:hAnsi="Calibri" w:cs="Calibri"/>
                <w:sz w:val="18"/>
                <w:szCs w:val="18"/>
              </w:rPr>
              <w:t xml:space="preserve">, </w:t>
            </w:r>
            <w:r>
              <w:rPr>
                <w:rFonts w:ascii="Consolas" w:eastAsia="Consolas" w:hAnsi="Consolas" w:cs="Consolas"/>
                <w:color w:val="324055"/>
                <w:sz w:val="17"/>
                <w:szCs w:val="17"/>
              </w:rPr>
              <w:t>email_verification_codes</w:t>
            </w:r>
            <w:r>
              <w:rPr>
                <w:rFonts w:ascii="Calibri" w:eastAsia="Calibri" w:hAnsi="Calibri" w:cs="Calibri"/>
                <w:sz w:val="18"/>
                <w:szCs w:val="18"/>
              </w:rPr>
              <w:t xml:space="preserve">, </w:t>
            </w:r>
            <w:r>
              <w:rPr>
                <w:rFonts w:ascii="Consolas" w:eastAsia="Consolas" w:hAnsi="Consolas" w:cs="Consolas"/>
                <w:color w:val="324055"/>
                <w:sz w:val="17"/>
                <w:szCs w:val="17"/>
              </w:rPr>
              <w:t>password_reset_codes/tokens</w:t>
            </w:r>
            <w:r>
              <w:rPr>
                <w:rFonts w:ascii="Calibri" w:eastAsia="Calibri" w:hAnsi="Calibri" w:cs="Calibri"/>
                <w:sz w:val="18"/>
                <w:szCs w:val="18"/>
              </w:rPr>
              <w:t xml:space="preserve">, </w:t>
            </w:r>
            <w:r>
              <w:rPr>
                <w:rFonts w:ascii="Consolas" w:eastAsia="Consolas" w:hAnsi="Consolas" w:cs="Consolas"/>
                <w:color w:val="324055"/>
                <w:sz w:val="17"/>
                <w:szCs w:val="17"/>
              </w:rPr>
              <w:t>session_logs</w:t>
            </w:r>
          </w:p>
        </w:tc>
        <w:tc>
          <w:tcPr>
            <w:tcW w:w="3560" w:type="dxa"/>
            <w:tcMar>
              <w:top w:w="90" w:type="dxa"/>
              <w:left w:w="130" w:type="dxa"/>
              <w:bottom w:w="90" w:type="dxa"/>
              <w:right w:w="130" w:type="dxa"/>
            </w:tcMar>
          </w:tcPr>
          <w:p w14:paraId="1F5C1D80" w14:textId="77777777" w:rsidR="00DA3D1D" w:rsidRDefault="00F22469">
            <w:pPr>
              <w:spacing w:line="264" w:lineRule="auto"/>
            </w:pPr>
            <w:r>
              <w:rPr>
                <w:rFonts w:cs="Georgia"/>
                <w:sz w:val="18"/>
                <w:szCs w:val="18"/>
              </w:rPr>
              <w:t>Profile data, argon2id hash, hashed one-time login codes, login/logout audit trail.</w:t>
            </w:r>
          </w:p>
        </w:tc>
      </w:tr>
      <w:tr w:rsidR="00DA3D1D" w14:paraId="5C37C6A7" w14:textId="77777777">
        <w:tc>
          <w:tcPr>
            <w:tcW w:w="2400" w:type="dxa"/>
            <w:tcMar>
              <w:top w:w="90" w:type="dxa"/>
              <w:left w:w="130" w:type="dxa"/>
              <w:bottom w:w="90" w:type="dxa"/>
              <w:right w:w="130" w:type="dxa"/>
            </w:tcMar>
          </w:tcPr>
          <w:p w14:paraId="78AE9F09" w14:textId="77777777" w:rsidR="00DA3D1D" w:rsidRDefault="00F22469">
            <w:r>
              <w:rPr>
                <w:rFonts w:ascii="Calibri" w:eastAsia="Calibri" w:hAnsi="Calibri" w:cs="Calibri"/>
                <w:b/>
                <w:bCs/>
                <w:color w:val="0B3D67"/>
                <w:sz w:val="18"/>
                <w:szCs w:val="18"/>
              </w:rPr>
              <w:t>Reports &amp; sharing</w:t>
            </w:r>
          </w:p>
        </w:tc>
        <w:tc>
          <w:tcPr>
            <w:tcW w:w="3400" w:type="dxa"/>
            <w:tcMar>
              <w:top w:w="90" w:type="dxa"/>
              <w:left w:w="130" w:type="dxa"/>
              <w:bottom w:w="90" w:type="dxa"/>
              <w:right w:w="130" w:type="dxa"/>
            </w:tcMar>
          </w:tcPr>
          <w:p w14:paraId="5E18186D" w14:textId="77777777" w:rsidR="00DA3D1D" w:rsidRDefault="00F22469">
            <w:r>
              <w:rPr>
                <w:rFonts w:ascii="Consolas" w:eastAsia="Consolas" w:hAnsi="Consolas" w:cs="Consolas"/>
                <w:color w:val="324055"/>
                <w:sz w:val="17"/>
                <w:szCs w:val="17"/>
              </w:rPr>
              <w:t>medical_reports</w:t>
            </w:r>
            <w:r>
              <w:rPr>
                <w:rFonts w:ascii="Calibri" w:eastAsia="Calibri" w:hAnsi="Calibri" w:cs="Calibri"/>
                <w:sz w:val="18"/>
                <w:szCs w:val="18"/>
              </w:rPr>
              <w:t xml:space="preserve">, </w:t>
            </w:r>
            <w:r>
              <w:rPr>
                <w:rFonts w:ascii="Consolas" w:eastAsia="Consolas" w:hAnsi="Consolas" w:cs="Consolas"/>
                <w:color w:val="324055"/>
                <w:sz w:val="17"/>
                <w:szCs w:val="17"/>
              </w:rPr>
              <w:t>report_share_links</w:t>
            </w:r>
          </w:p>
        </w:tc>
        <w:tc>
          <w:tcPr>
            <w:tcW w:w="3560" w:type="dxa"/>
            <w:tcMar>
              <w:top w:w="90" w:type="dxa"/>
              <w:left w:w="130" w:type="dxa"/>
              <w:bottom w:w="90" w:type="dxa"/>
              <w:right w:w="130" w:type="dxa"/>
            </w:tcMar>
          </w:tcPr>
          <w:p w14:paraId="5D6DE6B0" w14:textId="77777777" w:rsidR="00DA3D1D" w:rsidRDefault="00F22469">
            <w:pPr>
              <w:spacing w:line="264" w:lineRule="auto"/>
            </w:pPr>
            <w:r>
              <w:rPr>
                <w:rFonts w:cs="Georgia"/>
                <w:sz w:val="18"/>
                <w:szCs w:val="18"/>
              </w:rPr>
              <w:t>Report metadata + object key; hashed, expiring, revocable QR share links with access counters.</w:t>
            </w:r>
          </w:p>
        </w:tc>
      </w:tr>
      <w:tr w:rsidR="00DA3D1D" w14:paraId="7C32DAA0" w14:textId="77777777">
        <w:tc>
          <w:tcPr>
            <w:tcW w:w="2400" w:type="dxa"/>
            <w:tcMar>
              <w:top w:w="90" w:type="dxa"/>
              <w:left w:w="130" w:type="dxa"/>
              <w:bottom w:w="90" w:type="dxa"/>
              <w:right w:w="130" w:type="dxa"/>
            </w:tcMar>
          </w:tcPr>
          <w:p w14:paraId="62CCD0E7" w14:textId="77777777" w:rsidR="00DA3D1D" w:rsidRDefault="00F22469">
            <w:r>
              <w:rPr>
                <w:rFonts w:ascii="Calibri" w:eastAsia="Calibri" w:hAnsi="Calibri" w:cs="Calibri"/>
                <w:b/>
                <w:bCs/>
                <w:color w:val="0B3D67"/>
                <w:sz w:val="18"/>
                <w:szCs w:val="18"/>
              </w:rPr>
              <w:lastRenderedPageBreak/>
              <w:t>Family &amp; emergency</w:t>
            </w:r>
          </w:p>
        </w:tc>
        <w:tc>
          <w:tcPr>
            <w:tcW w:w="3400" w:type="dxa"/>
            <w:tcMar>
              <w:top w:w="90" w:type="dxa"/>
              <w:left w:w="130" w:type="dxa"/>
              <w:bottom w:w="90" w:type="dxa"/>
              <w:right w:w="130" w:type="dxa"/>
            </w:tcMar>
          </w:tcPr>
          <w:p w14:paraId="66771EC2" w14:textId="77777777" w:rsidR="00DA3D1D" w:rsidRDefault="00F22469">
            <w:r>
              <w:rPr>
                <w:rFonts w:ascii="Consolas" w:eastAsia="Consolas" w:hAnsi="Consolas" w:cs="Consolas"/>
                <w:color w:val="324055"/>
                <w:sz w:val="17"/>
                <w:szCs w:val="17"/>
              </w:rPr>
              <w:t>family_relationships</w:t>
            </w:r>
            <w:r>
              <w:rPr>
                <w:rFonts w:ascii="Calibri" w:eastAsia="Calibri" w:hAnsi="Calibri" w:cs="Calibri"/>
                <w:sz w:val="18"/>
                <w:szCs w:val="18"/>
              </w:rPr>
              <w:t xml:space="preserve">, </w:t>
            </w:r>
            <w:r>
              <w:rPr>
                <w:rFonts w:ascii="Consolas" w:eastAsia="Consolas" w:hAnsi="Consolas" w:cs="Consolas"/>
                <w:color w:val="324055"/>
                <w:sz w:val="17"/>
                <w:szCs w:val="17"/>
              </w:rPr>
              <w:t>family_activity_log</w:t>
            </w:r>
            <w:r>
              <w:rPr>
                <w:rFonts w:ascii="Calibri" w:eastAsia="Calibri" w:hAnsi="Calibri" w:cs="Calibri"/>
                <w:sz w:val="18"/>
                <w:szCs w:val="18"/>
              </w:rPr>
              <w:t xml:space="preserve">, </w:t>
            </w:r>
            <w:r>
              <w:rPr>
                <w:rFonts w:ascii="Consolas" w:eastAsia="Consolas" w:hAnsi="Consolas" w:cs="Consolas"/>
                <w:color w:val="324055"/>
                <w:sz w:val="17"/>
                <w:szCs w:val="17"/>
              </w:rPr>
              <w:t>emergency_card_tokens</w:t>
            </w:r>
          </w:p>
        </w:tc>
        <w:tc>
          <w:tcPr>
            <w:tcW w:w="3560" w:type="dxa"/>
            <w:tcMar>
              <w:top w:w="90" w:type="dxa"/>
              <w:left w:w="130" w:type="dxa"/>
              <w:bottom w:w="90" w:type="dxa"/>
              <w:right w:w="130" w:type="dxa"/>
            </w:tcMar>
          </w:tcPr>
          <w:p w14:paraId="02E3E773" w14:textId="77777777" w:rsidR="00DA3D1D" w:rsidRDefault="00F22469">
            <w:pPr>
              <w:spacing w:line="264" w:lineRule="auto"/>
            </w:pPr>
            <w:r>
              <w:rPr>
                <w:rFonts w:cs="Georgia"/>
                <w:sz w:val="18"/>
                <w:szCs w:val="18"/>
              </w:rPr>
              <w:t>Owner–member links with access tier &amp; status; append-only audit events; hashed emergency-card tokens.</w:t>
            </w:r>
          </w:p>
        </w:tc>
      </w:tr>
      <w:tr w:rsidR="00DA3D1D" w14:paraId="5BDDD60B" w14:textId="77777777">
        <w:tc>
          <w:tcPr>
            <w:tcW w:w="2400" w:type="dxa"/>
            <w:tcMar>
              <w:top w:w="90" w:type="dxa"/>
              <w:left w:w="130" w:type="dxa"/>
              <w:bottom w:w="90" w:type="dxa"/>
              <w:right w:w="130" w:type="dxa"/>
            </w:tcMar>
          </w:tcPr>
          <w:p w14:paraId="45FA20A4" w14:textId="77777777" w:rsidR="00DA3D1D" w:rsidRDefault="00F22469">
            <w:r>
              <w:rPr>
                <w:rFonts w:ascii="Calibri" w:eastAsia="Calibri" w:hAnsi="Calibri" w:cs="Calibri"/>
                <w:b/>
                <w:bCs/>
                <w:color w:val="0B3D67"/>
                <w:sz w:val="18"/>
                <w:szCs w:val="18"/>
              </w:rPr>
              <w:t>Discovery</w:t>
            </w:r>
          </w:p>
        </w:tc>
        <w:tc>
          <w:tcPr>
            <w:tcW w:w="3400" w:type="dxa"/>
            <w:tcMar>
              <w:top w:w="90" w:type="dxa"/>
              <w:left w:w="130" w:type="dxa"/>
              <w:bottom w:w="90" w:type="dxa"/>
              <w:right w:w="130" w:type="dxa"/>
            </w:tcMar>
          </w:tcPr>
          <w:p w14:paraId="27C30F5E" w14:textId="77777777" w:rsidR="00DA3D1D" w:rsidRDefault="00F22469">
            <w:r>
              <w:rPr>
                <w:rFonts w:ascii="Consolas" w:eastAsia="Consolas" w:hAnsi="Consolas" w:cs="Consolas"/>
                <w:color w:val="324055"/>
                <w:sz w:val="17"/>
                <w:szCs w:val="17"/>
              </w:rPr>
              <w:t>public_blood_donors</w:t>
            </w:r>
            <w:r>
              <w:rPr>
                <w:rFonts w:ascii="Calibri" w:eastAsia="Calibri" w:hAnsi="Calibri" w:cs="Calibri"/>
                <w:sz w:val="18"/>
                <w:szCs w:val="18"/>
              </w:rPr>
              <w:t xml:space="preserve">, </w:t>
            </w:r>
            <w:r>
              <w:rPr>
                <w:rFonts w:ascii="Consolas" w:eastAsia="Consolas" w:hAnsi="Consolas" w:cs="Consolas"/>
                <w:color w:val="324055"/>
                <w:sz w:val="17"/>
                <w:szCs w:val="17"/>
              </w:rPr>
              <w:t>public_doctors</w:t>
            </w:r>
            <w:r>
              <w:rPr>
                <w:rFonts w:ascii="Calibri" w:eastAsia="Calibri" w:hAnsi="Calibri" w:cs="Calibri"/>
                <w:sz w:val="18"/>
                <w:szCs w:val="18"/>
              </w:rPr>
              <w:t xml:space="preserve"> (+chambers/specialties), </w:t>
            </w:r>
            <w:r>
              <w:rPr>
                <w:rFonts w:ascii="Consolas" w:eastAsia="Consolas" w:hAnsi="Consolas" w:cs="Consolas"/>
                <w:color w:val="324055"/>
                <w:sz w:val="17"/>
                <w:szCs w:val="17"/>
              </w:rPr>
              <w:t>device_push_tokens</w:t>
            </w:r>
          </w:p>
        </w:tc>
        <w:tc>
          <w:tcPr>
            <w:tcW w:w="3560" w:type="dxa"/>
            <w:tcMar>
              <w:top w:w="90" w:type="dxa"/>
              <w:left w:w="130" w:type="dxa"/>
              <w:bottom w:w="90" w:type="dxa"/>
              <w:right w:w="130" w:type="dxa"/>
            </w:tcMar>
          </w:tcPr>
          <w:p w14:paraId="0131502F" w14:textId="77777777" w:rsidR="00DA3D1D" w:rsidRDefault="00F22469">
            <w:pPr>
              <w:spacing w:line="264" w:lineRule="auto"/>
            </w:pPr>
            <w:r>
              <w:rPr>
                <w:rFonts w:cs="Georgia"/>
                <w:sz w:val="18"/>
                <w:szCs w:val="18"/>
              </w:rPr>
              <w:t>Normalized donor list keyed by blood group &amp; thana; geocoded doctor/chamber directory; Expo push tokens.</w:t>
            </w:r>
          </w:p>
        </w:tc>
      </w:tr>
    </w:tbl>
    <w:p w14:paraId="68693BF6" w14:textId="77777777" w:rsidR="00DA3D1D" w:rsidRDefault="00DA3D1D">
      <w:pPr>
        <w:spacing w:after="120"/>
      </w:pPr>
    </w:p>
    <w:p w14:paraId="282E3B1D" w14:textId="77777777" w:rsidR="00DA3D1D" w:rsidRDefault="00F22469">
      <w:pPr>
        <w:pStyle w:val="Heading1"/>
        <w:spacing w:before="320" w:after="120"/>
      </w:pPr>
      <w:r>
        <w:rPr>
          <w:rFonts w:ascii="Consolas" w:eastAsia="Consolas" w:hAnsi="Consolas" w:cs="Consolas"/>
          <w:color w:val="0E7C86"/>
          <w:sz w:val="22"/>
          <w:szCs w:val="22"/>
        </w:rPr>
        <w:t xml:space="preserve">V  </w:t>
      </w:r>
      <w:r>
        <w:t>Security and Access Control</w:t>
      </w:r>
    </w:p>
    <w:p w14:paraId="109E8CD9" w14:textId="77777777" w:rsidR="00DA3D1D" w:rsidRDefault="00F22469">
      <w:pPr>
        <w:pStyle w:val="Heading2"/>
        <w:spacing w:before="200" w:after="80"/>
      </w:pPr>
      <w:r>
        <w:t>A. Credentials and sessions</w:t>
      </w:r>
    </w:p>
    <w:p w14:paraId="2D8E14FC" w14:textId="77777777" w:rsidR="00DA3D1D" w:rsidRDefault="00F22469">
      <w:pPr>
        <w:spacing w:after="160" w:line="300" w:lineRule="auto"/>
        <w:jc w:val="both"/>
      </w:pPr>
      <w:r>
        <w:rPr>
          <w:rFonts w:cs="Georgia"/>
        </w:rPr>
        <w:t>Passwords are hashed with argon2id (memory cost 64 MiB, 3 iterations, 4 lanes). This is the winner of the Password Hashing Competition and the algorithm OWASP currently recommends over bcrypt or PBKDF2, thanks to its resistance to GPU and ASIC cracking [3], [4]. Authenticated requests carry a JWT bearer token (RFC 7519 [5]) scoped with explicit issuer and audience claims. Instead of keeping a server-side blacklist of tokens for logout, each user row stores a token_version integer that is embedded in every token we issue and checked against the current column value on every request. Bumping that value, for example after a password change, instantly invalidates every outstanding session with a single-row update.</w:t>
      </w:r>
    </w:p>
    <w:p w14:paraId="3EC7CB35" w14:textId="77777777" w:rsidR="00DA3D1D" w:rsidRDefault="00F22469">
      <w:pPr>
        <w:pStyle w:val="Heading2"/>
        <w:spacing w:before="200" w:after="80"/>
      </w:pPr>
      <w:r>
        <w:t>B. Share tokens</w:t>
      </w:r>
    </w:p>
    <w:p w14:paraId="11CB8AEC" w14:textId="77777777" w:rsidR="00DA3D1D" w:rsidRDefault="00F22469">
      <w:pPr>
        <w:spacing w:after="160" w:line="300" w:lineRule="auto"/>
        <w:jc w:val="both"/>
      </w:pPr>
      <w:r>
        <w:rPr>
          <w:rFonts w:cs="Georgia"/>
        </w:rPr>
        <w:t>Anything a stranger can use without logging in, whether a report share link or an emergency card, is protected by a random token that the server stores only as its SHA-256 digest. This follows the same practice as password resets, so a database leak on its own cannot be turned into a valid link. Each token has an explicit lifetime (report links last 1 hour, 24 hours, or 7 days, chosen when the link is made, while report view URLs presigned directly against B2 last 5 minutes), can be revoked outright, and keeps an access count and a last-access timestamp for auditing. Issuing a new emergency-card link automatically revokes the one that was active before, so a user can never have more than one live emergency link at a time.</w:t>
      </w:r>
    </w:p>
    <w:p w14:paraId="489D2AF8" w14:textId="77777777" w:rsidR="00DA3D1D" w:rsidRDefault="00F22469">
      <w:pPr>
        <w:pStyle w:val="Heading2"/>
        <w:spacing w:before="200" w:after="80"/>
      </w:pPr>
      <w:r>
        <w:t>C. Delegated family access</w:t>
      </w:r>
    </w:p>
    <w:p w14:paraId="50863E84" w14:textId="77777777" w:rsidR="00DA3D1D" w:rsidRDefault="00F22469">
      <w:pPr>
        <w:spacing w:after="160" w:line="300" w:lineRule="auto"/>
        <w:jc w:val="both"/>
      </w:pPr>
      <w:r>
        <w:rPr>
          <w:rFonts w:cs="Georgia"/>
        </w:rPr>
        <w:t>A caregiver relationship comes with one of three access levels, view_only, manage, or emergency, and this is enforced per row on every family route. Every invite, acceptance, decline, access-level change, and emergency-card action is added to family_activity_log with an actor id and a JSON metadata payload, which gives the record owner a full record of who touched their data and when. The sensitive family and authentication routes are also rate-limited (with express-rate-limit) to slow down brute-force and enumeration attempts.</w:t>
      </w:r>
    </w:p>
    <w:p w14:paraId="4919204D" w14:textId="77777777" w:rsidR="00DA3D1D" w:rsidRDefault="00F22469">
      <w:pPr>
        <w:pStyle w:val="Heading1"/>
        <w:spacing w:before="320" w:after="120"/>
      </w:pPr>
      <w:r>
        <w:rPr>
          <w:rFonts w:ascii="Consolas" w:eastAsia="Consolas" w:hAnsi="Consolas" w:cs="Consolas"/>
          <w:color w:val="0E7C86"/>
          <w:sz w:val="22"/>
          <w:szCs w:val="22"/>
        </w:rPr>
        <w:t xml:space="preserve">VI  </w:t>
      </w:r>
      <w:r>
        <w:t>Location-Aware Features</w:t>
      </w:r>
    </w:p>
    <w:p w14:paraId="63F8F559" w14:textId="77777777" w:rsidR="00DA3D1D" w:rsidRDefault="00F22469">
      <w:pPr>
        <w:pStyle w:val="Heading2"/>
        <w:spacing w:before="200" w:after="80"/>
      </w:pPr>
      <w:r>
        <w:t>A. Nearby hospitals and specialists</w:t>
      </w:r>
    </w:p>
    <w:p w14:paraId="60E94D31" w14:textId="77777777" w:rsidR="00DA3D1D" w:rsidRDefault="00F22469">
      <w:pPr>
        <w:spacing w:after="160" w:line="300" w:lineRule="auto"/>
        <w:jc w:val="both"/>
      </w:pPr>
      <w:r>
        <w:rPr>
          <w:rFonts w:cs="Georgia"/>
        </w:rPr>
        <w:t>The client asks for a one-time device location (expo-location, with a purpose string shown to the user) and sends it to the API. Nearby hospitals are found by passing an Overpass query for hospital points of interest around that coordinate. Nearby specialists are ranked directly in SQL against a self-hosted doctor and chamber directory, using the great-circle (haversine) distance between the user and each chamber,</w:t>
      </w:r>
    </w:p>
    <w:p w14:paraId="71434649" w14:textId="77777777" w:rsidR="00DA3D1D" w:rsidRDefault="00F22469">
      <w:pPr>
        <w:pBdr>
          <w:top w:val="single" w:sz="4" w:space="0" w:color="D3CEC1"/>
          <w:left w:val="single" w:sz="4" w:space="0" w:color="D3CEC1"/>
          <w:bottom w:val="single" w:sz="4" w:space="0" w:color="D3CEC1"/>
          <w:right w:val="single" w:sz="4" w:space="0" w:color="D3CEC1"/>
        </w:pBdr>
        <w:shd w:val="clear" w:color="auto" w:fill="F4F2EC"/>
        <w:spacing w:before="60" w:after="60" w:line="300" w:lineRule="auto"/>
        <w:jc w:val="center"/>
      </w:pPr>
      <w:r>
        <w:rPr>
          <w:rFonts w:cs="Georgia"/>
          <w:i/>
          <w:iCs/>
          <w:sz w:val="22"/>
          <w:szCs w:val="22"/>
        </w:rPr>
        <w:t>d = 2r · asin √( sin²(Δφ/2) + cos φ</w:t>
      </w:r>
      <w:r>
        <w:rPr>
          <w:rFonts w:cs="Georgia"/>
          <w:i/>
          <w:iCs/>
          <w:sz w:val="14"/>
          <w:szCs w:val="14"/>
          <w:vertAlign w:val="subscript"/>
        </w:rPr>
        <w:t>1</w:t>
      </w:r>
      <w:r>
        <w:rPr>
          <w:rFonts w:cs="Georgia"/>
          <w:i/>
          <w:iCs/>
          <w:sz w:val="22"/>
          <w:szCs w:val="22"/>
        </w:rPr>
        <w:t xml:space="preserve"> cos φ</w:t>
      </w:r>
      <w:r>
        <w:rPr>
          <w:rFonts w:cs="Georgia"/>
          <w:i/>
          <w:iCs/>
          <w:sz w:val="14"/>
          <w:szCs w:val="14"/>
          <w:vertAlign w:val="subscript"/>
        </w:rPr>
        <w:t>2</w:t>
      </w:r>
      <w:r>
        <w:rPr>
          <w:rFonts w:cs="Georgia"/>
          <w:i/>
          <w:iCs/>
          <w:sz w:val="22"/>
          <w:szCs w:val="22"/>
        </w:rPr>
        <w:t xml:space="preserve"> sin²(Δλ/2) )</w:t>
      </w:r>
      <w:r>
        <w:rPr>
          <w:rFonts w:ascii="Consolas" w:eastAsia="Consolas" w:hAnsi="Consolas" w:cs="Consolas"/>
          <w:color w:val="6A7686"/>
          <w:sz w:val="17"/>
          <w:szCs w:val="17"/>
        </w:rPr>
        <w:t xml:space="preserve">          (1)</w:t>
      </w:r>
    </w:p>
    <w:p w14:paraId="3CEC5787" w14:textId="77777777" w:rsidR="00DA3D1D" w:rsidRDefault="00F22469">
      <w:pPr>
        <w:spacing w:after="160" w:line="300" w:lineRule="auto"/>
        <w:jc w:val="both"/>
      </w:pPr>
      <w:r>
        <w:rPr>
          <w:rFonts w:cs="Georgia"/>
        </w:rPr>
        <w:lastRenderedPageBreak/>
        <w:t>where r = 6371 km, φ is the latitude, λ is the longitude, and Δφ, Δλ are the differences between the two coordinates. Results are returned in order of distance and capped at a configurable radius (20 km by default) and count (30 by default), so the query cost stays bounded no matter how large the directory gets.</w:t>
      </w:r>
    </w:p>
    <w:p w14:paraId="51E6BD5E" w14:textId="77777777" w:rsidR="00DA3D1D" w:rsidRDefault="00F22469">
      <w:pPr>
        <w:pStyle w:val="Heading2"/>
        <w:spacing w:before="200" w:after="80"/>
      </w:pPr>
      <w:r>
        <w:t>B. Thana-level blood-donor matching</w:t>
      </w:r>
    </w:p>
    <w:p w14:paraId="1BFBAB7F" w14:textId="77777777" w:rsidR="00DA3D1D" w:rsidRDefault="00F22469">
      <w:pPr>
        <w:spacing w:after="160" w:line="300" w:lineRule="auto"/>
        <w:jc w:val="both"/>
      </w:pPr>
      <w:r>
        <w:rPr>
          <w:rFonts w:cs="Georgia"/>
        </w:rPr>
        <w:t>A neighbourhood name sent by the client cannot be trusted for matching. It is easy to fake, and the same area is often written several different ways across Bengali and English and across formal and casual spellings. “Bashundhara,” “Notun Bazar,” and “Kuril,” for example, all fall inside Vatara thana. Because of this, the backend always works out the requester’s thana on its own. The thana is the police-jurisdiction unit that emergency response in Bangladesh is organized around, and the backend derives it from the submitted GPS fix using Nominatim reverse geocoding. It then maps the free-text locality that OSM returns onto a maintained alias table before querying the pre-imported, normalized donor list on the combined (blood_group, thana) key. Recomputing the thana on the server for every search, rather than trusting a value from the client, keeps a fake or stale location from ever reaching the query.</w:t>
      </w:r>
    </w:p>
    <w:p w14:paraId="20EEF3A4" w14:textId="77777777" w:rsidR="00DA3D1D" w:rsidRDefault="00F22469">
      <w:pPr>
        <w:pStyle w:val="Heading2"/>
        <w:spacing w:before="200" w:after="80"/>
      </w:pPr>
      <w:r>
        <w:t>C. Symptom-based specialist triage</w:t>
      </w:r>
    </w:p>
    <w:p w14:paraId="0A059F84" w14:textId="77777777" w:rsidR="00DA3D1D" w:rsidRDefault="00F22469">
      <w:pPr>
        <w:spacing w:after="160" w:line="300" w:lineRule="auto"/>
        <w:jc w:val="both"/>
      </w:pPr>
      <w:r>
        <w:rPr>
          <w:rFonts w:cs="Georgia"/>
        </w:rPr>
        <w:t>For the sake of transparency, the in-app “AI Insights” module is a fixed decision table rather than a trained model. A body region and a reported symptom map to a likely cause and a suggested specialist type, and none of this is presented to users as a diagnosis. Its output is a specialist type, which then feeds into the nearby-doctor search from Sec. VI-A. In two steps, that takes a user from a described symptom to a ranked, callable list of specialists.</w:t>
      </w:r>
    </w:p>
    <w:tbl>
      <w:tblPr>
        <w:tblW w:w="9360" w:type="dxa"/>
        <w:tblBorders>
          <w:top w:val="single" w:sz="4" w:space="0" w:color="D3CEC1"/>
          <w:left w:val="single" w:sz="4" w:space="0" w:color="D3CEC1"/>
          <w:bottom w:val="single" w:sz="4" w:space="0" w:color="D3CEC1"/>
          <w:right w:val="single" w:sz="4" w:space="0" w:color="D3CEC1"/>
          <w:insideH w:val="single" w:sz="4" w:space="0" w:color="D3CEC1"/>
          <w:insideV w:val="single" w:sz="4" w:space="0" w:color="D3CEC1"/>
        </w:tblBorders>
        <w:tblCellMar>
          <w:left w:w="10" w:type="dxa"/>
          <w:right w:w="10" w:type="dxa"/>
        </w:tblCellMar>
        <w:tblLook w:val="04A0" w:firstRow="1" w:lastRow="0" w:firstColumn="1" w:lastColumn="0" w:noHBand="0" w:noVBand="1"/>
      </w:tblPr>
      <w:tblGrid>
        <w:gridCol w:w="3120"/>
        <w:gridCol w:w="3120"/>
        <w:gridCol w:w="3120"/>
      </w:tblGrid>
      <w:tr w:rsidR="00DA3D1D" w14:paraId="2C28EF2E" w14:textId="77777777">
        <w:trPr>
          <w:tblHeader/>
        </w:trPr>
        <w:tc>
          <w:tcPr>
            <w:tcW w:w="3120" w:type="dxa"/>
            <w:shd w:val="clear" w:color="auto" w:fill="F4F2EC"/>
            <w:tcMar>
              <w:top w:w="90" w:type="dxa"/>
              <w:left w:w="130" w:type="dxa"/>
              <w:bottom w:w="90" w:type="dxa"/>
              <w:right w:w="130" w:type="dxa"/>
            </w:tcMar>
          </w:tcPr>
          <w:p w14:paraId="14C542A1" w14:textId="77777777" w:rsidR="00DA3D1D" w:rsidRDefault="00F22469">
            <w:pPr>
              <w:jc w:val="center"/>
            </w:pPr>
            <w:r>
              <w:rPr>
                <w:rFonts w:ascii="Calibri" w:eastAsia="Calibri" w:hAnsi="Calibri" w:cs="Calibri"/>
                <w:b/>
                <w:bCs/>
                <w:sz w:val="17"/>
                <w:szCs w:val="17"/>
              </w:rPr>
              <w:t>Finder's phone</w:t>
            </w:r>
          </w:p>
        </w:tc>
        <w:tc>
          <w:tcPr>
            <w:tcW w:w="3120" w:type="dxa"/>
            <w:shd w:val="clear" w:color="auto" w:fill="F4F2EC"/>
            <w:tcMar>
              <w:top w:w="90" w:type="dxa"/>
              <w:left w:w="130" w:type="dxa"/>
              <w:bottom w:w="90" w:type="dxa"/>
              <w:right w:w="130" w:type="dxa"/>
            </w:tcMar>
          </w:tcPr>
          <w:p w14:paraId="6E99CC63" w14:textId="77777777" w:rsidR="00DA3D1D" w:rsidRDefault="00F22469">
            <w:pPr>
              <w:jc w:val="center"/>
            </w:pPr>
            <w:r>
              <w:rPr>
                <w:rFonts w:ascii="Calibri" w:eastAsia="Calibri" w:hAnsi="Calibri" w:cs="Calibri"/>
                <w:b/>
                <w:bCs/>
                <w:sz w:val="17"/>
                <w:szCs w:val="17"/>
              </w:rPr>
              <w:t>Express API</w:t>
            </w:r>
          </w:p>
        </w:tc>
        <w:tc>
          <w:tcPr>
            <w:tcW w:w="3120" w:type="dxa"/>
            <w:shd w:val="clear" w:color="auto" w:fill="F4F2EC"/>
            <w:tcMar>
              <w:top w:w="90" w:type="dxa"/>
              <w:left w:w="130" w:type="dxa"/>
              <w:bottom w:w="90" w:type="dxa"/>
              <w:right w:w="130" w:type="dxa"/>
            </w:tcMar>
          </w:tcPr>
          <w:p w14:paraId="1D42F11F" w14:textId="77777777" w:rsidR="00DA3D1D" w:rsidRDefault="00F22469">
            <w:pPr>
              <w:jc w:val="center"/>
            </w:pPr>
            <w:r>
              <w:rPr>
                <w:rFonts w:ascii="Calibri" w:eastAsia="Calibri" w:hAnsi="Calibri" w:cs="Calibri"/>
                <w:b/>
                <w:bCs/>
                <w:sz w:val="17"/>
                <w:szCs w:val="17"/>
              </w:rPr>
              <w:t>emergency_card_tokens</w:t>
            </w:r>
          </w:p>
        </w:tc>
      </w:tr>
      <w:tr w:rsidR="00DA3D1D" w14:paraId="3370E97E" w14:textId="77777777">
        <w:tc>
          <w:tcPr>
            <w:tcW w:w="3120" w:type="dxa"/>
            <w:tcMar>
              <w:top w:w="90" w:type="dxa"/>
              <w:left w:w="130" w:type="dxa"/>
              <w:bottom w:w="90" w:type="dxa"/>
              <w:right w:w="130" w:type="dxa"/>
            </w:tcMar>
            <w:vAlign w:val="center"/>
          </w:tcPr>
          <w:p w14:paraId="396C850A" w14:textId="77777777" w:rsidR="00DA3D1D" w:rsidRDefault="00F22469">
            <w:pPr>
              <w:jc w:val="center"/>
            </w:pPr>
            <w:r>
              <w:rPr>
                <w:rFonts w:ascii="Consolas" w:eastAsia="Consolas" w:hAnsi="Consolas" w:cs="Consolas"/>
                <w:color w:val="41505F"/>
                <w:sz w:val="15"/>
                <w:szCs w:val="15"/>
              </w:rPr>
              <w:t>GET /emergency-card/:token →</w:t>
            </w:r>
          </w:p>
        </w:tc>
        <w:tc>
          <w:tcPr>
            <w:tcW w:w="3120" w:type="dxa"/>
            <w:tcMar>
              <w:top w:w="90" w:type="dxa"/>
              <w:left w:w="130" w:type="dxa"/>
              <w:bottom w:w="90" w:type="dxa"/>
              <w:right w:w="130" w:type="dxa"/>
            </w:tcMar>
            <w:vAlign w:val="center"/>
          </w:tcPr>
          <w:p w14:paraId="1338957F" w14:textId="77777777" w:rsidR="00DA3D1D" w:rsidRDefault="00F22469">
            <w:pPr>
              <w:jc w:val="center"/>
            </w:pPr>
            <w:r>
              <w:rPr>
                <w:rFonts w:ascii="Consolas" w:eastAsia="Consolas" w:hAnsi="Consolas" w:cs="Consolas"/>
                <w:color w:val="0E7C86"/>
                <w:sz w:val="15"/>
                <w:szCs w:val="15"/>
              </w:rPr>
              <w:t>→ SELECT WHERE token_hash = SHA-256(token)</w:t>
            </w:r>
          </w:p>
        </w:tc>
        <w:tc>
          <w:tcPr>
            <w:tcW w:w="3120" w:type="dxa"/>
            <w:tcMar>
              <w:top w:w="90" w:type="dxa"/>
              <w:left w:w="130" w:type="dxa"/>
              <w:bottom w:w="90" w:type="dxa"/>
              <w:right w:w="130" w:type="dxa"/>
            </w:tcMar>
            <w:vAlign w:val="center"/>
          </w:tcPr>
          <w:p w14:paraId="7CCBD9D6" w14:textId="77777777" w:rsidR="00DA3D1D" w:rsidRDefault="00F22469">
            <w:pPr>
              <w:jc w:val="center"/>
            </w:pPr>
            <w:r>
              <w:rPr>
                <w:rFonts w:ascii="Consolas" w:eastAsia="Consolas" w:hAnsi="Consolas" w:cs="Consolas"/>
                <w:color w:val="41505F"/>
                <w:sz w:val="15"/>
                <w:szCs w:val="15"/>
              </w:rPr>
              <w:t>valid, unexpired, not revoked</w:t>
            </w:r>
          </w:p>
        </w:tc>
      </w:tr>
      <w:tr w:rsidR="00DA3D1D" w14:paraId="78552303" w14:textId="77777777">
        <w:tc>
          <w:tcPr>
            <w:tcW w:w="3120" w:type="dxa"/>
            <w:tcMar>
              <w:top w:w="90" w:type="dxa"/>
              <w:left w:w="130" w:type="dxa"/>
              <w:bottom w:w="90" w:type="dxa"/>
              <w:right w:w="130" w:type="dxa"/>
            </w:tcMar>
            <w:vAlign w:val="center"/>
          </w:tcPr>
          <w:p w14:paraId="0DBA5F44" w14:textId="77777777" w:rsidR="00DA3D1D" w:rsidRDefault="00F22469">
            <w:pPr>
              <w:jc w:val="center"/>
            </w:pPr>
            <w:r>
              <w:rPr>
                <w:rFonts w:ascii="Consolas" w:eastAsia="Consolas" w:hAnsi="Consolas" w:cs="Consolas"/>
                <w:color w:val="41505F"/>
                <w:sz w:val="15"/>
                <w:szCs w:val="15"/>
              </w:rPr>
              <w:t>← 200 — name, blood group, chronic conditions, contacts</w:t>
            </w:r>
          </w:p>
        </w:tc>
        <w:tc>
          <w:tcPr>
            <w:tcW w:w="3120" w:type="dxa"/>
            <w:tcMar>
              <w:top w:w="90" w:type="dxa"/>
              <w:left w:w="130" w:type="dxa"/>
              <w:bottom w:w="90" w:type="dxa"/>
              <w:right w:w="130" w:type="dxa"/>
            </w:tcMar>
            <w:vAlign w:val="center"/>
          </w:tcPr>
          <w:p w14:paraId="41E57B09" w14:textId="77777777" w:rsidR="00DA3D1D" w:rsidRDefault="00F22469">
            <w:pPr>
              <w:jc w:val="center"/>
            </w:pPr>
            <w:r>
              <w:rPr>
                <w:rFonts w:ascii="Consolas" w:eastAsia="Consolas" w:hAnsi="Consolas" w:cs="Consolas"/>
                <w:color w:val="0E7C86"/>
                <w:sz w:val="15"/>
                <w:szCs w:val="15"/>
              </w:rPr>
              <w:t>row returned</w:t>
            </w:r>
          </w:p>
        </w:tc>
        <w:tc>
          <w:tcPr>
            <w:tcW w:w="3120" w:type="dxa"/>
            <w:tcMar>
              <w:top w:w="90" w:type="dxa"/>
              <w:left w:w="130" w:type="dxa"/>
              <w:bottom w:w="90" w:type="dxa"/>
              <w:right w:w="130" w:type="dxa"/>
            </w:tcMar>
            <w:vAlign w:val="center"/>
          </w:tcPr>
          <w:p w14:paraId="1BADDF1D" w14:textId="77777777" w:rsidR="00DA3D1D" w:rsidRDefault="00F22469">
            <w:pPr>
              <w:jc w:val="center"/>
            </w:pPr>
            <w:r>
              <w:rPr>
                <w:rFonts w:ascii="Consolas" w:eastAsia="Consolas" w:hAnsi="Consolas" w:cs="Consolas"/>
                <w:color w:val="41505F"/>
                <w:sz w:val="15"/>
                <w:szCs w:val="15"/>
              </w:rPr>
              <w:t>—</w:t>
            </w:r>
          </w:p>
        </w:tc>
      </w:tr>
      <w:tr w:rsidR="00DA3D1D" w14:paraId="18B9AE6F" w14:textId="77777777">
        <w:tc>
          <w:tcPr>
            <w:tcW w:w="3120" w:type="dxa"/>
            <w:tcMar>
              <w:top w:w="90" w:type="dxa"/>
              <w:left w:w="130" w:type="dxa"/>
              <w:bottom w:w="90" w:type="dxa"/>
              <w:right w:w="130" w:type="dxa"/>
            </w:tcMar>
            <w:vAlign w:val="center"/>
          </w:tcPr>
          <w:p w14:paraId="752D353B" w14:textId="77777777" w:rsidR="00DA3D1D" w:rsidRDefault="00F22469">
            <w:pPr>
              <w:jc w:val="center"/>
            </w:pPr>
            <w:r>
              <w:rPr>
                <w:rFonts w:ascii="Consolas" w:eastAsia="Consolas" w:hAnsi="Consolas" w:cs="Consolas"/>
                <w:color w:val="41505F"/>
                <w:sz w:val="15"/>
                <w:szCs w:val="15"/>
              </w:rPr>
              <w:t>← 404 / 410 — link no longer valid</w:t>
            </w:r>
          </w:p>
        </w:tc>
        <w:tc>
          <w:tcPr>
            <w:tcW w:w="3120" w:type="dxa"/>
            <w:tcMar>
              <w:top w:w="90" w:type="dxa"/>
              <w:left w:w="130" w:type="dxa"/>
              <w:bottom w:w="90" w:type="dxa"/>
              <w:right w:w="130" w:type="dxa"/>
            </w:tcMar>
            <w:vAlign w:val="center"/>
          </w:tcPr>
          <w:p w14:paraId="625FFE1C" w14:textId="77777777" w:rsidR="00DA3D1D" w:rsidRDefault="00F22469">
            <w:pPr>
              <w:jc w:val="center"/>
            </w:pPr>
            <w:r>
              <w:rPr>
                <w:rFonts w:ascii="Consolas" w:eastAsia="Consolas" w:hAnsi="Consolas" w:cs="Consolas"/>
                <w:color w:val="0E7C86"/>
                <w:sz w:val="15"/>
                <w:szCs w:val="15"/>
              </w:rPr>
              <w:t>unknown, expired, or revoked</w:t>
            </w:r>
          </w:p>
        </w:tc>
        <w:tc>
          <w:tcPr>
            <w:tcW w:w="3120" w:type="dxa"/>
            <w:tcMar>
              <w:top w:w="90" w:type="dxa"/>
              <w:left w:w="130" w:type="dxa"/>
              <w:bottom w:w="90" w:type="dxa"/>
              <w:right w:w="130" w:type="dxa"/>
            </w:tcMar>
            <w:vAlign w:val="center"/>
          </w:tcPr>
          <w:p w14:paraId="17A464BF" w14:textId="77777777" w:rsidR="00DA3D1D" w:rsidRDefault="00F22469">
            <w:pPr>
              <w:jc w:val="center"/>
            </w:pPr>
            <w:r>
              <w:rPr>
                <w:rFonts w:ascii="Consolas" w:eastAsia="Consolas" w:hAnsi="Consolas" w:cs="Consolas"/>
                <w:color w:val="41505F"/>
                <w:sz w:val="15"/>
                <w:szCs w:val="15"/>
              </w:rPr>
              <w:t>—</w:t>
            </w:r>
          </w:p>
        </w:tc>
      </w:tr>
    </w:tbl>
    <w:p w14:paraId="266590E6" w14:textId="77777777" w:rsidR="00DA3D1D" w:rsidRDefault="00F22469">
      <w:pPr>
        <w:spacing w:before="60" w:after="220"/>
      </w:pPr>
      <w:r>
        <w:rPr>
          <w:rFonts w:ascii="Calibri" w:eastAsia="Calibri" w:hAnsi="Calibri" w:cs="Calibri"/>
          <w:b/>
          <w:bCs/>
          <w:color w:val="41505F"/>
          <w:sz w:val="16"/>
          <w:szCs w:val="16"/>
        </w:rPr>
        <w:t>Fig. 2.  Emergency-card request flow. The endpoint is deliberately left unauthenticated, since the finder cannot be expected to have an AmarCure account, and it returns only the life-critical part of the profile, never a full report.</w:t>
      </w:r>
    </w:p>
    <w:p w14:paraId="2174805A" w14:textId="77777777" w:rsidR="00DA3D1D" w:rsidRDefault="00F22469">
      <w:pPr>
        <w:pStyle w:val="Heading1"/>
        <w:spacing w:before="320" w:after="120"/>
      </w:pPr>
      <w:r>
        <w:rPr>
          <w:rFonts w:ascii="Consolas" w:eastAsia="Consolas" w:hAnsi="Consolas" w:cs="Consolas"/>
          <w:color w:val="0E7C86"/>
          <w:sz w:val="22"/>
          <w:szCs w:val="22"/>
        </w:rPr>
        <w:t xml:space="preserve">VII  </w:t>
      </w:r>
      <w:r>
        <w:t>Implementation Notes</w:t>
      </w:r>
    </w:p>
    <w:p w14:paraId="0D6CCA66" w14:textId="77777777" w:rsidR="00DA3D1D" w:rsidRDefault="00F22469">
      <w:pPr>
        <w:spacing w:after="160" w:line="300" w:lineRule="auto"/>
        <w:jc w:val="both"/>
      </w:pPr>
      <w:r>
        <w:rPr>
          <w:rFonts w:cs="Georgia"/>
        </w:rPr>
        <w:t>The client is written in TypeScript on Expo SDK 57 and React Native 0.86, with Expo Router’s file-based navigation and React’s compiler turned on, and the same route tree renders to iOS, Android, and static web. Medication and appointment reminders are scheduled as local device notifications (expo-notifications), while cross-device reminders, such as a family member’s emergency-access alert, go through the Expo Push service against tokens registered in device_push_tokens. The API is Express 5 on Node.js 20 or newer, and all SQL runs through parameterized mysql2 queries.</w:t>
      </w:r>
    </w:p>
    <w:p w14:paraId="219D6C65" w14:textId="77777777" w:rsidR="00DA3D1D" w:rsidRDefault="00F22469">
      <w:pPr>
        <w:pStyle w:val="Heading1"/>
        <w:spacing w:before="320" w:after="120"/>
      </w:pPr>
      <w:r>
        <w:rPr>
          <w:rFonts w:ascii="Consolas" w:eastAsia="Consolas" w:hAnsi="Consolas" w:cs="Consolas"/>
          <w:color w:val="0E7C86"/>
          <w:sz w:val="22"/>
          <w:szCs w:val="22"/>
        </w:rPr>
        <w:t xml:space="preserve">VIII  </w:t>
      </w:r>
      <w:r>
        <w:t>Evaluation</w:t>
      </w:r>
    </w:p>
    <w:p w14:paraId="2F542127" w14:textId="77777777" w:rsidR="00DA3D1D" w:rsidRDefault="00F22469">
      <w:pPr>
        <w:spacing w:after="160" w:line="300" w:lineRule="auto"/>
        <w:jc w:val="both"/>
      </w:pPr>
      <w:r>
        <w:rPr>
          <w:rFonts w:cs="Georgia"/>
        </w:rPr>
        <w:t>AmarCure was tested end-to-end against a live MySQL instance and a private Backblaze B2 bucket rather than mocked services, so the security properties from Sec. V, including argon2id verification, token hashing, and expiry, were exercised for real. Table II sums up the manual functional pass. This was developer-side verification rather than a controlled user study, and we report it that way instead of claiming more.</w:t>
      </w:r>
    </w:p>
    <w:p w14:paraId="4988B36D" w14:textId="77777777" w:rsidR="00DA3D1D" w:rsidRDefault="00F22469">
      <w:pPr>
        <w:spacing w:before="180" w:after="100"/>
      </w:pPr>
      <w:r>
        <w:rPr>
          <w:rFonts w:ascii="Calibri" w:eastAsia="Calibri" w:hAnsi="Calibri" w:cs="Calibri"/>
          <w:b/>
          <w:bCs/>
          <w:color w:val="0E7C86"/>
          <w:spacing w:val="16"/>
          <w:sz w:val="15"/>
          <w:szCs w:val="15"/>
        </w:rPr>
        <w:t xml:space="preserve">TABLE II   </w:t>
      </w:r>
      <w:r>
        <w:rPr>
          <w:rFonts w:ascii="Calibri" w:eastAsia="Calibri" w:hAnsi="Calibri" w:cs="Calibri"/>
          <w:b/>
          <w:bCs/>
          <w:color w:val="41505F"/>
          <w:sz w:val="17"/>
          <w:szCs w:val="17"/>
        </w:rPr>
        <w:t>Manual functional verification</w:t>
      </w:r>
    </w:p>
    <w:tbl>
      <w:tblPr>
        <w:tblW w:w="9360" w:type="dxa"/>
        <w:tblBorders>
          <w:top w:val="single" w:sz="4" w:space="0" w:color="D3CEC1"/>
          <w:left w:val="single" w:sz="4" w:space="0" w:color="D3CEC1"/>
          <w:bottom w:val="single" w:sz="4" w:space="0" w:color="D3CEC1"/>
          <w:right w:val="single" w:sz="4" w:space="0" w:color="D3CEC1"/>
          <w:insideH w:val="single" w:sz="4" w:space="0" w:color="D3CEC1"/>
          <w:insideV w:val="single" w:sz="4" w:space="0" w:color="D3CEC1"/>
        </w:tblBorders>
        <w:tblCellMar>
          <w:left w:w="10" w:type="dxa"/>
          <w:right w:w="10" w:type="dxa"/>
        </w:tblCellMar>
        <w:tblLook w:val="04A0" w:firstRow="1" w:lastRow="0" w:firstColumn="1" w:lastColumn="0" w:noHBand="0" w:noVBand="1"/>
      </w:tblPr>
      <w:tblGrid>
        <w:gridCol w:w="2900"/>
        <w:gridCol w:w="4300"/>
        <w:gridCol w:w="2160"/>
      </w:tblGrid>
      <w:tr w:rsidR="00DA3D1D" w14:paraId="3FA6A01B" w14:textId="77777777">
        <w:trPr>
          <w:tblHeader/>
        </w:trPr>
        <w:tc>
          <w:tcPr>
            <w:tcW w:w="2900" w:type="dxa"/>
            <w:shd w:val="clear" w:color="auto" w:fill="F4F2EC"/>
            <w:tcMar>
              <w:top w:w="90" w:type="dxa"/>
              <w:left w:w="130" w:type="dxa"/>
              <w:bottom w:w="90" w:type="dxa"/>
              <w:right w:w="130" w:type="dxa"/>
            </w:tcMar>
          </w:tcPr>
          <w:p w14:paraId="1C5849C5" w14:textId="77777777" w:rsidR="00DA3D1D" w:rsidRDefault="00F22469">
            <w:r>
              <w:rPr>
                <w:rFonts w:ascii="Calibri" w:eastAsia="Calibri" w:hAnsi="Calibri" w:cs="Calibri"/>
                <w:b/>
                <w:bCs/>
                <w:caps/>
                <w:color w:val="6A7686"/>
                <w:spacing w:val="16"/>
                <w:sz w:val="16"/>
                <w:szCs w:val="16"/>
              </w:rPr>
              <w:lastRenderedPageBreak/>
              <w:t>Feature</w:t>
            </w:r>
          </w:p>
        </w:tc>
        <w:tc>
          <w:tcPr>
            <w:tcW w:w="4300" w:type="dxa"/>
            <w:shd w:val="clear" w:color="auto" w:fill="F4F2EC"/>
            <w:tcMar>
              <w:top w:w="90" w:type="dxa"/>
              <w:left w:w="130" w:type="dxa"/>
              <w:bottom w:w="90" w:type="dxa"/>
              <w:right w:w="130" w:type="dxa"/>
            </w:tcMar>
          </w:tcPr>
          <w:p w14:paraId="0212D6FF" w14:textId="77777777" w:rsidR="00DA3D1D" w:rsidRDefault="00F22469">
            <w:r>
              <w:rPr>
                <w:rFonts w:ascii="Calibri" w:eastAsia="Calibri" w:hAnsi="Calibri" w:cs="Calibri"/>
                <w:b/>
                <w:bCs/>
                <w:caps/>
                <w:color w:val="6A7686"/>
                <w:spacing w:val="16"/>
                <w:sz w:val="16"/>
                <w:szCs w:val="16"/>
              </w:rPr>
              <w:t>Method</w:t>
            </w:r>
          </w:p>
        </w:tc>
        <w:tc>
          <w:tcPr>
            <w:tcW w:w="2160" w:type="dxa"/>
            <w:shd w:val="clear" w:color="auto" w:fill="F4F2EC"/>
            <w:tcMar>
              <w:top w:w="90" w:type="dxa"/>
              <w:left w:w="130" w:type="dxa"/>
              <w:bottom w:w="90" w:type="dxa"/>
              <w:right w:w="130" w:type="dxa"/>
            </w:tcMar>
          </w:tcPr>
          <w:p w14:paraId="27CEB29B" w14:textId="77777777" w:rsidR="00DA3D1D" w:rsidRDefault="00F22469">
            <w:r>
              <w:rPr>
                <w:rFonts w:ascii="Calibri" w:eastAsia="Calibri" w:hAnsi="Calibri" w:cs="Calibri"/>
                <w:b/>
                <w:bCs/>
                <w:caps/>
                <w:color w:val="6A7686"/>
                <w:spacing w:val="16"/>
                <w:sz w:val="16"/>
                <w:szCs w:val="16"/>
              </w:rPr>
              <w:t>Result</w:t>
            </w:r>
          </w:p>
        </w:tc>
      </w:tr>
      <w:tr w:rsidR="00DA3D1D" w14:paraId="284C88E0" w14:textId="77777777">
        <w:tc>
          <w:tcPr>
            <w:tcW w:w="2900" w:type="dxa"/>
            <w:tcMar>
              <w:top w:w="90" w:type="dxa"/>
              <w:left w:w="130" w:type="dxa"/>
              <w:bottom w:w="90" w:type="dxa"/>
              <w:right w:w="130" w:type="dxa"/>
            </w:tcMar>
            <w:vAlign w:val="center"/>
          </w:tcPr>
          <w:p w14:paraId="7658F456" w14:textId="77777777" w:rsidR="00DA3D1D" w:rsidRDefault="00F22469">
            <w:pPr>
              <w:spacing w:line="252" w:lineRule="auto"/>
            </w:pPr>
            <w:r>
              <w:rPr>
                <w:rFonts w:cs="Georgia"/>
                <w:sz w:val="18"/>
                <w:szCs w:val="18"/>
              </w:rPr>
              <w:t>Registration &amp; email verification</w:t>
            </w:r>
          </w:p>
        </w:tc>
        <w:tc>
          <w:tcPr>
            <w:tcW w:w="4300" w:type="dxa"/>
            <w:tcMar>
              <w:top w:w="90" w:type="dxa"/>
              <w:left w:w="130" w:type="dxa"/>
              <w:bottom w:w="90" w:type="dxa"/>
              <w:right w:w="130" w:type="dxa"/>
            </w:tcMar>
            <w:vAlign w:val="center"/>
          </w:tcPr>
          <w:p w14:paraId="4DA280DA" w14:textId="77777777" w:rsidR="00DA3D1D" w:rsidRDefault="00F22469">
            <w:pPr>
              <w:spacing w:line="252" w:lineRule="auto"/>
            </w:pPr>
            <w:r>
              <w:rPr>
                <w:rFonts w:cs="Georgia"/>
                <w:sz w:val="18"/>
                <w:szCs w:val="18"/>
              </w:rPr>
              <w:t>Live signup; SMTP code delivered and consumed</w:t>
            </w:r>
          </w:p>
        </w:tc>
        <w:tc>
          <w:tcPr>
            <w:tcW w:w="2160" w:type="dxa"/>
            <w:tcMar>
              <w:top w:w="90" w:type="dxa"/>
              <w:left w:w="130" w:type="dxa"/>
              <w:bottom w:w="90" w:type="dxa"/>
              <w:right w:w="130" w:type="dxa"/>
            </w:tcMar>
            <w:vAlign w:val="center"/>
          </w:tcPr>
          <w:p w14:paraId="6E35FD8A" w14:textId="77777777" w:rsidR="00DA3D1D" w:rsidRDefault="00F22469">
            <w:r>
              <w:rPr>
                <w:rFonts w:ascii="Calibri" w:eastAsia="Calibri" w:hAnsi="Calibri" w:cs="Calibri"/>
                <w:b/>
                <w:bCs/>
                <w:color w:val="0E7C86"/>
                <w:sz w:val="17"/>
                <w:szCs w:val="17"/>
              </w:rPr>
              <w:t>Pass</w:t>
            </w:r>
          </w:p>
        </w:tc>
      </w:tr>
      <w:tr w:rsidR="00DA3D1D" w14:paraId="04D5B82D" w14:textId="77777777">
        <w:tc>
          <w:tcPr>
            <w:tcW w:w="2900" w:type="dxa"/>
            <w:tcMar>
              <w:top w:w="90" w:type="dxa"/>
              <w:left w:w="130" w:type="dxa"/>
              <w:bottom w:w="90" w:type="dxa"/>
              <w:right w:w="130" w:type="dxa"/>
            </w:tcMar>
            <w:vAlign w:val="center"/>
          </w:tcPr>
          <w:p w14:paraId="1B2BC907" w14:textId="77777777" w:rsidR="00DA3D1D" w:rsidRDefault="00F22469">
            <w:pPr>
              <w:spacing w:line="252" w:lineRule="auto"/>
            </w:pPr>
            <w:r>
              <w:rPr>
                <w:rFonts w:cs="Georgia"/>
                <w:sz w:val="18"/>
                <w:szCs w:val="18"/>
              </w:rPr>
              <w:t>Login / JWT session</w:t>
            </w:r>
          </w:p>
        </w:tc>
        <w:tc>
          <w:tcPr>
            <w:tcW w:w="4300" w:type="dxa"/>
            <w:tcMar>
              <w:top w:w="90" w:type="dxa"/>
              <w:left w:w="130" w:type="dxa"/>
              <w:bottom w:w="90" w:type="dxa"/>
              <w:right w:w="130" w:type="dxa"/>
            </w:tcMar>
            <w:vAlign w:val="center"/>
          </w:tcPr>
          <w:p w14:paraId="79CBC83D" w14:textId="77777777" w:rsidR="00DA3D1D" w:rsidRDefault="00F22469">
            <w:pPr>
              <w:spacing w:line="252" w:lineRule="auto"/>
            </w:pPr>
            <w:r>
              <w:rPr>
                <w:rFonts w:cs="Georgia"/>
                <w:sz w:val="18"/>
                <w:szCs w:val="18"/>
              </w:rPr>
              <w:t xml:space="preserve">argon2id verify; </w:t>
            </w:r>
            <w:r>
              <w:rPr>
                <w:rFonts w:ascii="Consolas" w:eastAsia="Consolas" w:hAnsi="Consolas" w:cs="Consolas"/>
                <w:color w:val="324055"/>
                <w:sz w:val="17"/>
                <w:szCs w:val="17"/>
              </w:rPr>
              <w:t>token_version</w:t>
            </w:r>
            <w:r>
              <w:rPr>
                <w:rFonts w:cs="Georgia"/>
                <w:sz w:val="18"/>
                <w:szCs w:val="18"/>
              </w:rPr>
              <w:t xml:space="preserve"> check on protected routes</w:t>
            </w:r>
          </w:p>
        </w:tc>
        <w:tc>
          <w:tcPr>
            <w:tcW w:w="2160" w:type="dxa"/>
            <w:tcMar>
              <w:top w:w="90" w:type="dxa"/>
              <w:left w:w="130" w:type="dxa"/>
              <w:bottom w:w="90" w:type="dxa"/>
              <w:right w:w="130" w:type="dxa"/>
            </w:tcMar>
            <w:vAlign w:val="center"/>
          </w:tcPr>
          <w:p w14:paraId="19CDBCEE" w14:textId="77777777" w:rsidR="00DA3D1D" w:rsidRDefault="00F22469">
            <w:r>
              <w:rPr>
                <w:rFonts w:ascii="Calibri" w:eastAsia="Calibri" w:hAnsi="Calibri" w:cs="Calibri"/>
                <w:b/>
                <w:bCs/>
                <w:color w:val="0E7C86"/>
                <w:sz w:val="17"/>
                <w:szCs w:val="17"/>
              </w:rPr>
              <w:t>Pass</w:t>
            </w:r>
          </w:p>
        </w:tc>
      </w:tr>
      <w:tr w:rsidR="00DA3D1D" w14:paraId="2B8373BF" w14:textId="77777777">
        <w:tc>
          <w:tcPr>
            <w:tcW w:w="2900" w:type="dxa"/>
            <w:tcMar>
              <w:top w:w="90" w:type="dxa"/>
              <w:left w:w="130" w:type="dxa"/>
              <w:bottom w:w="90" w:type="dxa"/>
              <w:right w:w="130" w:type="dxa"/>
            </w:tcMar>
            <w:vAlign w:val="center"/>
          </w:tcPr>
          <w:p w14:paraId="1607554A" w14:textId="77777777" w:rsidR="00DA3D1D" w:rsidRDefault="00F22469">
            <w:pPr>
              <w:spacing w:line="252" w:lineRule="auto"/>
            </w:pPr>
            <w:r>
              <w:rPr>
                <w:rFonts w:cs="Georgia"/>
                <w:sz w:val="18"/>
                <w:szCs w:val="18"/>
              </w:rPr>
              <w:t>Report upload &amp; retrieval</w:t>
            </w:r>
          </w:p>
        </w:tc>
        <w:tc>
          <w:tcPr>
            <w:tcW w:w="4300" w:type="dxa"/>
            <w:tcMar>
              <w:top w:w="90" w:type="dxa"/>
              <w:left w:w="130" w:type="dxa"/>
              <w:bottom w:w="90" w:type="dxa"/>
              <w:right w:w="130" w:type="dxa"/>
            </w:tcMar>
            <w:vAlign w:val="center"/>
          </w:tcPr>
          <w:p w14:paraId="325FC18A" w14:textId="77777777" w:rsidR="00DA3D1D" w:rsidRDefault="00F22469">
            <w:pPr>
              <w:spacing w:line="252" w:lineRule="auto"/>
            </w:pPr>
            <w:r>
              <w:rPr>
                <w:rFonts w:cs="Georgia"/>
                <w:sz w:val="18"/>
                <w:szCs w:val="18"/>
              </w:rPr>
              <w:t>Upload to B2; 5-min presigned view URL fetched</w:t>
            </w:r>
          </w:p>
        </w:tc>
        <w:tc>
          <w:tcPr>
            <w:tcW w:w="2160" w:type="dxa"/>
            <w:tcMar>
              <w:top w:w="90" w:type="dxa"/>
              <w:left w:w="130" w:type="dxa"/>
              <w:bottom w:w="90" w:type="dxa"/>
              <w:right w:w="130" w:type="dxa"/>
            </w:tcMar>
            <w:vAlign w:val="center"/>
          </w:tcPr>
          <w:p w14:paraId="1E9093D1" w14:textId="77777777" w:rsidR="00DA3D1D" w:rsidRDefault="00F22469">
            <w:r>
              <w:rPr>
                <w:rFonts w:ascii="Calibri" w:eastAsia="Calibri" w:hAnsi="Calibri" w:cs="Calibri"/>
                <w:b/>
                <w:bCs/>
                <w:color w:val="0E7C86"/>
                <w:sz w:val="17"/>
                <w:szCs w:val="17"/>
              </w:rPr>
              <w:t>Pass</w:t>
            </w:r>
          </w:p>
        </w:tc>
      </w:tr>
      <w:tr w:rsidR="00DA3D1D" w14:paraId="793291D1" w14:textId="77777777">
        <w:tc>
          <w:tcPr>
            <w:tcW w:w="2900" w:type="dxa"/>
            <w:tcMar>
              <w:top w:w="90" w:type="dxa"/>
              <w:left w:w="130" w:type="dxa"/>
              <w:bottom w:w="90" w:type="dxa"/>
              <w:right w:w="130" w:type="dxa"/>
            </w:tcMar>
            <w:vAlign w:val="center"/>
          </w:tcPr>
          <w:p w14:paraId="6CFC306A" w14:textId="77777777" w:rsidR="00DA3D1D" w:rsidRDefault="00F22469">
            <w:pPr>
              <w:spacing w:line="252" w:lineRule="auto"/>
            </w:pPr>
            <w:r>
              <w:rPr>
                <w:rFonts w:cs="Georgia"/>
                <w:sz w:val="18"/>
                <w:szCs w:val="18"/>
              </w:rPr>
              <w:t>QR share link lifecycle</w:t>
            </w:r>
          </w:p>
        </w:tc>
        <w:tc>
          <w:tcPr>
            <w:tcW w:w="4300" w:type="dxa"/>
            <w:tcMar>
              <w:top w:w="90" w:type="dxa"/>
              <w:left w:w="130" w:type="dxa"/>
              <w:bottom w:w="90" w:type="dxa"/>
              <w:right w:w="130" w:type="dxa"/>
            </w:tcMar>
            <w:vAlign w:val="center"/>
          </w:tcPr>
          <w:p w14:paraId="21DA3E08" w14:textId="77777777" w:rsidR="00DA3D1D" w:rsidRDefault="00F22469">
            <w:pPr>
              <w:spacing w:line="252" w:lineRule="auto"/>
            </w:pPr>
            <w:r>
              <w:rPr>
                <w:rFonts w:cs="Georgia"/>
                <w:sz w:val="18"/>
                <w:szCs w:val="18"/>
              </w:rPr>
              <w:t>Create, access-count increment, explicit revoke</w:t>
            </w:r>
          </w:p>
        </w:tc>
        <w:tc>
          <w:tcPr>
            <w:tcW w:w="2160" w:type="dxa"/>
            <w:tcMar>
              <w:top w:w="90" w:type="dxa"/>
              <w:left w:w="130" w:type="dxa"/>
              <w:bottom w:w="90" w:type="dxa"/>
              <w:right w:w="130" w:type="dxa"/>
            </w:tcMar>
            <w:vAlign w:val="center"/>
          </w:tcPr>
          <w:p w14:paraId="4C8A858F" w14:textId="77777777" w:rsidR="00DA3D1D" w:rsidRDefault="00F22469">
            <w:r>
              <w:rPr>
                <w:rFonts w:ascii="Calibri" w:eastAsia="Calibri" w:hAnsi="Calibri" w:cs="Calibri"/>
                <w:b/>
                <w:bCs/>
                <w:color w:val="0E7C86"/>
                <w:sz w:val="17"/>
                <w:szCs w:val="17"/>
              </w:rPr>
              <w:t>Pass</w:t>
            </w:r>
          </w:p>
        </w:tc>
      </w:tr>
      <w:tr w:rsidR="00DA3D1D" w14:paraId="62347E2F" w14:textId="77777777">
        <w:tc>
          <w:tcPr>
            <w:tcW w:w="2900" w:type="dxa"/>
            <w:tcMar>
              <w:top w:w="90" w:type="dxa"/>
              <w:left w:w="130" w:type="dxa"/>
              <w:bottom w:w="90" w:type="dxa"/>
              <w:right w:w="130" w:type="dxa"/>
            </w:tcMar>
            <w:vAlign w:val="center"/>
          </w:tcPr>
          <w:p w14:paraId="2410FB16" w14:textId="77777777" w:rsidR="00DA3D1D" w:rsidRDefault="00F22469">
            <w:pPr>
              <w:spacing w:line="252" w:lineRule="auto"/>
            </w:pPr>
            <w:r>
              <w:rPr>
                <w:rFonts w:cs="Georgia"/>
                <w:sz w:val="18"/>
                <w:szCs w:val="18"/>
              </w:rPr>
              <w:t>Emergency card issuance</w:t>
            </w:r>
          </w:p>
        </w:tc>
        <w:tc>
          <w:tcPr>
            <w:tcW w:w="4300" w:type="dxa"/>
            <w:tcMar>
              <w:top w:w="90" w:type="dxa"/>
              <w:left w:w="130" w:type="dxa"/>
              <w:bottom w:w="90" w:type="dxa"/>
              <w:right w:w="130" w:type="dxa"/>
            </w:tcMar>
            <w:vAlign w:val="center"/>
          </w:tcPr>
          <w:p w14:paraId="3A7D2DB8" w14:textId="77777777" w:rsidR="00DA3D1D" w:rsidRDefault="00F22469">
            <w:pPr>
              <w:spacing w:line="252" w:lineRule="auto"/>
            </w:pPr>
            <w:r>
              <w:rPr>
                <w:rFonts w:cs="Georgia"/>
                <w:sz w:val="18"/>
                <w:szCs w:val="18"/>
              </w:rPr>
              <w:t>Issue, scan (unauthenticated), re-issue supersedes prior link</w:t>
            </w:r>
          </w:p>
        </w:tc>
        <w:tc>
          <w:tcPr>
            <w:tcW w:w="2160" w:type="dxa"/>
            <w:tcMar>
              <w:top w:w="90" w:type="dxa"/>
              <w:left w:w="130" w:type="dxa"/>
              <w:bottom w:w="90" w:type="dxa"/>
              <w:right w:w="130" w:type="dxa"/>
            </w:tcMar>
            <w:vAlign w:val="center"/>
          </w:tcPr>
          <w:p w14:paraId="6F4FC48E" w14:textId="77777777" w:rsidR="00DA3D1D" w:rsidRDefault="00F22469">
            <w:r>
              <w:rPr>
                <w:rFonts w:ascii="Calibri" w:eastAsia="Calibri" w:hAnsi="Calibri" w:cs="Calibri"/>
                <w:b/>
                <w:bCs/>
                <w:color w:val="0E7C86"/>
                <w:sz w:val="17"/>
                <w:szCs w:val="17"/>
              </w:rPr>
              <w:t>Pass</w:t>
            </w:r>
          </w:p>
        </w:tc>
      </w:tr>
      <w:tr w:rsidR="00DA3D1D" w14:paraId="10A2E0A0" w14:textId="77777777">
        <w:tc>
          <w:tcPr>
            <w:tcW w:w="2900" w:type="dxa"/>
            <w:tcMar>
              <w:top w:w="90" w:type="dxa"/>
              <w:left w:w="130" w:type="dxa"/>
              <w:bottom w:w="90" w:type="dxa"/>
              <w:right w:w="130" w:type="dxa"/>
            </w:tcMar>
            <w:vAlign w:val="center"/>
          </w:tcPr>
          <w:p w14:paraId="12D9C1FF" w14:textId="77777777" w:rsidR="00DA3D1D" w:rsidRDefault="00F22469">
            <w:pPr>
              <w:spacing w:line="252" w:lineRule="auto"/>
            </w:pPr>
            <w:r>
              <w:rPr>
                <w:rFonts w:cs="Georgia"/>
                <w:sz w:val="18"/>
                <w:szCs w:val="18"/>
              </w:rPr>
              <w:t>Thana-based donor search</w:t>
            </w:r>
          </w:p>
        </w:tc>
        <w:tc>
          <w:tcPr>
            <w:tcW w:w="4300" w:type="dxa"/>
            <w:tcMar>
              <w:top w:w="90" w:type="dxa"/>
              <w:left w:w="130" w:type="dxa"/>
              <w:bottom w:w="90" w:type="dxa"/>
              <w:right w:w="130" w:type="dxa"/>
            </w:tcMar>
            <w:vAlign w:val="center"/>
          </w:tcPr>
          <w:p w14:paraId="46F3FCD9" w14:textId="77777777" w:rsidR="00DA3D1D" w:rsidRDefault="00F22469">
            <w:pPr>
              <w:spacing w:line="252" w:lineRule="auto"/>
            </w:pPr>
            <w:r>
              <w:rPr>
                <w:rFonts w:cs="Georgia"/>
                <w:sz w:val="18"/>
                <w:szCs w:val="18"/>
              </w:rPr>
              <w:t>GPS fix → reverse geocode → alias match → query</w:t>
            </w:r>
          </w:p>
        </w:tc>
        <w:tc>
          <w:tcPr>
            <w:tcW w:w="2160" w:type="dxa"/>
            <w:tcMar>
              <w:top w:w="90" w:type="dxa"/>
              <w:left w:w="130" w:type="dxa"/>
              <w:bottom w:w="90" w:type="dxa"/>
              <w:right w:w="130" w:type="dxa"/>
            </w:tcMar>
            <w:vAlign w:val="center"/>
          </w:tcPr>
          <w:p w14:paraId="1937E6ED" w14:textId="77777777" w:rsidR="00DA3D1D" w:rsidRDefault="00F22469">
            <w:r>
              <w:rPr>
                <w:rFonts w:ascii="Calibri" w:eastAsia="Calibri" w:hAnsi="Calibri" w:cs="Calibri"/>
                <w:b/>
                <w:bCs/>
                <w:color w:val="0E7C86"/>
                <w:sz w:val="17"/>
                <w:szCs w:val="17"/>
              </w:rPr>
              <w:t>Pass</w:t>
            </w:r>
          </w:p>
        </w:tc>
      </w:tr>
      <w:tr w:rsidR="00DA3D1D" w14:paraId="4F6574EB" w14:textId="77777777">
        <w:tc>
          <w:tcPr>
            <w:tcW w:w="2900" w:type="dxa"/>
            <w:tcMar>
              <w:top w:w="90" w:type="dxa"/>
              <w:left w:w="130" w:type="dxa"/>
              <w:bottom w:w="90" w:type="dxa"/>
              <w:right w:w="130" w:type="dxa"/>
            </w:tcMar>
            <w:vAlign w:val="center"/>
          </w:tcPr>
          <w:p w14:paraId="53901B63" w14:textId="77777777" w:rsidR="00DA3D1D" w:rsidRDefault="00F22469">
            <w:pPr>
              <w:spacing w:line="252" w:lineRule="auto"/>
            </w:pPr>
            <w:r>
              <w:rPr>
                <w:rFonts w:cs="Georgia"/>
                <w:sz w:val="18"/>
                <w:szCs w:val="18"/>
              </w:rPr>
              <w:t>Web client build &amp; render</w:t>
            </w:r>
          </w:p>
        </w:tc>
        <w:tc>
          <w:tcPr>
            <w:tcW w:w="4300" w:type="dxa"/>
            <w:tcMar>
              <w:top w:w="90" w:type="dxa"/>
              <w:left w:w="130" w:type="dxa"/>
              <w:bottom w:w="90" w:type="dxa"/>
              <w:right w:w="130" w:type="dxa"/>
            </w:tcMar>
            <w:vAlign w:val="center"/>
          </w:tcPr>
          <w:p w14:paraId="5A7786D2" w14:textId="77777777" w:rsidR="00DA3D1D" w:rsidRDefault="00F22469">
            <w:pPr>
              <w:spacing w:line="252" w:lineRule="auto"/>
            </w:pPr>
            <w:r>
              <w:rPr>
                <w:rFonts w:cs="Georgia"/>
                <w:sz w:val="18"/>
                <w:szCs w:val="18"/>
              </w:rPr>
              <w:t>Metro bundle served, headless-browser render, console checked</w:t>
            </w:r>
          </w:p>
        </w:tc>
        <w:tc>
          <w:tcPr>
            <w:tcW w:w="2160" w:type="dxa"/>
            <w:tcMar>
              <w:top w:w="90" w:type="dxa"/>
              <w:left w:w="130" w:type="dxa"/>
              <w:bottom w:w="90" w:type="dxa"/>
              <w:right w:w="130" w:type="dxa"/>
            </w:tcMar>
            <w:vAlign w:val="center"/>
          </w:tcPr>
          <w:p w14:paraId="367C08AC" w14:textId="77777777" w:rsidR="00DA3D1D" w:rsidRDefault="00F22469">
            <w:r>
              <w:rPr>
                <w:rFonts w:ascii="Calibri" w:eastAsia="Calibri" w:hAnsi="Calibri" w:cs="Calibri"/>
                <w:b/>
                <w:bCs/>
                <w:color w:val="0E7C86"/>
                <w:sz w:val="17"/>
                <w:szCs w:val="17"/>
              </w:rPr>
              <w:t>Pass, 0 errors</w:t>
            </w:r>
          </w:p>
        </w:tc>
      </w:tr>
    </w:tbl>
    <w:p w14:paraId="02432B53" w14:textId="77777777" w:rsidR="00DA3D1D" w:rsidRDefault="00DA3D1D">
      <w:pPr>
        <w:spacing w:after="120"/>
      </w:pPr>
    </w:p>
    <w:tbl>
      <w:tblPr>
        <w:tblW w:w="9360" w:type="dxa"/>
        <w:tblBorders>
          <w:top w:val="single" w:sz="4" w:space="0" w:color="0E7C86"/>
          <w:left w:val="single" w:sz="4" w:space="0" w:color="0E7C86"/>
          <w:bottom w:val="single" w:sz="4" w:space="0" w:color="0E7C86"/>
          <w:right w:val="single" w:sz="4" w:space="0" w:color="0E7C86"/>
          <w:insideH w:val="single" w:sz="4" w:space="0" w:color="0E7C86"/>
          <w:insideV w:val="single" w:sz="4" w:space="0" w:color="0E7C86"/>
        </w:tblBorders>
        <w:tblCellMar>
          <w:left w:w="10" w:type="dxa"/>
          <w:right w:w="10" w:type="dxa"/>
        </w:tblCellMar>
        <w:tblLook w:val="04A0" w:firstRow="1" w:lastRow="0" w:firstColumn="1" w:lastColumn="0" w:noHBand="0" w:noVBand="1"/>
      </w:tblPr>
      <w:tblGrid>
        <w:gridCol w:w="9360"/>
      </w:tblGrid>
      <w:tr w:rsidR="00DA3D1D" w14:paraId="1B125CC8" w14:textId="77777777">
        <w:tc>
          <w:tcPr>
            <w:tcW w:w="9360" w:type="dxa"/>
            <w:shd w:val="clear" w:color="auto" w:fill="F4F2EC"/>
            <w:tcMar>
              <w:top w:w="90" w:type="dxa"/>
              <w:left w:w="130" w:type="dxa"/>
              <w:bottom w:w="90" w:type="dxa"/>
              <w:right w:w="130" w:type="dxa"/>
            </w:tcMar>
          </w:tcPr>
          <w:p w14:paraId="65E1BB5C" w14:textId="77777777" w:rsidR="00DA3D1D" w:rsidRDefault="00F22469">
            <w:pPr>
              <w:spacing w:after="60"/>
            </w:pPr>
            <w:r>
              <w:rPr>
                <w:rFonts w:ascii="Calibri" w:eastAsia="Calibri" w:hAnsi="Calibri" w:cs="Calibri"/>
                <w:b/>
                <w:bCs/>
                <w:color w:val="0E7C86"/>
                <w:sz w:val="24"/>
                <w:szCs w:val="24"/>
              </w:rPr>
              <w:t>AmarCure</w:t>
            </w:r>
            <w:r>
              <w:rPr>
                <w:rFonts w:ascii="Calibri" w:eastAsia="Calibri" w:hAnsi="Calibri" w:cs="Calibri"/>
                <w:color w:val="6A7686"/>
                <w:sz w:val="16"/>
                <w:szCs w:val="16"/>
              </w:rPr>
              <w:t xml:space="preserve">    Home · About · Contact · [ Login ]</w:t>
            </w:r>
          </w:p>
          <w:p w14:paraId="1FDD98B6" w14:textId="77777777" w:rsidR="00DA3D1D" w:rsidRDefault="00F22469">
            <w:pPr>
              <w:spacing w:after="40"/>
            </w:pPr>
            <w:r>
              <w:rPr>
                <w:rFonts w:cs="Georgia"/>
                <w:b/>
                <w:bCs/>
                <w:color w:val="0B3D67"/>
                <w:sz w:val="34"/>
                <w:szCs w:val="34"/>
              </w:rPr>
              <w:t>Your Health, Connected.</w:t>
            </w:r>
          </w:p>
          <w:p w14:paraId="133831E5" w14:textId="77777777" w:rsidR="00DA3D1D" w:rsidRDefault="00F22469">
            <w:pPr>
              <w:spacing w:after="80"/>
            </w:pPr>
            <w:r>
              <w:rPr>
                <w:rFonts w:ascii="Calibri" w:eastAsia="Calibri" w:hAnsi="Calibri" w:cs="Calibri"/>
                <w:sz w:val="18"/>
                <w:szCs w:val="18"/>
              </w:rPr>
              <w:t>A simple and secure place to manage your important healthcare information.</w:t>
            </w:r>
          </w:p>
          <w:p w14:paraId="6DDEE55F" w14:textId="77777777" w:rsidR="00DA3D1D" w:rsidRDefault="00F22469">
            <w:r>
              <w:rPr>
                <w:rFonts w:ascii="Calibri" w:eastAsia="Calibri" w:hAnsi="Calibri" w:cs="Calibri"/>
                <w:b/>
                <w:bCs/>
                <w:color w:val="0E7C86"/>
                <w:sz w:val="17"/>
                <w:szCs w:val="17"/>
              </w:rPr>
              <w:t>[ Create Account ]    [ Login ]</w:t>
            </w:r>
          </w:p>
        </w:tc>
      </w:tr>
    </w:tbl>
    <w:p w14:paraId="2A7E3475" w14:textId="77777777" w:rsidR="00DA3D1D" w:rsidRDefault="00F22469">
      <w:pPr>
        <w:spacing w:before="60" w:after="220"/>
      </w:pPr>
      <w:r>
        <w:rPr>
          <w:rFonts w:ascii="Calibri" w:eastAsia="Calibri" w:hAnsi="Calibri" w:cs="Calibri"/>
          <w:b/>
          <w:bCs/>
          <w:color w:val="41505F"/>
          <w:sz w:val="16"/>
          <w:szCs w:val="16"/>
        </w:rPr>
        <w:t>Fig. 3.  The Expo web client running against the live Express API during functional verification (Sec. VIII), captured straight from the running deployment.</w:t>
      </w:r>
    </w:p>
    <w:p w14:paraId="46AF3123" w14:textId="77777777" w:rsidR="00DA3D1D" w:rsidRDefault="00F22469">
      <w:pPr>
        <w:pStyle w:val="Heading1"/>
        <w:spacing w:before="320" w:after="120"/>
      </w:pPr>
      <w:r>
        <w:rPr>
          <w:rFonts w:ascii="Consolas" w:eastAsia="Consolas" w:hAnsi="Consolas" w:cs="Consolas"/>
          <w:color w:val="0E7C86"/>
          <w:sz w:val="22"/>
          <w:szCs w:val="22"/>
        </w:rPr>
        <w:t xml:space="preserve">IX  </w:t>
      </w:r>
      <w:r>
        <w:t>Limitations and Future Work</w:t>
      </w:r>
    </w:p>
    <w:p w14:paraId="49FCF43D" w14:textId="77777777" w:rsidR="00DA3D1D" w:rsidRDefault="00F22469">
      <w:pPr>
        <w:spacing w:after="160" w:line="300" w:lineRule="auto"/>
        <w:jc w:val="both"/>
      </w:pPr>
      <w:r>
        <w:rPr>
          <w:rFonts w:cs="Georgia"/>
        </w:rPr>
        <w:t>The blood-donor directory is a static, one-time import rather than a live, consent-refreshed feed, so the donors listed are not guaranteed to be current. The thana alias table is put together by hand and is specific to Dhaka, so coverage does not reach the rest of the country yet. The symptom-triage table is fixed and has not been checked against clinical outcomes, so it should stay a decision aid rather than a diagnostic feature if it is ever extended. There is no automated test suite yet, since the verification in Sec. VIII was done by hand, and production deployment is still ahead of us. That includes TLS termination, a managed database, and a stable public domain for PUBLIC_API_URL so that B2-hosted reports and QR links resolve outside the local network. Also still to come are replacing the static donor import with an opt-in feed that is re-verified from time to time, and extending thana coverage beyond Dhaka.</w:t>
      </w:r>
    </w:p>
    <w:p w14:paraId="0832B0EA" w14:textId="77777777" w:rsidR="00DA3D1D" w:rsidRDefault="00F22469">
      <w:pPr>
        <w:pStyle w:val="Heading1"/>
        <w:spacing w:before="320" w:after="120"/>
      </w:pPr>
      <w:r>
        <w:rPr>
          <w:rFonts w:ascii="Consolas" w:eastAsia="Consolas" w:hAnsi="Consolas" w:cs="Consolas"/>
          <w:color w:val="0E7C86"/>
          <w:sz w:val="22"/>
          <w:szCs w:val="22"/>
        </w:rPr>
        <w:t xml:space="preserve">X  </w:t>
      </w:r>
      <w:r>
        <w:t>Conclusion</w:t>
      </w:r>
    </w:p>
    <w:p w14:paraId="1BB9B1F0" w14:textId="77777777" w:rsidR="00DA3D1D" w:rsidRDefault="00F22469">
      <w:pPr>
        <w:spacing w:after="160" w:line="300" w:lineRule="auto"/>
        <w:jc w:val="both"/>
      </w:pPr>
      <w:r>
        <w:rPr>
          <w:rFonts w:cs="Georgia"/>
        </w:rPr>
        <w:t>AmarCure shows that a patient-owned health record, a hashed and expiring emergency-access mechanism, delegated family access with a full audit trail, and location-precise blood-donor discovery can all be built as one coherent mobile app on an ordinary Expo, Express, and MySQL stack, with no need for hospital-system integration. The architecture keeps every credentialed dependency behind a single API gateway, and the token and hashing choices all follow established, citable practice rather than ad hoc design. The functional verification in Sec. VIII confirms that the core flows work end-to-end against real infrastructure, and the limitations in Sec. IX lay out what still stands between this project and a system ready for real users: a live donor feed, automated tests, and a production deployment.</w:t>
      </w:r>
    </w:p>
    <w:p w14:paraId="2E30CD5D" w14:textId="77777777" w:rsidR="00D30629" w:rsidRDefault="00D30629" w:rsidP="00D30629">
      <w:pPr>
        <w:pBdr>
          <w:top w:val="single" w:sz="2" w:space="0" w:color="F4F2EC"/>
          <w:left w:val="single" w:sz="12" w:space="0" w:color="D3CEC1"/>
          <w:bottom w:val="single" w:sz="2" w:space="0" w:color="F4F2EC"/>
          <w:right w:val="single" w:sz="2" w:space="0" w:color="F4F2EC"/>
        </w:pBdr>
        <w:shd w:val="clear" w:color="auto" w:fill="F4F2EC"/>
        <w:spacing w:before="200" w:after="120" w:line="288" w:lineRule="auto"/>
        <w:jc w:val="both"/>
      </w:pPr>
      <w:r>
        <w:rPr>
          <w:rFonts w:cs="Georgia"/>
          <w:b/>
          <w:bCs/>
          <w:i/>
          <w:iCs/>
          <w:sz w:val="18"/>
          <w:szCs w:val="18"/>
        </w:rPr>
        <w:t xml:space="preserve">Acknowledgment.  </w:t>
      </w:r>
      <w:r>
        <w:rPr>
          <w:rFonts w:cs="Georgia"/>
          <w:i/>
          <w:iCs/>
          <w:sz w:val="18"/>
          <w:szCs w:val="18"/>
        </w:rPr>
        <w:t xml:space="preserve">The authors thank their supervisor, Mohammad Shifat-E-Rabbi, for guidance throughout this project. Development made use of </w:t>
      </w:r>
      <w:proofErr w:type="spellStart"/>
      <w:r>
        <w:rPr>
          <w:rFonts w:cs="Georgia"/>
          <w:i/>
          <w:iCs/>
          <w:sz w:val="18"/>
          <w:szCs w:val="18"/>
          <w:lang w:val="en-US"/>
        </w:rPr>
        <w:t>claude</w:t>
      </w:r>
      <w:proofErr w:type="spellEnd"/>
      <w:r>
        <w:rPr>
          <w:rFonts w:cs="Georgia"/>
          <w:i/>
          <w:iCs/>
          <w:sz w:val="18"/>
          <w:szCs w:val="18"/>
          <w:lang w:val="en-US"/>
        </w:rPr>
        <w:t xml:space="preserve"> </w:t>
      </w:r>
      <w:r>
        <w:rPr>
          <w:rFonts w:cs="Georgia"/>
          <w:i/>
          <w:iCs/>
          <w:sz w:val="18"/>
          <w:szCs w:val="18"/>
        </w:rPr>
        <w:t>as an AI coding assistant</w:t>
      </w:r>
      <w:r>
        <w:rPr>
          <w:rFonts w:cs="Georgia"/>
          <w:i/>
          <w:iCs/>
          <w:sz w:val="18"/>
          <w:szCs w:val="18"/>
          <w:lang w:val="en-US"/>
        </w:rPr>
        <w:t>.A</w:t>
      </w:r>
      <w:r>
        <w:rPr>
          <w:rFonts w:cs="Georgia"/>
          <w:i/>
          <w:iCs/>
          <w:sz w:val="18"/>
          <w:szCs w:val="18"/>
        </w:rPr>
        <w:t>uthors take full responsibility for its accuracy.</w:t>
      </w:r>
    </w:p>
    <w:p w14:paraId="240CBDF4" w14:textId="77777777" w:rsidR="00DA3D1D" w:rsidRDefault="00F22469">
      <w:pPr>
        <w:pStyle w:val="Heading1"/>
        <w:spacing w:before="320" w:after="120"/>
      </w:pPr>
      <w:r>
        <w:t>References</w:t>
      </w:r>
    </w:p>
    <w:p w14:paraId="17DFFB21" w14:textId="77777777" w:rsidR="00DA3D1D" w:rsidRDefault="00F22469">
      <w:pPr>
        <w:spacing w:after="120" w:line="264" w:lineRule="auto"/>
        <w:ind w:left="560" w:hanging="560"/>
      </w:pPr>
      <w:r>
        <w:rPr>
          <w:rFonts w:ascii="Consolas" w:eastAsia="Consolas" w:hAnsi="Consolas" w:cs="Consolas"/>
          <w:b/>
          <w:bCs/>
          <w:color w:val="0E7C86"/>
          <w:sz w:val="17"/>
          <w:szCs w:val="17"/>
        </w:rPr>
        <w:lastRenderedPageBreak/>
        <w:t xml:space="preserve">[1]  </w:t>
      </w:r>
      <w:r>
        <w:rPr>
          <w:sz w:val="18"/>
          <w:szCs w:val="18"/>
        </w:rPr>
        <w:t xml:space="preserve">C. Tang, J. Ash, D. Bates, M. Overhage, and D. Sands, "Personal health records: definitions, benefits, and strategies for overcoming barriers to adoption," </w:t>
      </w:r>
      <w:r>
        <w:rPr>
          <w:i/>
          <w:iCs/>
          <w:sz w:val="18"/>
          <w:szCs w:val="18"/>
        </w:rPr>
        <w:t>J. Am. Med. Inform. Assoc.</w:t>
      </w:r>
      <w:r>
        <w:rPr>
          <w:sz w:val="18"/>
          <w:szCs w:val="18"/>
        </w:rPr>
        <w:t>, vol. 13, no. 2, pp. 121–126, 2006.</w:t>
      </w:r>
    </w:p>
    <w:p w14:paraId="06B1F164" w14:textId="77777777" w:rsidR="00DA3D1D" w:rsidRDefault="00F22469">
      <w:pPr>
        <w:spacing w:after="120" w:line="264" w:lineRule="auto"/>
        <w:ind w:left="560" w:hanging="560"/>
      </w:pPr>
      <w:r>
        <w:rPr>
          <w:rFonts w:ascii="Consolas" w:eastAsia="Consolas" w:hAnsi="Consolas" w:cs="Consolas"/>
          <w:b/>
          <w:bCs/>
          <w:color w:val="0E7C86"/>
          <w:sz w:val="17"/>
          <w:szCs w:val="17"/>
        </w:rPr>
        <w:t xml:space="preserve">[2]  </w:t>
      </w:r>
      <w:r>
        <w:rPr>
          <w:sz w:val="18"/>
          <w:szCs w:val="18"/>
        </w:rPr>
        <w:t xml:space="preserve">World Health Organization, </w:t>
      </w:r>
      <w:r>
        <w:rPr>
          <w:i/>
          <w:iCs/>
          <w:sz w:val="18"/>
          <w:szCs w:val="18"/>
        </w:rPr>
        <w:t>mHealth: New Horizons for Health through Mobile Technologies</w:t>
      </w:r>
      <w:r>
        <w:rPr>
          <w:sz w:val="18"/>
          <w:szCs w:val="18"/>
        </w:rPr>
        <w:t>, Global Observatory for eHealth series, vol. 3. Geneva, Switzerland: WHO Press, 2011.</w:t>
      </w:r>
    </w:p>
    <w:p w14:paraId="738638FB" w14:textId="77777777" w:rsidR="00DA3D1D" w:rsidRDefault="00F22469">
      <w:pPr>
        <w:spacing w:after="120" w:line="264" w:lineRule="auto"/>
        <w:ind w:left="560" w:hanging="560"/>
      </w:pPr>
      <w:r>
        <w:rPr>
          <w:rFonts w:ascii="Consolas" w:eastAsia="Consolas" w:hAnsi="Consolas" w:cs="Consolas"/>
          <w:b/>
          <w:bCs/>
          <w:color w:val="0E7C86"/>
          <w:sz w:val="17"/>
          <w:szCs w:val="17"/>
        </w:rPr>
        <w:t xml:space="preserve">[3]  </w:t>
      </w:r>
      <w:r>
        <w:rPr>
          <w:sz w:val="18"/>
          <w:szCs w:val="18"/>
        </w:rPr>
        <w:t xml:space="preserve">A. Biryukov, D. Dinu, and D. Khovratovich, "Argon2: New generation of memory-hard functions for password hashing and other applications," in </w:t>
      </w:r>
      <w:r>
        <w:rPr>
          <w:i/>
          <w:iCs/>
          <w:sz w:val="18"/>
          <w:szCs w:val="18"/>
        </w:rPr>
        <w:t>Proc. IEEE Eur. Symp. Security and Privacy (EuroS&amp;P)</w:t>
      </w:r>
      <w:r>
        <w:rPr>
          <w:sz w:val="18"/>
          <w:szCs w:val="18"/>
        </w:rPr>
        <w:t>, Saarbrücken, Germany, 2016, pp. 292–302.</w:t>
      </w:r>
    </w:p>
    <w:p w14:paraId="7F44E31A" w14:textId="77777777" w:rsidR="00DA3D1D" w:rsidRDefault="00F22469">
      <w:pPr>
        <w:spacing w:after="120" w:line="264" w:lineRule="auto"/>
        <w:ind w:left="560" w:hanging="560"/>
      </w:pPr>
      <w:r>
        <w:rPr>
          <w:rFonts w:ascii="Consolas" w:eastAsia="Consolas" w:hAnsi="Consolas" w:cs="Consolas"/>
          <w:b/>
          <w:bCs/>
          <w:color w:val="0E7C86"/>
          <w:sz w:val="17"/>
          <w:szCs w:val="17"/>
        </w:rPr>
        <w:t xml:space="preserve">[4]  </w:t>
      </w:r>
      <w:r>
        <w:rPr>
          <w:sz w:val="18"/>
          <w:szCs w:val="18"/>
        </w:rPr>
        <w:t>OWASP Foundation, "Password Storage Cheat Sheet," OWASP Cheat Sheet Series. [Online]. Available: cheatsheetseries.owasp.org (accessed Aug. 30, 2026).</w:t>
      </w:r>
    </w:p>
    <w:p w14:paraId="10C94845" w14:textId="77777777" w:rsidR="00DA3D1D" w:rsidRDefault="00F22469">
      <w:pPr>
        <w:spacing w:after="120" w:line="264" w:lineRule="auto"/>
        <w:ind w:left="560" w:hanging="560"/>
      </w:pPr>
      <w:r>
        <w:rPr>
          <w:rFonts w:ascii="Consolas" w:eastAsia="Consolas" w:hAnsi="Consolas" w:cs="Consolas"/>
          <w:b/>
          <w:bCs/>
          <w:color w:val="0E7C86"/>
          <w:sz w:val="17"/>
          <w:szCs w:val="17"/>
        </w:rPr>
        <w:t xml:space="preserve">[5]  </w:t>
      </w:r>
      <w:r>
        <w:rPr>
          <w:sz w:val="18"/>
          <w:szCs w:val="18"/>
        </w:rPr>
        <w:t>M. Jones, J. Bradley, and N. Sakimura, "JSON Web Token (JWT)," IETF RFC 7519, May 2015.</w:t>
      </w:r>
    </w:p>
    <w:p w14:paraId="14E6413B" w14:textId="77777777" w:rsidR="00DA3D1D" w:rsidRDefault="00F22469">
      <w:pPr>
        <w:spacing w:after="120" w:line="264" w:lineRule="auto"/>
        <w:ind w:left="560" w:hanging="560"/>
      </w:pPr>
      <w:r>
        <w:rPr>
          <w:rFonts w:ascii="Consolas" w:eastAsia="Consolas" w:hAnsi="Consolas" w:cs="Consolas"/>
          <w:b/>
          <w:bCs/>
          <w:color w:val="0E7C86"/>
          <w:sz w:val="17"/>
          <w:szCs w:val="17"/>
        </w:rPr>
        <w:t xml:space="preserve">[6]  </w:t>
      </w:r>
      <w:r>
        <w:rPr>
          <w:sz w:val="18"/>
          <w:szCs w:val="18"/>
        </w:rPr>
        <w:t>OpenStreetMap Foundation, "Nominatim." [Online]. Available: nominatim.org (accessed Aug. 30, 2026).</w:t>
      </w:r>
    </w:p>
    <w:p w14:paraId="606136D2" w14:textId="77777777" w:rsidR="00DA3D1D" w:rsidRDefault="00F22469">
      <w:pPr>
        <w:spacing w:after="120" w:line="264" w:lineRule="auto"/>
        <w:ind w:left="560" w:hanging="560"/>
      </w:pPr>
      <w:r>
        <w:rPr>
          <w:rFonts w:ascii="Consolas" w:eastAsia="Consolas" w:hAnsi="Consolas" w:cs="Consolas"/>
          <w:b/>
          <w:bCs/>
          <w:color w:val="0E7C86"/>
          <w:sz w:val="17"/>
          <w:szCs w:val="17"/>
        </w:rPr>
        <w:t xml:space="preserve">[7]  </w:t>
      </w:r>
      <w:r>
        <w:rPr>
          <w:sz w:val="18"/>
          <w:szCs w:val="18"/>
        </w:rPr>
        <w:t>OpenStreetMap Foundation, "Overpass API," OSM Wiki. [Online]. Available: wiki.openstreetmap.org/wiki/Overpass_API (accessed Aug. 30, 2026).</w:t>
      </w:r>
    </w:p>
    <w:p w14:paraId="0C80ED96" w14:textId="77777777" w:rsidR="00DA3D1D" w:rsidRDefault="00F22469">
      <w:pPr>
        <w:spacing w:after="120" w:line="264" w:lineRule="auto"/>
        <w:ind w:left="560" w:hanging="560"/>
      </w:pPr>
      <w:r>
        <w:rPr>
          <w:rFonts w:ascii="Consolas" w:eastAsia="Consolas" w:hAnsi="Consolas" w:cs="Consolas"/>
          <w:b/>
          <w:bCs/>
          <w:color w:val="0E7C86"/>
          <w:sz w:val="17"/>
          <w:szCs w:val="17"/>
        </w:rPr>
        <w:t xml:space="preserve">[8]  </w:t>
      </w:r>
      <w:r>
        <w:rPr>
          <w:sz w:val="18"/>
          <w:szCs w:val="18"/>
        </w:rPr>
        <w:t>Expo (650 Industries, Inc.), "Expo Documentation." [Online]. Available: docs.expo.dev (accessed Aug. 30, 2026).</w:t>
      </w:r>
    </w:p>
    <w:p w14:paraId="4927380F" w14:textId="77777777" w:rsidR="00DA3D1D" w:rsidRDefault="00F22469">
      <w:pPr>
        <w:spacing w:after="120" w:line="264" w:lineRule="auto"/>
        <w:ind w:left="560" w:hanging="560"/>
      </w:pPr>
      <w:r>
        <w:rPr>
          <w:rFonts w:ascii="Consolas" w:eastAsia="Consolas" w:hAnsi="Consolas" w:cs="Consolas"/>
          <w:b/>
          <w:bCs/>
          <w:color w:val="0E7C86"/>
          <w:sz w:val="17"/>
          <w:szCs w:val="17"/>
        </w:rPr>
        <w:t xml:space="preserve">[9]  </w:t>
      </w:r>
      <w:r>
        <w:rPr>
          <w:sz w:val="18"/>
          <w:szCs w:val="18"/>
        </w:rPr>
        <w:t>Meta Platforms, Inc., "React Native Documentation." [Online]. Available: reactnative.dev (accessed Aug. 30, 2026).</w:t>
      </w:r>
    </w:p>
    <w:p w14:paraId="009E6381" w14:textId="77777777" w:rsidR="00DA3D1D" w:rsidRDefault="00F22469">
      <w:pPr>
        <w:spacing w:after="120" w:line="264" w:lineRule="auto"/>
        <w:ind w:left="560" w:hanging="560"/>
      </w:pPr>
      <w:r>
        <w:rPr>
          <w:rFonts w:ascii="Consolas" w:eastAsia="Consolas" w:hAnsi="Consolas" w:cs="Consolas"/>
          <w:b/>
          <w:bCs/>
          <w:color w:val="0E7C86"/>
          <w:sz w:val="17"/>
          <w:szCs w:val="17"/>
        </w:rPr>
        <w:t xml:space="preserve">[10]  </w:t>
      </w:r>
      <w:r>
        <w:rPr>
          <w:sz w:val="18"/>
          <w:szCs w:val="18"/>
        </w:rPr>
        <w:t>Amazon Web Services, "AWS SDK for JavaScript v3 — Amazon S3 Client." [Online]. Available: docs.aws.amazon.com/AmazonS3 (accessed Aug. 30, 2026).</w:t>
      </w:r>
    </w:p>
    <w:p w14:paraId="575C0D59" w14:textId="77777777" w:rsidR="00DA3D1D" w:rsidRDefault="00F22469">
      <w:pPr>
        <w:spacing w:after="120" w:line="264" w:lineRule="auto"/>
        <w:ind w:left="560" w:hanging="560"/>
      </w:pPr>
      <w:r>
        <w:rPr>
          <w:rFonts w:ascii="Consolas" w:eastAsia="Consolas" w:hAnsi="Consolas" w:cs="Consolas"/>
          <w:b/>
          <w:bCs/>
          <w:color w:val="0E7C86"/>
          <w:sz w:val="17"/>
          <w:szCs w:val="17"/>
        </w:rPr>
        <w:t xml:space="preserve">[11]  </w:t>
      </w:r>
      <w:r>
        <w:rPr>
          <w:sz w:val="18"/>
          <w:szCs w:val="18"/>
        </w:rPr>
        <w:t>Backblaze, Inc., "B2 Cloud Storage S3-Compatible API." [Online]. Available: backblaze.com/docs (accessed Aug. 30, 2026).</w:t>
      </w:r>
    </w:p>
    <w:p w14:paraId="01790619" w14:textId="77777777" w:rsidR="00DA3D1D" w:rsidRDefault="00F22469">
      <w:pPr>
        <w:spacing w:after="120" w:line="264" w:lineRule="auto"/>
        <w:ind w:left="560" w:hanging="560"/>
      </w:pPr>
      <w:r>
        <w:rPr>
          <w:rFonts w:ascii="Consolas" w:eastAsia="Consolas" w:hAnsi="Consolas" w:cs="Consolas"/>
          <w:b/>
          <w:bCs/>
          <w:color w:val="0E7C86"/>
          <w:sz w:val="17"/>
          <w:szCs w:val="17"/>
        </w:rPr>
        <w:t xml:space="preserve">[12]  </w:t>
      </w:r>
      <w:r>
        <w:rPr>
          <w:sz w:val="18"/>
          <w:szCs w:val="18"/>
        </w:rPr>
        <w:t>OpenJS Foundation, "Express.js Documentation." [Online]. Available: expressjs.com (accessed Aug. 30, 2026).</w:t>
      </w:r>
    </w:p>
    <w:sectPr w:rsidR="00DA3D1D">
      <w:headerReference w:type="default" r:id="rId8"/>
      <w:footerReference w:type="default" r:id="rId9"/>
      <w:pgSz w:w="11906" w:h="16838"/>
      <w:pgMar w:top="1080" w:right="1200" w:bottom="108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B2ED7" w14:textId="77777777" w:rsidR="00F22469" w:rsidRDefault="00F22469">
      <w:r>
        <w:separator/>
      </w:r>
    </w:p>
  </w:endnote>
  <w:endnote w:type="continuationSeparator" w:id="0">
    <w:p w14:paraId="5C2EB04E" w14:textId="77777777" w:rsidR="00F22469" w:rsidRDefault="00F224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0CD9A" w14:textId="77777777" w:rsidR="00DA3D1D" w:rsidRDefault="00F22469">
    <w:pPr>
      <w:pBdr>
        <w:top w:val="single" w:sz="4" w:space="0" w:color="D3CEC1"/>
      </w:pBdr>
      <w:spacing w:before="40"/>
      <w:jc w:val="right"/>
    </w:pPr>
    <w:r>
      <w:rPr>
        <w:rFonts w:ascii="Calibri" w:eastAsia="Calibri" w:hAnsi="Calibri" w:cs="Calibri"/>
        <w:color w:val="6A7686"/>
        <w:sz w:val="15"/>
        <w:szCs w:val="15"/>
      </w:rPr>
      <w:t xml:space="preserve">Page </w:t>
    </w:r>
    <w:r>
      <w:rPr>
        <w:rFonts w:ascii="Calibri" w:eastAsia="Calibri" w:hAnsi="Calibri" w:cs="Calibri"/>
        <w:color w:val="6A7686"/>
        <w:sz w:val="15"/>
        <w:szCs w:val="15"/>
      </w:rPr>
      <w:fldChar w:fldCharType="begin"/>
    </w:r>
    <w:r>
      <w:rPr>
        <w:rFonts w:ascii="Calibri" w:eastAsia="Calibri" w:hAnsi="Calibri" w:cs="Calibri"/>
        <w:color w:val="6A7686"/>
        <w:sz w:val="15"/>
        <w:szCs w:val="15"/>
      </w:rPr>
      <w:instrText>PAGE</w:instrText>
    </w:r>
    <w:r>
      <w:rPr>
        <w:rFonts w:ascii="Calibri" w:eastAsia="Calibri" w:hAnsi="Calibri" w:cs="Calibri"/>
        <w:color w:val="6A7686"/>
        <w:sz w:val="15"/>
        <w:szCs w:val="15"/>
      </w:rPr>
      <w:fldChar w:fldCharType="separate"/>
    </w:r>
    <w:r w:rsidR="00D30629">
      <w:rPr>
        <w:rFonts w:ascii="Calibri" w:eastAsia="Calibri" w:hAnsi="Calibri" w:cs="Calibri"/>
        <w:noProof/>
        <w:color w:val="6A7686"/>
        <w:sz w:val="15"/>
        <w:szCs w:val="15"/>
      </w:rPr>
      <w:t>1</w:t>
    </w:r>
    <w:r>
      <w:rPr>
        <w:rFonts w:ascii="Calibri" w:eastAsia="Calibri" w:hAnsi="Calibri" w:cs="Calibri"/>
        <w:color w:val="6A768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7B19B7" w14:textId="77777777" w:rsidR="00F22469" w:rsidRDefault="00F22469">
      <w:r>
        <w:separator/>
      </w:r>
    </w:p>
  </w:footnote>
  <w:footnote w:type="continuationSeparator" w:id="0">
    <w:p w14:paraId="438000E8" w14:textId="77777777" w:rsidR="00F22469" w:rsidRDefault="00F224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B42897" w14:textId="77777777" w:rsidR="00DA3D1D" w:rsidRDefault="00F22469">
    <w:pPr>
      <w:pBdr>
        <w:bottom w:val="single" w:sz="4" w:space="0" w:color="D3CEC1"/>
      </w:pBdr>
      <w:spacing w:after="40"/>
    </w:pPr>
    <w:r>
      <w:rPr>
        <w:rFonts w:ascii="Calibri" w:eastAsia="Calibri" w:hAnsi="Calibri" w:cs="Calibri"/>
        <w:color w:val="6A7686"/>
        <w:sz w:val="15"/>
        <w:szCs w:val="15"/>
      </w:rPr>
      <w:t>AmarCure — CSE299 Junior Design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74005E"/>
    <w:multiLevelType w:val="hybridMultilevel"/>
    <w:tmpl w:val="9B3E1D56"/>
    <w:lvl w:ilvl="0" w:tplc="B7443608">
      <w:start w:val="1"/>
      <w:numFmt w:val="bullet"/>
      <w:lvlText w:val="●"/>
      <w:lvlJc w:val="left"/>
      <w:pPr>
        <w:ind w:left="720" w:hanging="360"/>
      </w:pPr>
    </w:lvl>
    <w:lvl w:ilvl="1" w:tplc="53EC0B8C">
      <w:start w:val="1"/>
      <w:numFmt w:val="bullet"/>
      <w:lvlText w:val="○"/>
      <w:lvlJc w:val="left"/>
      <w:pPr>
        <w:ind w:left="1440" w:hanging="360"/>
      </w:pPr>
    </w:lvl>
    <w:lvl w:ilvl="2" w:tplc="5FC6BD9A">
      <w:start w:val="1"/>
      <w:numFmt w:val="bullet"/>
      <w:lvlText w:val="■"/>
      <w:lvlJc w:val="left"/>
      <w:pPr>
        <w:ind w:left="2160" w:hanging="360"/>
      </w:pPr>
    </w:lvl>
    <w:lvl w:ilvl="3" w:tplc="68587A0A">
      <w:start w:val="1"/>
      <w:numFmt w:val="bullet"/>
      <w:lvlText w:val="●"/>
      <w:lvlJc w:val="left"/>
      <w:pPr>
        <w:ind w:left="2880" w:hanging="360"/>
      </w:pPr>
    </w:lvl>
    <w:lvl w:ilvl="4" w:tplc="32B6C82A">
      <w:start w:val="1"/>
      <w:numFmt w:val="bullet"/>
      <w:lvlText w:val="○"/>
      <w:lvlJc w:val="left"/>
      <w:pPr>
        <w:ind w:left="3600" w:hanging="360"/>
      </w:pPr>
    </w:lvl>
    <w:lvl w:ilvl="5" w:tplc="A7DAFAF6">
      <w:start w:val="1"/>
      <w:numFmt w:val="bullet"/>
      <w:lvlText w:val="■"/>
      <w:lvlJc w:val="left"/>
      <w:pPr>
        <w:ind w:left="4320" w:hanging="360"/>
      </w:pPr>
    </w:lvl>
    <w:lvl w:ilvl="6" w:tplc="6E44917E">
      <w:start w:val="1"/>
      <w:numFmt w:val="bullet"/>
      <w:lvlText w:val="●"/>
      <w:lvlJc w:val="left"/>
      <w:pPr>
        <w:ind w:left="5040" w:hanging="360"/>
      </w:pPr>
    </w:lvl>
    <w:lvl w:ilvl="7" w:tplc="24C29D48">
      <w:start w:val="1"/>
      <w:numFmt w:val="bullet"/>
      <w:lvlText w:val="●"/>
      <w:lvlJc w:val="left"/>
      <w:pPr>
        <w:ind w:left="5760" w:hanging="360"/>
      </w:pPr>
    </w:lvl>
    <w:lvl w:ilvl="8" w:tplc="60D8D09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D1D"/>
    <w:rsid w:val="00951B00"/>
    <w:rsid w:val="00D30629"/>
    <w:rsid w:val="00DA3D1D"/>
    <w:rsid w:val="00F22469"/>
    <w:rsid w:val="00F56E1A"/>
  </w:rsids>
  <m:mathPr>
    <m:mathFont m:val="Cambria Math"/>
    <m:brkBin m:val="before"/>
    <m:brkBinSub m:val="--"/>
    <m:smallFrac m:val="0"/>
    <m:dispDef/>
    <m:lMargin m:val="0"/>
    <m:rMargin m:val="0"/>
    <m:defJc m:val="centerGroup"/>
    <m:wrapIndent m:val="1440"/>
    <m:intLim m:val="subSup"/>
    <m:naryLim m:val="undOvr"/>
  </m:mathPr>
  <w:themeFontLang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ADD08"/>
  <w15:docId w15:val="{825EFF93-A210-5B4D-A556-5B997AF3B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color w:val="1B2430"/>
        <w:sz w:val="21"/>
        <w:szCs w:val="21"/>
        <w:lang w:eastAsia="en-GB"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outlineLvl w:val="0"/>
    </w:pPr>
    <w:rPr>
      <w:b/>
      <w:bCs/>
      <w:sz w:val="27"/>
      <w:szCs w:val="27"/>
    </w:rPr>
  </w:style>
  <w:style w:type="paragraph" w:styleId="Heading2">
    <w:name w:val="heading 2"/>
    <w:uiPriority w:val="9"/>
    <w:unhideWhenUsed/>
    <w:qFormat/>
    <w:pPr>
      <w:outlineLvl w:val="1"/>
    </w:pPr>
    <w:rPr>
      <w:b/>
      <w:bCs/>
      <w:i/>
      <w:iCs/>
      <w:color w:val="0B3D67"/>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3108</Words>
  <Characters>17718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Tanvir Miraz</cp:lastModifiedBy>
  <cp:revision>2</cp:revision>
  <dcterms:created xsi:type="dcterms:W3CDTF">2026-08-30T17:49:00Z</dcterms:created>
  <dcterms:modified xsi:type="dcterms:W3CDTF">2026-08-30T17:49:00Z</dcterms:modified>
</cp:coreProperties>
</file>