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E6FA5" w14:textId="77777777" w:rsidR="000A165A" w:rsidRPr="00214E88" w:rsidRDefault="00000000">
      <w:pPr>
        <w:spacing w:before="480" w:after="120"/>
        <w:jc w:val="center"/>
        <w:rPr>
          <w:color w:val="000000" w:themeColor="text1"/>
        </w:rPr>
      </w:pPr>
      <w:r w:rsidRPr="00214E88">
        <w:rPr>
          <w:b/>
          <w:bCs/>
          <w:color w:val="000000" w:themeColor="text1"/>
          <w:sz w:val="52"/>
          <w:szCs w:val="52"/>
        </w:rPr>
        <w:t>NHS Diagnostic Analysis</w:t>
      </w:r>
    </w:p>
    <w:p w14:paraId="1BFDB34F" w14:textId="77777777" w:rsidR="000A165A" w:rsidRPr="00214E88" w:rsidRDefault="00000000">
      <w:pPr>
        <w:spacing w:after="80"/>
        <w:jc w:val="center"/>
        <w:rPr>
          <w:color w:val="4C94D8" w:themeColor="text2" w:themeTint="80"/>
        </w:rPr>
      </w:pPr>
      <w:r w:rsidRPr="00214E88">
        <w:rPr>
          <w:color w:val="4C94D8" w:themeColor="text2" w:themeTint="80"/>
          <w:sz w:val="32"/>
          <w:szCs w:val="32"/>
        </w:rPr>
        <w:t>Findings &amp; Recommendations Report</w:t>
      </w:r>
    </w:p>
    <w:p w14:paraId="7EEE3A93" w14:textId="77777777" w:rsidR="000A165A" w:rsidRDefault="00000000">
      <w:pPr>
        <w:pStyle w:val="Heading1"/>
      </w:pPr>
      <w:r>
        <w:t>Executive Summary</w:t>
      </w:r>
    </w:p>
    <w:p w14:paraId="144A15DC" w14:textId="77777777" w:rsidR="000A165A" w:rsidRDefault="00000000">
      <w:pPr>
        <w:spacing w:after="120"/>
      </w:pPr>
      <w:r>
        <w:t>This report presents findings from a diagnostic analysis of NHS appointment data across three datasets: actual duration (ad), regional appointments (</w:t>
      </w:r>
      <w:proofErr w:type="spellStart"/>
      <w:r>
        <w:t>ar</w:t>
      </w:r>
      <w:proofErr w:type="spellEnd"/>
      <w:r>
        <w:t>), and national categories (</w:t>
      </w:r>
      <w:proofErr w:type="spellStart"/>
      <w:r>
        <w:t>nc</w:t>
      </w:r>
      <w:proofErr w:type="spellEnd"/>
      <w:r>
        <w:t xml:space="preserve">). The analysis covers the period January 2020 – June 2022 and encompasses over 106 sub-ICB locations across 7 NHS regions and 42 Integrated Care Boards. Key themes include the COVID-19 impact on appointment volumes and modes, resource </w:t>
      </w:r>
      <w:proofErr w:type="spellStart"/>
      <w:r>
        <w:t>utilisation</w:t>
      </w:r>
      <w:proofErr w:type="spellEnd"/>
      <w:r>
        <w:t>, attendance patterns, and seasonal demand trends.</w:t>
      </w:r>
    </w:p>
    <w:p w14:paraId="54C69E6B" w14:textId="77777777" w:rsidR="00842658" w:rsidRDefault="00842658" w:rsidP="00842658">
      <w:pPr>
        <w:pStyle w:val="Heading1"/>
        <w:pBdr>
          <w:bottom w:val="single" w:sz="6" w:space="1" w:color="185FA5"/>
        </w:pBdr>
      </w:pPr>
      <w:r>
        <w:rPr>
          <w:color w:val="0C447C"/>
          <w:sz w:val="28"/>
          <w:szCs w:val="28"/>
        </w:rPr>
        <w:t>1. Introduction</w:t>
      </w:r>
    </w:p>
    <w:p w14:paraId="62B859D9" w14:textId="4262BDE9" w:rsidR="00842658" w:rsidRDefault="00842658" w:rsidP="00842658">
      <w:pPr>
        <w:spacing w:after="100"/>
        <w:jc w:val="both"/>
      </w:pPr>
      <w:r>
        <w:rPr>
          <w:color w:val="2C2C2A"/>
          <w:sz w:val="22"/>
          <w:szCs w:val="22"/>
        </w:rPr>
        <w:t xml:space="preserve">The National Health Service (NHS) faces increasing pressure to </w:t>
      </w:r>
      <w:proofErr w:type="spellStart"/>
      <w:r>
        <w:rPr>
          <w:color w:val="2C2C2A"/>
          <w:sz w:val="22"/>
          <w:szCs w:val="22"/>
        </w:rPr>
        <w:t>optimise</w:t>
      </w:r>
      <w:proofErr w:type="spellEnd"/>
      <w:r>
        <w:rPr>
          <w:color w:val="2C2C2A"/>
          <w:sz w:val="22"/>
          <w:szCs w:val="22"/>
        </w:rPr>
        <w:t xml:space="preserve"> appointment capacity across primary care settings. This report documents the analytical approach, methodology, results, and conclusions of a diagnostic analysis conducted on three NHS datasets covering January 2020 to June 2022. The primary objective was to assess whether current NHS capacity is adequate and how resources are being </w:t>
      </w:r>
      <w:proofErr w:type="spellStart"/>
      <w:r>
        <w:rPr>
          <w:color w:val="2C2C2A"/>
          <w:sz w:val="22"/>
          <w:szCs w:val="22"/>
        </w:rPr>
        <w:t>utilised</w:t>
      </w:r>
      <w:proofErr w:type="spellEnd"/>
      <w:r>
        <w:rPr>
          <w:color w:val="2C2C2A"/>
          <w:sz w:val="22"/>
          <w:szCs w:val="22"/>
        </w:rPr>
        <w:t xml:space="preserve">, </w:t>
      </w:r>
      <w:r w:rsidR="0098262C">
        <w:rPr>
          <w:color w:val="2C2C2A"/>
          <w:sz w:val="22"/>
          <w:szCs w:val="22"/>
        </w:rPr>
        <w:t>to produce</w:t>
      </w:r>
      <w:r>
        <w:rPr>
          <w:color w:val="2C2C2A"/>
          <w:sz w:val="22"/>
          <w:szCs w:val="22"/>
        </w:rPr>
        <w:t xml:space="preserve"> evidence-based recommendations for operational improvement.</w:t>
      </w:r>
    </w:p>
    <w:p w14:paraId="79356785" w14:textId="77777777" w:rsidR="000A165A" w:rsidRDefault="000A165A">
      <w:pPr>
        <w:spacing w:after="80"/>
      </w:pPr>
    </w:p>
    <w:p w14:paraId="4EBA2A96" w14:textId="36BE633A" w:rsidR="007A0609" w:rsidRDefault="00842658" w:rsidP="007A0609">
      <w:pPr>
        <w:pStyle w:val="Heading1"/>
        <w:pBdr>
          <w:bottom w:val="single" w:sz="6" w:space="1" w:color="185FA5"/>
        </w:pBdr>
      </w:pPr>
      <w:r>
        <w:t>2.</w:t>
      </w:r>
      <w:r w:rsidR="007A0609">
        <w:rPr>
          <w:color w:val="0C447C"/>
          <w:sz w:val="28"/>
          <w:szCs w:val="28"/>
        </w:rPr>
        <w:t xml:space="preserve"> </w:t>
      </w:r>
      <w:r w:rsidR="007A0609" w:rsidRPr="007A0609">
        <w:rPr>
          <w:color w:val="0C447C"/>
        </w:rPr>
        <w:t>Data and Methodology</w:t>
      </w:r>
    </w:p>
    <w:p w14:paraId="10D147EA" w14:textId="0BFD7A3A" w:rsidR="000A165A" w:rsidRDefault="00842658">
      <w:pPr>
        <w:pStyle w:val="Heading1"/>
      </w:pPr>
      <w:r>
        <w:rPr>
          <w:sz w:val="24"/>
          <w:szCs w:val="24"/>
        </w:rPr>
        <w:t>2</w:t>
      </w:r>
      <w:r w:rsidR="007A0609" w:rsidRPr="007A0609">
        <w:rPr>
          <w:sz w:val="24"/>
          <w:szCs w:val="24"/>
        </w:rPr>
        <w:t>.1</w:t>
      </w:r>
      <w:r w:rsidR="007A0609">
        <w:t xml:space="preserve"> </w:t>
      </w:r>
      <w:r w:rsidR="007A0609">
        <w:rPr>
          <w:color w:val="185FA5"/>
          <w:sz w:val="24"/>
          <w:szCs w:val="24"/>
        </w:rPr>
        <w:t>Dataset Overview</w:t>
      </w:r>
    </w:p>
    <w:p w14:paraId="47C09361" w14:textId="77777777" w:rsidR="000A165A" w:rsidRDefault="00000000">
      <w:pPr>
        <w:spacing w:after="120"/>
      </w:pPr>
      <w:r>
        <w:t>Three datasets were used in this analysis:</w:t>
      </w:r>
    </w:p>
    <w:p w14:paraId="41E2D2FE" w14:textId="5823C866" w:rsidR="000A165A" w:rsidRDefault="00000000">
      <w:pPr>
        <w:pStyle w:val="ListParagraph"/>
        <w:numPr>
          <w:ilvl w:val="0"/>
          <w:numId w:val="2"/>
        </w:numPr>
        <w:spacing w:after="80"/>
      </w:pPr>
      <w:r>
        <w:t xml:space="preserve">actual_duration.csv (ad): </w:t>
      </w:r>
    </w:p>
    <w:p w14:paraId="35C5438C" w14:textId="5C62DF77" w:rsidR="000A165A" w:rsidRDefault="00000000">
      <w:pPr>
        <w:pStyle w:val="ListParagraph"/>
        <w:numPr>
          <w:ilvl w:val="0"/>
          <w:numId w:val="2"/>
        </w:numPr>
        <w:spacing w:after="80"/>
      </w:pPr>
      <w:r>
        <w:t>appointments_regional.csv (</w:t>
      </w:r>
      <w:proofErr w:type="spellStart"/>
      <w:r>
        <w:t>ar</w:t>
      </w:r>
      <w:proofErr w:type="spellEnd"/>
      <w:r>
        <w:t xml:space="preserve">): </w:t>
      </w:r>
    </w:p>
    <w:p w14:paraId="5470161E" w14:textId="39E78F98" w:rsidR="000A165A" w:rsidRDefault="00000000" w:rsidP="00B46D02">
      <w:pPr>
        <w:pStyle w:val="ListParagraph"/>
        <w:numPr>
          <w:ilvl w:val="0"/>
          <w:numId w:val="2"/>
        </w:numPr>
        <w:spacing w:after="80"/>
      </w:pPr>
      <w:r>
        <w:t>national_categories.xlsx (</w:t>
      </w:r>
      <w:proofErr w:type="spellStart"/>
      <w:r>
        <w:t>nc</w:t>
      </w:r>
      <w:proofErr w:type="spellEnd"/>
      <w:r>
        <w:t xml:space="preserve">): </w:t>
      </w:r>
    </w:p>
    <w:p w14:paraId="6B0D7202" w14:textId="3A975793" w:rsidR="000A165A" w:rsidRDefault="00000000">
      <w:pPr>
        <w:spacing w:after="120"/>
      </w:pPr>
      <w:r>
        <w:t xml:space="preserve">NHS England is structured across 7 regions, 42 Integrated Care Boards (ICBs), and 106 sub-ICB locations. Duplicate records were identified and removed from the regional dataset </w:t>
      </w:r>
      <w:r w:rsidR="00280078">
        <w:t>before</w:t>
      </w:r>
      <w:r>
        <w:t xml:space="preserve"> analysis.</w:t>
      </w:r>
    </w:p>
    <w:p w14:paraId="46AE9F49" w14:textId="77777777" w:rsidR="00B46D02" w:rsidRDefault="00B46D02" w:rsidP="00B46D02">
      <w:r>
        <w:rPr>
          <w:b/>
          <w:bCs/>
          <w:color w:val="FFFFFF"/>
          <w:sz w:val="20"/>
          <w:szCs w:val="20"/>
        </w:rPr>
        <w:t>Dataset</w:t>
      </w:r>
    </w:p>
    <w:p w14:paraId="0B6C642F" w14:textId="77777777" w:rsidR="0098262C" w:rsidRDefault="00B46D02" w:rsidP="00B46D02">
      <w:pPr>
        <w:rPr>
          <w:b/>
          <w:bCs/>
          <w:color w:val="FFFFFF"/>
          <w:sz w:val="20"/>
          <w:szCs w:val="20"/>
        </w:rPr>
      </w:pPr>
      <w:r>
        <w:rPr>
          <w:b/>
          <w:bCs/>
          <w:color w:val="FFFFFF"/>
          <w:sz w:val="20"/>
          <w:szCs w:val="20"/>
        </w:rPr>
        <w:t>Da</w:t>
      </w:r>
    </w:p>
    <w:p w14:paraId="7842AA78" w14:textId="77777777" w:rsidR="0098262C" w:rsidRDefault="0098262C" w:rsidP="00B46D02">
      <w:pPr>
        <w:rPr>
          <w:b/>
          <w:bCs/>
          <w:color w:val="FFFFFF"/>
          <w:sz w:val="20"/>
          <w:szCs w:val="20"/>
        </w:rPr>
      </w:pPr>
    </w:p>
    <w:p w14:paraId="0A11DB11" w14:textId="77777777" w:rsidR="0098262C" w:rsidRDefault="0098262C" w:rsidP="00B46D02">
      <w:pPr>
        <w:rPr>
          <w:b/>
          <w:bCs/>
          <w:color w:val="FFFFFF"/>
          <w:sz w:val="20"/>
          <w:szCs w:val="20"/>
        </w:rPr>
      </w:pPr>
    </w:p>
    <w:p w14:paraId="304D3C5D" w14:textId="77777777" w:rsidR="0098262C" w:rsidRDefault="0098262C" w:rsidP="00B46D02">
      <w:pPr>
        <w:rPr>
          <w:b/>
          <w:bCs/>
          <w:color w:val="FFFFFF"/>
          <w:sz w:val="20"/>
          <w:szCs w:val="20"/>
        </w:rPr>
      </w:pPr>
    </w:p>
    <w:p w14:paraId="23F9490C" w14:textId="77777777" w:rsidR="0098262C" w:rsidRDefault="0098262C" w:rsidP="00B46D02">
      <w:pPr>
        <w:rPr>
          <w:b/>
          <w:bCs/>
          <w:color w:val="FFFFFF"/>
          <w:sz w:val="20"/>
          <w:szCs w:val="20"/>
        </w:rPr>
      </w:pPr>
    </w:p>
    <w:p w14:paraId="5A541B62" w14:textId="1E1197CD" w:rsidR="00B46D02" w:rsidRDefault="00B46D02" w:rsidP="00B46D02">
      <w:proofErr w:type="spellStart"/>
      <w:r>
        <w:rPr>
          <w:b/>
          <w:bCs/>
          <w:color w:val="FFFFFF"/>
          <w:sz w:val="20"/>
          <w:szCs w:val="20"/>
        </w:rPr>
        <w:t>taset</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100"/>
        <w:gridCol w:w="3000"/>
        <w:gridCol w:w="1726"/>
      </w:tblGrid>
      <w:tr w:rsidR="00B46D02" w14:paraId="77C39843" w14:textId="77777777" w:rsidTr="00C83465">
        <w:tc>
          <w:tcPr>
            <w:tcW w:w="32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2D10A0F9" w14:textId="77777777" w:rsidR="00B46D02" w:rsidRDefault="00B46D02" w:rsidP="00C83465">
            <w:r>
              <w:rPr>
                <w:b/>
                <w:bCs/>
                <w:color w:val="FFFFFF"/>
                <w:sz w:val="20"/>
                <w:szCs w:val="20"/>
              </w:rPr>
              <w:lastRenderedPageBreak/>
              <w:t>Dataset</w:t>
            </w:r>
          </w:p>
        </w:tc>
        <w:tc>
          <w:tcPr>
            <w:tcW w:w="11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71FC3025" w14:textId="77777777" w:rsidR="00B46D02" w:rsidRDefault="00B46D02" w:rsidP="00C83465">
            <w:r>
              <w:rPr>
                <w:b/>
                <w:bCs/>
                <w:color w:val="FFFFFF"/>
                <w:sz w:val="20"/>
                <w:szCs w:val="20"/>
              </w:rPr>
              <w:t>Alias</w:t>
            </w:r>
          </w:p>
        </w:tc>
        <w:tc>
          <w:tcPr>
            <w:tcW w:w="3000"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72CFE46A" w14:textId="77777777" w:rsidR="00B46D02" w:rsidRDefault="00B46D02" w:rsidP="00C83465">
            <w:r>
              <w:rPr>
                <w:b/>
                <w:bCs/>
                <w:color w:val="FFFFFF"/>
                <w:sz w:val="20"/>
                <w:szCs w:val="20"/>
              </w:rPr>
              <w:t>Period</w:t>
            </w:r>
          </w:p>
        </w:tc>
        <w:tc>
          <w:tcPr>
            <w:tcW w:w="1726" w:type="dxa"/>
            <w:tcBorders>
              <w:top w:val="single" w:sz="1" w:space="0" w:color="CCCCCC"/>
              <w:left w:val="single" w:sz="1" w:space="0" w:color="CCCCCC"/>
              <w:bottom w:val="single" w:sz="1" w:space="0" w:color="CCCCCC"/>
              <w:right w:val="single" w:sz="1" w:space="0" w:color="CCCCCC"/>
            </w:tcBorders>
            <w:shd w:val="clear" w:color="auto" w:fill="185FA5"/>
            <w:tcMar>
              <w:top w:w="80" w:type="dxa"/>
              <w:left w:w="120" w:type="dxa"/>
              <w:bottom w:w="80" w:type="dxa"/>
              <w:right w:w="120" w:type="dxa"/>
            </w:tcMar>
          </w:tcPr>
          <w:p w14:paraId="2C7AA2C8" w14:textId="77777777" w:rsidR="00B46D02" w:rsidRDefault="00B46D02" w:rsidP="00C83465">
            <w:r>
              <w:rPr>
                <w:b/>
                <w:bCs/>
                <w:color w:val="FFFFFF"/>
                <w:sz w:val="20"/>
                <w:szCs w:val="20"/>
              </w:rPr>
              <w:t>Type</w:t>
            </w:r>
          </w:p>
        </w:tc>
      </w:tr>
      <w:tr w:rsidR="00B46D02" w14:paraId="11A759D8" w14:textId="77777777" w:rsidTr="00C83465">
        <w:tc>
          <w:tcPr>
            <w:tcW w:w="32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25B538BA" w14:textId="77777777" w:rsidR="00B46D02" w:rsidRDefault="00B46D02" w:rsidP="00C83465">
            <w:r>
              <w:rPr>
                <w:color w:val="2C2C2A"/>
                <w:sz w:val="20"/>
                <w:szCs w:val="20"/>
              </w:rPr>
              <w:t>actual_duration.csv</w:t>
            </w:r>
          </w:p>
        </w:tc>
        <w:tc>
          <w:tcPr>
            <w:tcW w:w="11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344E111C" w14:textId="77777777" w:rsidR="00B46D02" w:rsidRDefault="00B46D02" w:rsidP="00C83465">
            <w:r>
              <w:rPr>
                <w:color w:val="2C2C2A"/>
                <w:sz w:val="20"/>
                <w:szCs w:val="20"/>
              </w:rPr>
              <w:t>ad</w:t>
            </w:r>
          </w:p>
        </w:tc>
        <w:tc>
          <w:tcPr>
            <w:tcW w:w="30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31F33B56" w14:textId="77777777" w:rsidR="00B46D02" w:rsidRDefault="00B46D02" w:rsidP="00C83465">
            <w:r>
              <w:rPr>
                <w:color w:val="2C2C2A"/>
                <w:sz w:val="20"/>
                <w:szCs w:val="20"/>
              </w:rPr>
              <w:t>Dec 2021 – Jun 2022</w:t>
            </w:r>
          </w:p>
        </w:tc>
        <w:tc>
          <w:tcPr>
            <w:tcW w:w="1726"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5B3815C0" w14:textId="77777777" w:rsidR="00B46D02" w:rsidRDefault="00B46D02" w:rsidP="00C83465">
            <w:r>
              <w:rPr>
                <w:color w:val="2C2C2A"/>
                <w:sz w:val="20"/>
                <w:szCs w:val="20"/>
              </w:rPr>
              <w:t>Daily records</w:t>
            </w:r>
          </w:p>
        </w:tc>
      </w:tr>
      <w:tr w:rsidR="00B46D02" w14:paraId="14E49825" w14:textId="77777777" w:rsidTr="00C83465">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E66F1" w14:textId="77777777" w:rsidR="00B46D02" w:rsidRDefault="00B46D02" w:rsidP="00C83465">
            <w:r>
              <w:rPr>
                <w:color w:val="2C2C2A"/>
                <w:sz w:val="20"/>
                <w:szCs w:val="20"/>
              </w:rPr>
              <w:t>appointments_regional.csv</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02395" w14:textId="77777777" w:rsidR="00B46D02" w:rsidRDefault="00B46D02" w:rsidP="00C83465">
            <w:proofErr w:type="spellStart"/>
            <w:r>
              <w:rPr>
                <w:color w:val="2C2C2A"/>
                <w:sz w:val="20"/>
                <w:szCs w:val="20"/>
              </w:rPr>
              <w:t>ar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D20AE3" w14:textId="77777777" w:rsidR="00B46D02" w:rsidRDefault="00B46D02" w:rsidP="00C83465">
            <w:r>
              <w:rPr>
                <w:color w:val="2C2C2A"/>
                <w:sz w:val="20"/>
                <w:szCs w:val="20"/>
              </w:rPr>
              <w:t>Jan 2020 – Jun 2022</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F84E68" w14:textId="77777777" w:rsidR="00B46D02" w:rsidRDefault="00B46D02" w:rsidP="00C83465">
            <w:r>
              <w:rPr>
                <w:color w:val="2C2C2A"/>
                <w:sz w:val="20"/>
                <w:szCs w:val="20"/>
              </w:rPr>
              <w:t>Regional monthly</w:t>
            </w:r>
          </w:p>
        </w:tc>
      </w:tr>
      <w:tr w:rsidR="00B46D02" w14:paraId="36539C12" w14:textId="77777777" w:rsidTr="00C83465">
        <w:tc>
          <w:tcPr>
            <w:tcW w:w="32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20AD7070" w14:textId="77777777" w:rsidR="00B46D02" w:rsidRDefault="00B46D02" w:rsidP="00C83465">
            <w:r>
              <w:rPr>
                <w:color w:val="2C2C2A"/>
                <w:sz w:val="20"/>
                <w:szCs w:val="20"/>
              </w:rPr>
              <w:t>national_categories.xlsx</w:t>
            </w:r>
          </w:p>
        </w:tc>
        <w:tc>
          <w:tcPr>
            <w:tcW w:w="11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38BF423B" w14:textId="77777777" w:rsidR="00B46D02" w:rsidRDefault="00B46D02" w:rsidP="00C83465">
            <w:proofErr w:type="spellStart"/>
            <w:r>
              <w:rPr>
                <w:color w:val="2C2C2A"/>
                <w:sz w:val="20"/>
                <w:szCs w:val="20"/>
              </w:rPr>
              <w:t>nc</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1C5CA2D8" w14:textId="77777777" w:rsidR="00B46D02" w:rsidRDefault="00B46D02" w:rsidP="00C83465">
            <w:r>
              <w:rPr>
                <w:color w:val="2C2C2A"/>
                <w:sz w:val="20"/>
                <w:szCs w:val="20"/>
              </w:rPr>
              <w:t>Aug 2021 – Jun 2022</w:t>
            </w:r>
          </w:p>
        </w:tc>
        <w:tc>
          <w:tcPr>
            <w:tcW w:w="1726" w:type="dxa"/>
            <w:tcBorders>
              <w:top w:val="single" w:sz="1" w:space="0" w:color="CCCCCC"/>
              <w:left w:val="single" w:sz="1" w:space="0" w:color="CCCCCC"/>
              <w:bottom w:val="single" w:sz="1" w:space="0" w:color="CCCCCC"/>
              <w:right w:val="single" w:sz="1" w:space="0" w:color="CCCCCC"/>
            </w:tcBorders>
            <w:shd w:val="clear" w:color="auto" w:fill="E6F1FB"/>
            <w:tcMar>
              <w:top w:w="80" w:type="dxa"/>
              <w:left w:w="120" w:type="dxa"/>
              <w:bottom w:w="80" w:type="dxa"/>
              <w:right w:w="120" w:type="dxa"/>
            </w:tcMar>
          </w:tcPr>
          <w:p w14:paraId="28E00CB1" w14:textId="77777777" w:rsidR="00B46D02" w:rsidRDefault="00B46D02" w:rsidP="00C83465">
            <w:r>
              <w:rPr>
                <w:color w:val="2C2C2A"/>
                <w:sz w:val="20"/>
                <w:szCs w:val="20"/>
              </w:rPr>
              <w:t>Category breakdowns</w:t>
            </w:r>
          </w:p>
        </w:tc>
      </w:tr>
    </w:tbl>
    <w:p w14:paraId="4C13E046" w14:textId="77777777" w:rsidR="00223D15" w:rsidRDefault="00223D15">
      <w:pPr>
        <w:spacing w:after="120"/>
      </w:pPr>
    </w:p>
    <w:p w14:paraId="73FD721A" w14:textId="5B589226" w:rsidR="00223D15" w:rsidRDefault="00223D15">
      <w:pPr>
        <w:spacing w:after="120"/>
      </w:pPr>
      <w:r w:rsidRPr="00223D15">
        <w:rPr>
          <w:noProof/>
        </w:rPr>
        <w:drawing>
          <wp:inline distT="0" distB="0" distL="0" distR="0" wp14:anchorId="6FEB97E4" wp14:editId="138241B2">
            <wp:extent cx="5943600" cy="5418455"/>
            <wp:effectExtent l="0" t="0" r="0" b="0"/>
            <wp:docPr id="165283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830704" name=""/>
                    <pic:cNvPicPr/>
                  </pic:nvPicPr>
                  <pic:blipFill>
                    <a:blip r:embed="rId7"/>
                    <a:stretch>
                      <a:fillRect/>
                    </a:stretch>
                  </pic:blipFill>
                  <pic:spPr>
                    <a:xfrm>
                      <a:off x="0" y="0"/>
                      <a:ext cx="5943600" cy="5418455"/>
                    </a:xfrm>
                    <a:prstGeom prst="rect">
                      <a:avLst/>
                    </a:prstGeom>
                  </pic:spPr>
                </pic:pic>
              </a:graphicData>
            </a:graphic>
          </wp:inline>
        </w:drawing>
      </w:r>
    </w:p>
    <w:p w14:paraId="2127E8E5" w14:textId="30579BBC" w:rsidR="007A0609" w:rsidRDefault="00842658" w:rsidP="007A0609">
      <w:pPr>
        <w:pStyle w:val="Heading2"/>
      </w:pPr>
      <w:r>
        <w:rPr>
          <w:color w:val="185FA5"/>
          <w:sz w:val="24"/>
          <w:szCs w:val="24"/>
        </w:rPr>
        <w:t>2</w:t>
      </w:r>
      <w:r w:rsidR="007A0609">
        <w:rPr>
          <w:color w:val="185FA5"/>
          <w:sz w:val="24"/>
          <w:szCs w:val="24"/>
        </w:rPr>
        <w:t>.2 Data Cleaning and Preparation</w:t>
      </w:r>
    </w:p>
    <w:p w14:paraId="131E67A5" w14:textId="77777777" w:rsidR="007A0609" w:rsidRDefault="007A0609" w:rsidP="007A0609">
      <w:pPr>
        <w:spacing w:after="100"/>
        <w:jc w:val="both"/>
      </w:pPr>
      <w:r>
        <w:rPr>
          <w:color w:val="2C2C2A"/>
          <w:sz w:val="22"/>
          <w:szCs w:val="22"/>
        </w:rPr>
        <w:t xml:space="preserve">Each dataset was assessed for null values via </w:t>
      </w:r>
      <w:proofErr w:type="spellStart"/>
      <w:r>
        <w:rPr>
          <w:b/>
          <w:bCs/>
          <w:color w:val="2C2C2A"/>
          <w:sz w:val="22"/>
          <w:szCs w:val="22"/>
        </w:rPr>
        <w:t>isnull</w:t>
      </w:r>
      <w:proofErr w:type="spellEnd"/>
      <w:r>
        <w:rPr>
          <w:b/>
          <w:bCs/>
          <w:color w:val="2C2C2A"/>
          <w:sz w:val="22"/>
          <w:szCs w:val="22"/>
        </w:rPr>
        <w:t>(</w:t>
      </w:r>
      <w:proofErr w:type="gramStart"/>
      <w:r>
        <w:rPr>
          <w:b/>
          <w:bCs/>
          <w:color w:val="2C2C2A"/>
          <w:sz w:val="22"/>
          <w:szCs w:val="22"/>
        </w:rPr>
        <w:t>).sum</w:t>
      </w:r>
      <w:proofErr w:type="gramEnd"/>
      <w:r>
        <w:rPr>
          <w:b/>
          <w:bCs/>
          <w:color w:val="2C2C2A"/>
          <w:sz w:val="22"/>
          <w:szCs w:val="22"/>
        </w:rPr>
        <w:t>()</w:t>
      </w:r>
      <w:r>
        <w:rPr>
          <w:color w:val="2C2C2A"/>
          <w:sz w:val="22"/>
          <w:szCs w:val="22"/>
        </w:rPr>
        <w:t xml:space="preserve"> and duplicates via </w:t>
      </w:r>
      <w:r>
        <w:rPr>
          <w:b/>
          <w:bCs/>
          <w:color w:val="2C2C2A"/>
          <w:sz w:val="22"/>
          <w:szCs w:val="22"/>
        </w:rPr>
        <w:t>duplicated(</w:t>
      </w:r>
      <w:proofErr w:type="gramStart"/>
      <w:r>
        <w:rPr>
          <w:b/>
          <w:bCs/>
          <w:color w:val="2C2C2A"/>
          <w:sz w:val="22"/>
          <w:szCs w:val="22"/>
        </w:rPr>
        <w:t>).sum</w:t>
      </w:r>
      <w:proofErr w:type="gramEnd"/>
      <w:r>
        <w:rPr>
          <w:b/>
          <w:bCs/>
          <w:color w:val="2C2C2A"/>
          <w:sz w:val="22"/>
          <w:szCs w:val="22"/>
        </w:rPr>
        <w:t>()</w:t>
      </w:r>
      <w:r>
        <w:rPr>
          <w:color w:val="2C2C2A"/>
          <w:sz w:val="22"/>
          <w:szCs w:val="22"/>
        </w:rPr>
        <w:t xml:space="preserve">. 598 duplicate rows were identified and removed from the regional dataset using </w:t>
      </w:r>
      <w:proofErr w:type="spellStart"/>
      <w:r>
        <w:rPr>
          <w:b/>
          <w:bCs/>
          <w:color w:val="2C2C2A"/>
          <w:sz w:val="22"/>
          <w:szCs w:val="22"/>
        </w:rPr>
        <w:t>drop_</w:t>
      </w:r>
      <w:proofErr w:type="gramStart"/>
      <w:r>
        <w:rPr>
          <w:b/>
          <w:bCs/>
          <w:color w:val="2C2C2A"/>
          <w:sz w:val="22"/>
          <w:szCs w:val="22"/>
        </w:rPr>
        <w:t>duplicates</w:t>
      </w:r>
      <w:proofErr w:type="spellEnd"/>
      <w:r>
        <w:rPr>
          <w:b/>
          <w:bCs/>
          <w:color w:val="2C2C2A"/>
          <w:sz w:val="22"/>
          <w:szCs w:val="22"/>
        </w:rPr>
        <w:t>(</w:t>
      </w:r>
      <w:proofErr w:type="gramEnd"/>
      <w:r>
        <w:rPr>
          <w:b/>
          <w:bCs/>
          <w:color w:val="2C2C2A"/>
          <w:sz w:val="22"/>
          <w:szCs w:val="22"/>
        </w:rPr>
        <w:t>)</w:t>
      </w:r>
      <w:r>
        <w:rPr>
          <w:color w:val="2C2C2A"/>
          <w:sz w:val="22"/>
          <w:szCs w:val="22"/>
        </w:rPr>
        <w:t xml:space="preserve">. Date columns were converted using </w:t>
      </w:r>
      <w:proofErr w:type="spellStart"/>
      <w:r>
        <w:rPr>
          <w:b/>
          <w:bCs/>
          <w:color w:val="2C2C2A"/>
          <w:sz w:val="22"/>
          <w:szCs w:val="22"/>
        </w:rPr>
        <w:t>pd.to_</w:t>
      </w:r>
      <w:proofErr w:type="gramStart"/>
      <w:r>
        <w:rPr>
          <w:b/>
          <w:bCs/>
          <w:color w:val="2C2C2A"/>
          <w:sz w:val="22"/>
          <w:szCs w:val="22"/>
        </w:rPr>
        <w:t>datetime</w:t>
      </w:r>
      <w:proofErr w:type="spellEnd"/>
      <w:r>
        <w:rPr>
          <w:b/>
          <w:bCs/>
          <w:color w:val="2C2C2A"/>
          <w:sz w:val="22"/>
          <w:szCs w:val="22"/>
        </w:rPr>
        <w:t>(</w:t>
      </w:r>
      <w:proofErr w:type="gramEnd"/>
      <w:r>
        <w:rPr>
          <w:b/>
          <w:bCs/>
          <w:color w:val="2C2C2A"/>
          <w:sz w:val="22"/>
          <w:szCs w:val="22"/>
        </w:rPr>
        <w:t>)</w:t>
      </w:r>
      <w:r>
        <w:rPr>
          <w:color w:val="2C2C2A"/>
          <w:sz w:val="22"/>
          <w:szCs w:val="22"/>
        </w:rPr>
        <w:t xml:space="preserve">. A supplementary NHS lookup file (NHS_names.xlsx), created by the analyst, was merged on </w:t>
      </w:r>
      <w:proofErr w:type="spellStart"/>
      <w:r>
        <w:rPr>
          <w:b/>
          <w:bCs/>
          <w:color w:val="2C2C2A"/>
          <w:sz w:val="22"/>
          <w:szCs w:val="22"/>
        </w:rPr>
        <w:t>icb_ons_code</w:t>
      </w:r>
      <w:proofErr w:type="spellEnd"/>
      <w:r>
        <w:rPr>
          <w:color w:val="2C2C2A"/>
          <w:sz w:val="22"/>
          <w:szCs w:val="22"/>
        </w:rPr>
        <w:t xml:space="preserve"> to map ONS codes to readable location names. For Activity 6, the regional dataset </w:t>
      </w:r>
      <w:r>
        <w:rPr>
          <w:color w:val="2C2C2A"/>
          <w:sz w:val="22"/>
          <w:szCs w:val="22"/>
        </w:rPr>
        <w:lastRenderedPageBreak/>
        <w:t>was filtered to August 2021 onwards to isolate the post-COVID recovery period for operational recommendations.</w:t>
      </w:r>
    </w:p>
    <w:p w14:paraId="6DEDE08A" w14:textId="77777777" w:rsidR="00223D15" w:rsidRDefault="00223D15">
      <w:pPr>
        <w:spacing w:after="120"/>
      </w:pPr>
    </w:p>
    <w:p w14:paraId="42D62905" w14:textId="77777777" w:rsidR="007A0609" w:rsidRDefault="007A0609">
      <w:pPr>
        <w:spacing w:after="120"/>
      </w:pPr>
    </w:p>
    <w:p w14:paraId="2303B003" w14:textId="77777777" w:rsidR="007A0609" w:rsidRDefault="007A0609">
      <w:pPr>
        <w:spacing w:after="120"/>
      </w:pPr>
    </w:p>
    <w:p w14:paraId="79C06B07" w14:textId="77777777" w:rsidR="00842658" w:rsidRDefault="00842658" w:rsidP="007A0609">
      <w:pPr>
        <w:pStyle w:val="Heading2"/>
        <w:rPr>
          <w:color w:val="185FA5"/>
          <w:sz w:val="24"/>
          <w:szCs w:val="24"/>
        </w:rPr>
      </w:pPr>
    </w:p>
    <w:p w14:paraId="68CA0C7D" w14:textId="52EA815E" w:rsidR="007A0609" w:rsidRDefault="00842658" w:rsidP="007A0609">
      <w:pPr>
        <w:pStyle w:val="Heading2"/>
      </w:pPr>
      <w:r>
        <w:rPr>
          <w:color w:val="185FA5"/>
          <w:sz w:val="24"/>
          <w:szCs w:val="24"/>
        </w:rPr>
        <w:t>2</w:t>
      </w:r>
      <w:r w:rsidR="007A0609">
        <w:rPr>
          <w:color w:val="185FA5"/>
          <w:sz w:val="24"/>
          <w:szCs w:val="24"/>
        </w:rPr>
        <w:t>.3 Analytical Approach</w:t>
      </w:r>
    </w:p>
    <w:p w14:paraId="2A4E15DA" w14:textId="77777777" w:rsidR="007A0609" w:rsidRDefault="007A0609" w:rsidP="007A0609">
      <w:pPr>
        <w:spacing w:after="100"/>
        <w:jc w:val="both"/>
      </w:pPr>
      <w:r>
        <w:rPr>
          <w:color w:val="2C2C2A"/>
          <w:sz w:val="22"/>
          <w:szCs w:val="22"/>
        </w:rPr>
        <w:t xml:space="preserve">Exploratory data analysis used </w:t>
      </w:r>
      <w:proofErr w:type="spellStart"/>
      <w:proofErr w:type="gramStart"/>
      <w:r>
        <w:rPr>
          <w:color w:val="2C2C2A"/>
          <w:sz w:val="22"/>
          <w:szCs w:val="22"/>
        </w:rPr>
        <w:t>groupby</w:t>
      </w:r>
      <w:proofErr w:type="spellEnd"/>
      <w:proofErr w:type="gramEnd"/>
      <w:r>
        <w:rPr>
          <w:color w:val="2C2C2A"/>
          <w:sz w:val="22"/>
          <w:szCs w:val="22"/>
        </w:rPr>
        <w:t xml:space="preserve"> aggregations and percentage calculations to establish baseline distributions. Temporal analysis applied monthly resampling across the full January 2020 – June 2022 range to capture pandemic effects. A capacity threshold was defined statistically as mean monthly volume plus one standard deviation (threshold = 29,374,241) to provide an evidence-based staffing benchmark. Twitter hashtag data was </w:t>
      </w:r>
      <w:proofErr w:type="spellStart"/>
      <w:r>
        <w:rPr>
          <w:color w:val="2C2C2A"/>
          <w:sz w:val="22"/>
          <w:szCs w:val="22"/>
        </w:rPr>
        <w:t>analysed</w:t>
      </w:r>
      <w:proofErr w:type="spellEnd"/>
      <w:r>
        <w:rPr>
          <w:color w:val="2C2C2A"/>
          <w:sz w:val="22"/>
          <w:szCs w:val="22"/>
        </w:rPr>
        <w:t xml:space="preserve"> using regex extraction and </w:t>
      </w:r>
      <w:proofErr w:type="spellStart"/>
      <w:proofErr w:type="gramStart"/>
      <w:r>
        <w:rPr>
          <w:color w:val="2C2C2A"/>
          <w:sz w:val="22"/>
          <w:szCs w:val="22"/>
        </w:rPr>
        <w:t>collections.Counter</w:t>
      </w:r>
      <w:proofErr w:type="spellEnd"/>
      <w:proofErr w:type="gramEnd"/>
      <w:r>
        <w:rPr>
          <w:color w:val="2C2C2A"/>
          <w:sz w:val="22"/>
          <w:szCs w:val="22"/>
        </w:rPr>
        <w:t xml:space="preserve"> frequency counting.</w:t>
      </w:r>
    </w:p>
    <w:p w14:paraId="026EC084" w14:textId="77777777" w:rsidR="00223D15" w:rsidRDefault="00223D15">
      <w:pPr>
        <w:spacing w:after="120"/>
      </w:pPr>
    </w:p>
    <w:p w14:paraId="3476616C" w14:textId="77777777" w:rsidR="00223D15" w:rsidRDefault="00223D15">
      <w:pPr>
        <w:spacing w:after="120"/>
      </w:pPr>
    </w:p>
    <w:p w14:paraId="36FD358B" w14:textId="77777777" w:rsidR="00223D15" w:rsidRDefault="00223D15">
      <w:pPr>
        <w:spacing w:after="120"/>
      </w:pPr>
    </w:p>
    <w:p w14:paraId="7078C09E" w14:textId="119E065C" w:rsidR="000A165A" w:rsidRDefault="00842658">
      <w:pPr>
        <w:pStyle w:val="Heading1"/>
      </w:pPr>
      <w:r>
        <w:t>3. Results</w:t>
      </w:r>
    </w:p>
    <w:p w14:paraId="63825EEA" w14:textId="117BE446" w:rsidR="000A165A" w:rsidRDefault="00842658">
      <w:pPr>
        <w:pStyle w:val="Heading2"/>
      </w:pPr>
      <w:r>
        <w:t>3.1 Service Settings &amp; Appointment Distributions</w:t>
      </w:r>
    </w:p>
    <w:p w14:paraId="1B80180B" w14:textId="13F1ABA7" w:rsidR="000A165A" w:rsidRDefault="00000000">
      <w:pPr>
        <w:spacing w:after="120"/>
      </w:pPr>
      <w:r>
        <w:t xml:space="preserve">The table below </w:t>
      </w:r>
      <w:proofErr w:type="spellStart"/>
      <w:r w:rsidR="000279AE">
        <w:t>summarises</w:t>
      </w:r>
      <w:proofErr w:type="spellEnd"/>
      <w:r>
        <w:t xml:space="preserve"> the distribution of appointments across the main classification dimensions:</w:t>
      </w:r>
    </w:p>
    <w:p w14:paraId="1C271A17" w14:textId="77777777" w:rsidR="000A165A" w:rsidRDefault="000A165A">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0A165A" w14:paraId="769A2247" w14:textId="77777777">
        <w:tc>
          <w:tcPr>
            <w:tcW w:w="3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320B1C2" w14:textId="77777777" w:rsidR="000A165A" w:rsidRDefault="00000000">
            <w:r>
              <w:rPr>
                <w:b/>
                <w:bCs/>
                <w:color w:val="FFFFFF"/>
                <w:sz w:val="22"/>
                <w:szCs w:val="22"/>
              </w:rPr>
              <w:t>Dimension</w:t>
            </w:r>
          </w:p>
        </w:tc>
        <w:tc>
          <w:tcPr>
            <w:tcW w:w="5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502B4E" w14:textId="77777777" w:rsidR="000A165A" w:rsidRDefault="00000000">
            <w:r>
              <w:rPr>
                <w:b/>
                <w:bCs/>
                <w:color w:val="FFFFFF"/>
                <w:sz w:val="22"/>
                <w:szCs w:val="22"/>
              </w:rPr>
              <w:t>Finding</w:t>
            </w:r>
          </w:p>
        </w:tc>
      </w:tr>
      <w:tr w:rsidR="000A165A" w14:paraId="740B1E9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2200EC" w14:textId="77777777" w:rsidR="000A165A" w:rsidRDefault="00000000">
            <w:r>
              <w:rPr>
                <w:b/>
                <w:bCs/>
                <w:sz w:val="22"/>
                <w:szCs w:val="22"/>
              </w:rPr>
              <w:t>Service Settings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A0C6A" w14:textId="77777777" w:rsidR="000A165A" w:rsidRDefault="00000000">
            <w:r>
              <w:rPr>
                <w:sz w:val="22"/>
                <w:szCs w:val="22"/>
              </w:rPr>
              <w:t>5 settings; General Practice accounts for 91.5% of all appointments</w:t>
            </w:r>
          </w:p>
        </w:tc>
      </w:tr>
      <w:tr w:rsidR="000A165A" w14:paraId="14861E0B"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A07545" w14:textId="77777777" w:rsidR="000A165A" w:rsidRDefault="00000000">
            <w:r>
              <w:rPr>
                <w:b/>
                <w:bCs/>
                <w:sz w:val="22"/>
                <w:szCs w:val="22"/>
              </w:rPr>
              <w:t>Context Types</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BFB4C1" w14:textId="77777777" w:rsidR="000A165A" w:rsidRDefault="00000000">
            <w:r>
              <w:rPr>
                <w:sz w:val="22"/>
                <w:szCs w:val="22"/>
              </w:rPr>
              <w:t>3 types; Care Related Encounters represent 86.8% of appointments</w:t>
            </w:r>
          </w:p>
        </w:tc>
      </w:tr>
      <w:tr w:rsidR="000A165A" w14:paraId="0548DD4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B3BDF" w14:textId="77777777" w:rsidR="000A165A" w:rsidRDefault="00000000">
            <w:r>
              <w:rPr>
                <w:b/>
                <w:bCs/>
                <w:sz w:val="22"/>
                <w:szCs w:val="22"/>
              </w:rPr>
              <w:t>National Categories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4DCD7" w14:textId="77777777" w:rsidR="000A165A" w:rsidRDefault="00000000">
            <w:r>
              <w:rPr>
                <w:sz w:val="22"/>
                <w:szCs w:val="22"/>
              </w:rPr>
              <w:t>18 categories; Routine General Consultations (32.9%) and Acute General Consultations (18.1%) are the most common</w:t>
            </w:r>
          </w:p>
        </w:tc>
      </w:tr>
      <w:tr w:rsidR="000A165A" w14:paraId="7F7CA8EB"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75DB6F9" w14:textId="77777777" w:rsidR="000A165A" w:rsidRDefault="00000000">
            <w:r>
              <w:rPr>
                <w:b/>
                <w:bCs/>
                <w:sz w:val="22"/>
                <w:szCs w:val="22"/>
              </w:rPr>
              <w:t>Appointment Statuses</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41418E" w14:textId="77777777" w:rsidR="000A165A" w:rsidRDefault="00000000">
            <w:r>
              <w:rPr>
                <w:sz w:val="22"/>
                <w:szCs w:val="22"/>
              </w:rPr>
              <w:t>3 statuses: Attended (91.3%), Unknown (4.6%), DNA/Did Not Attend (4.2%)</w:t>
            </w:r>
          </w:p>
        </w:tc>
      </w:tr>
      <w:tr w:rsidR="000A165A" w14:paraId="25AE11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93262" w14:textId="77777777" w:rsidR="000A165A" w:rsidRDefault="00000000">
            <w:r>
              <w:rPr>
                <w:b/>
                <w:bCs/>
                <w:sz w:val="22"/>
                <w:szCs w:val="22"/>
              </w:rPr>
              <w:t>Appointment Modes</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ED2EA" w14:textId="77777777" w:rsidR="000A165A" w:rsidRDefault="00000000">
            <w:r>
              <w:rPr>
                <w:sz w:val="22"/>
                <w:szCs w:val="22"/>
              </w:rPr>
              <w:t>5 modes: Face-to-Face (59.2%), Telephone (36.1%), and three others</w:t>
            </w:r>
          </w:p>
        </w:tc>
      </w:tr>
      <w:tr w:rsidR="000A165A" w14:paraId="5204EC22"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E1778C" w14:textId="77777777" w:rsidR="000A165A" w:rsidRDefault="00000000">
            <w:r>
              <w:rPr>
                <w:b/>
                <w:bCs/>
                <w:sz w:val="22"/>
                <w:szCs w:val="22"/>
              </w:rPr>
              <w:t>HCP Types</w:t>
            </w:r>
          </w:p>
        </w:tc>
        <w:tc>
          <w:tcPr>
            <w:tcW w:w="58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B403DC" w14:textId="77777777" w:rsidR="000A165A" w:rsidRDefault="00000000">
            <w:r>
              <w:rPr>
                <w:sz w:val="22"/>
                <w:szCs w:val="22"/>
              </w:rPr>
              <w:t>GPs handle 51.1% of appointments; other practice staff handle 45.7%</w:t>
            </w:r>
          </w:p>
        </w:tc>
      </w:tr>
    </w:tbl>
    <w:p w14:paraId="21E3ACB2" w14:textId="77777777" w:rsidR="000A165A" w:rsidRDefault="000A165A">
      <w:pPr>
        <w:spacing w:after="80"/>
      </w:pPr>
    </w:p>
    <w:p w14:paraId="2361BF7F" w14:textId="30DAAC3E" w:rsidR="00C8210D" w:rsidRDefault="00743965">
      <w:pPr>
        <w:pStyle w:val="Heading2"/>
      </w:pPr>
      <w:r w:rsidRPr="00743965">
        <w:rPr>
          <w:noProof/>
        </w:rPr>
        <w:drawing>
          <wp:inline distT="0" distB="0" distL="0" distR="0" wp14:anchorId="500E950C" wp14:editId="208F403B">
            <wp:extent cx="5943600" cy="3237230"/>
            <wp:effectExtent l="0" t="0" r="0" b="0"/>
            <wp:docPr id="2035883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883208" name=""/>
                    <pic:cNvPicPr/>
                  </pic:nvPicPr>
                  <pic:blipFill>
                    <a:blip r:embed="rId8"/>
                    <a:stretch>
                      <a:fillRect/>
                    </a:stretch>
                  </pic:blipFill>
                  <pic:spPr>
                    <a:xfrm>
                      <a:off x="0" y="0"/>
                      <a:ext cx="5943600" cy="3237230"/>
                    </a:xfrm>
                    <a:prstGeom prst="rect">
                      <a:avLst/>
                    </a:prstGeom>
                  </pic:spPr>
                </pic:pic>
              </a:graphicData>
            </a:graphic>
          </wp:inline>
        </w:drawing>
      </w:r>
    </w:p>
    <w:p w14:paraId="3664E20F" w14:textId="31BF0B7B" w:rsidR="000A165A" w:rsidRDefault="004A5474">
      <w:pPr>
        <w:pStyle w:val="Heading2"/>
      </w:pPr>
      <w:r>
        <w:t>3.2 Appointment Duration</w:t>
      </w:r>
    </w:p>
    <w:p w14:paraId="57413888" w14:textId="77777777" w:rsidR="000A165A" w:rsidRDefault="00000000">
      <w:pPr>
        <w:spacing w:after="120"/>
      </w:pPr>
      <w:r>
        <w:t>Analysis of appointment durations revealed significant data quality concerns alongside useful operational insights:</w:t>
      </w:r>
    </w:p>
    <w:p w14:paraId="7C22A680" w14:textId="77777777" w:rsidR="000A165A" w:rsidRDefault="00000000">
      <w:pPr>
        <w:pStyle w:val="ListParagraph"/>
        <w:numPr>
          <w:ilvl w:val="0"/>
          <w:numId w:val="2"/>
        </w:numPr>
        <w:spacing w:after="80"/>
      </w:pPr>
      <w:r>
        <w:t>24% of appointments have no recorded duration — a notable data quality gap that hampers capacity planning.</w:t>
      </w:r>
    </w:p>
    <w:p w14:paraId="585A6852" w14:textId="77777777" w:rsidR="000A165A" w:rsidRDefault="00000000">
      <w:pPr>
        <w:pStyle w:val="ListParagraph"/>
        <w:numPr>
          <w:ilvl w:val="0"/>
          <w:numId w:val="2"/>
        </w:numPr>
        <w:spacing w:after="80"/>
      </w:pPr>
      <w:r>
        <w:t>Of appointments with known durations, 20% last 6–10 minutes and 17% last 1–5 minutes, consistent with brief GP consultation patterns.</w:t>
      </w:r>
    </w:p>
    <w:p w14:paraId="1F60FA51" w14:textId="77777777" w:rsidR="000A165A" w:rsidRDefault="00000000">
      <w:pPr>
        <w:pStyle w:val="ListParagraph"/>
        <w:numPr>
          <w:ilvl w:val="0"/>
          <w:numId w:val="2"/>
        </w:numPr>
        <w:spacing w:after="80"/>
      </w:pPr>
      <w:r>
        <w:t>The prevalence of very short appointments suggests high throughput is essential to meeting overall demand.</w:t>
      </w:r>
    </w:p>
    <w:p w14:paraId="3BE108A6" w14:textId="1FFF4ABD" w:rsidR="00743965" w:rsidRDefault="00743965" w:rsidP="00743965">
      <w:pPr>
        <w:spacing w:after="80"/>
      </w:pPr>
    </w:p>
    <w:p w14:paraId="6293AE7C" w14:textId="0F139C75" w:rsidR="00D779B0" w:rsidRDefault="00D779B0" w:rsidP="00743965">
      <w:pPr>
        <w:spacing w:after="80"/>
      </w:pPr>
      <w:r w:rsidRPr="00D779B0">
        <w:rPr>
          <w:noProof/>
        </w:rPr>
        <w:lastRenderedPageBreak/>
        <w:drawing>
          <wp:inline distT="0" distB="0" distL="0" distR="0" wp14:anchorId="7E65E880" wp14:editId="1DC23100">
            <wp:extent cx="5943600" cy="7301230"/>
            <wp:effectExtent l="0" t="0" r="0" b="0"/>
            <wp:docPr id="1789847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47183" name=""/>
                    <pic:cNvPicPr/>
                  </pic:nvPicPr>
                  <pic:blipFill>
                    <a:blip r:embed="rId9"/>
                    <a:stretch>
                      <a:fillRect/>
                    </a:stretch>
                  </pic:blipFill>
                  <pic:spPr>
                    <a:xfrm>
                      <a:off x="0" y="0"/>
                      <a:ext cx="5943600" cy="7301230"/>
                    </a:xfrm>
                    <a:prstGeom prst="rect">
                      <a:avLst/>
                    </a:prstGeom>
                  </pic:spPr>
                </pic:pic>
              </a:graphicData>
            </a:graphic>
          </wp:inline>
        </w:drawing>
      </w:r>
    </w:p>
    <w:p w14:paraId="3C9D9227" w14:textId="77777777" w:rsidR="00743965" w:rsidRDefault="00743965" w:rsidP="00743965">
      <w:pPr>
        <w:spacing w:after="80"/>
      </w:pPr>
    </w:p>
    <w:p w14:paraId="105B3AB2" w14:textId="77777777" w:rsidR="00743965" w:rsidRDefault="00743965" w:rsidP="00743965">
      <w:pPr>
        <w:spacing w:after="80"/>
      </w:pPr>
    </w:p>
    <w:p w14:paraId="666FB7CF" w14:textId="77777777" w:rsidR="000A165A" w:rsidRDefault="000A165A">
      <w:pPr>
        <w:spacing w:after="80"/>
      </w:pPr>
    </w:p>
    <w:p w14:paraId="66EB7DDA" w14:textId="6A04A913" w:rsidR="000A165A" w:rsidRDefault="004A5474">
      <w:pPr>
        <w:pStyle w:val="Heading2"/>
      </w:pPr>
      <w:r>
        <w:lastRenderedPageBreak/>
        <w:t>3.3 Waiting Times (Booking to Appointment)</w:t>
      </w:r>
    </w:p>
    <w:p w14:paraId="7348057C" w14:textId="77777777" w:rsidR="000A165A" w:rsidRDefault="00000000">
      <w:pPr>
        <w:spacing w:after="120"/>
      </w:pPr>
      <w:r>
        <w:t xml:space="preserve">The time between booking and appointment is </w:t>
      </w:r>
      <w:proofErr w:type="spellStart"/>
      <w:r>
        <w:t>categorised</w:t>
      </w:r>
      <w:proofErr w:type="spellEnd"/>
      <w:r>
        <w:t xml:space="preserve"> into 7 intervals. The distribution indicates strong same-day demand:</w:t>
      </w:r>
    </w:p>
    <w:p w14:paraId="2D075877" w14:textId="77777777" w:rsidR="000A165A" w:rsidRDefault="00000000">
      <w:pPr>
        <w:pStyle w:val="ListParagraph"/>
        <w:numPr>
          <w:ilvl w:val="0"/>
          <w:numId w:val="2"/>
        </w:numPr>
        <w:spacing w:after="80"/>
      </w:pPr>
      <w:r>
        <w:t>46.2% of appointments occur on the same day they are booked.</w:t>
      </w:r>
    </w:p>
    <w:p w14:paraId="0DD98ECC" w14:textId="77777777" w:rsidR="000A165A" w:rsidRDefault="00000000">
      <w:pPr>
        <w:pStyle w:val="ListParagraph"/>
        <w:numPr>
          <w:ilvl w:val="0"/>
          <w:numId w:val="2"/>
        </w:numPr>
        <w:spacing w:after="80"/>
      </w:pPr>
      <w:r>
        <w:t>A further 20.7% take place within 2–7 days of booking.</w:t>
      </w:r>
    </w:p>
    <w:p w14:paraId="6E47D91C" w14:textId="77777777" w:rsidR="000A165A" w:rsidRDefault="00000000">
      <w:pPr>
        <w:pStyle w:val="ListParagraph"/>
        <w:numPr>
          <w:ilvl w:val="0"/>
          <w:numId w:val="2"/>
        </w:numPr>
        <w:spacing w:after="80"/>
      </w:pPr>
      <w:proofErr w:type="gramStart"/>
      <w:r>
        <w:t>The majority of</w:t>
      </w:r>
      <w:proofErr w:type="gramEnd"/>
      <w:r>
        <w:t xml:space="preserve"> appointments are therefore fulfilled within one week, suggesting that NHS primary care remains highly responsive for most patients.</w:t>
      </w:r>
    </w:p>
    <w:p w14:paraId="5560FF6E" w14:textId="77777777" w:rsidR="000A165A" w:rsidRDefault="00000000">
      <w:pPr>
        <w:pStyle w:val="ListParagraph"/>
        <w:numPr>
          <w:ilvl w:val="0"/>
          <w:numId w:val="2"/>
        </w:numPr>
        <w:spacing w:after="80"/>
      </w:pPr>
      <w:r>
        <w:t xml:space="preserve">However, </w:t>
      </w:r>
      <w:proofErr w:type="gramStart"/>
      <w:r>
        <w:t>monitoring of</w:t>
      </w:r>
      <w:proofErr w:type="gramEnd"/>
      <w:r>
        <w:t xml:space="preserve"> appointments with waits of 15 days or more remains important as a capacity pressure indicator.</w:t>
      </w:r>
    </w:p>
    <w:p w14:paraId="3BEB586C" w14:textId="25D66137" w:rsidR="00BE6567" w:rsidRDefault="00D7640A" w:rsidP="00D7640A">
      <w:pPr>
        <w:pStyle w:val="NormalWeb"/>
        <w:numPr>
          <w:ilvl w:val="0"/>
          <w:numId w:val="2"/>
        </w:numPr>
        <w:ind w:left="-360"/>
      </w:pPr>
      <w:r w:rsidRPr="00D7640A">
        <w:rPr>
          <w:noProof/>
        </w:rPr>
        <w:drawing>
          <wp:inline distT="0" distB="0" distL="0" distR="0" wp14:anchorId="2C5C4CA7" wp14:editId="3210AF8B">
            <wp:extent cx="6630495" cy="3290454"/>
            <wp:effectExtent l="0" t="0" r="0" b="5715"/>
            <wp:docPr id="176075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754075" name=""/>
                    <pic:cNvPicPr/>
                  </pic:nvPicPr>
                  <pic:blipFill>
                    <a:blip r:embed="rId10"/>
                    <a:stretch>
                      <a:fillRect/>
                    </a:stretch>
                  </pic:blipFill>
                  <pic:spPr>
                    <a:xfrm>
                      <a:off x="0" y="0"/>
                      <a:ext cx="6637883" cy="3294121"/>
                    </a:xfrm>
                    <a:prstGeom prst="rect">
                      <a:avLst/>
                    </a:prstGeom>
                  </pic:spPr>
                </pic:pic>
              </a:graphicData>
            </a:graphic>
          </wp:inline>
        </w:drawing>
      </w:r>
    </w:p>
    <w:p w14:paraId="05340D56" w14:textId="77777777" w:rsidR="000A165A" w:rsidRDefault="000A165A">
      <w:pPr>
        <w:spacing w:after="80"/>
      </w:pPr>
    </w:p>
    <w:p w14:paraId="1F7FF121" w14:textId="3DADA726" w:rsidR="00D779B0" w:rsidRDefault="00D779B0">
      <w:pPr>
        <w:spacing w:after="80"/>
      </w:pPr>
    </w:p>
    <w:p w14:paraId="38F03EB6" w14:textId="0A5D5E33" w:rsidR="000A165A" w:rsidRDefault="004A5474">
      <w:pPr>
        <w:pStyle w:val="Heading2"/>
      </w:pPr>
      <w:r>
        <w:t>3.4 COVID-19 Impact on Appointment Volume and Mode</w:t>
      </w:r>
    </w:p>
    <w:p w14:paraId="73A294DF" w14:textId="77777777" w:rsidR="000A165A" w:rsidRDefault="00000000">
      <w:pPr>
        <w:spacing w:after="120"/>
      </w:pPr>
      <w:r>
        <w:t>The longitudinal regional dataset (January 2020 – June 2022) clearly captures the impact of the COVID-19 pandemic:</w:t>
      </w:r>
    </w:p>
    <w:p w14:paraId="3F36172A" w14:textId="77777777" w:rsidR="000A165A" w:rsidRDefault="00000000">
      <w:pPr>
        <w:pStyle w:val="ListParagraph"/>
        <w:numPr>
          <w:ilvl w:val="0"/>
          <w:numId w:val="2"/>
        </w:numPr>
        <w:spacing w:after="80"/>
      </w:pPr>
      <w:r>
        <w:t>A sharp drop in total appointments occurred from March 2020 (first lockdown), followed by a recovery period.</w:t>
      </w:r>
    </w:p>
    <w:p w14:paraId="19236C52" w14:textId="77777777" w:rsidR="000A165A" w:rsidRDefault="00000000">
      <w:pPr>
        <w:pStyle w:val="ListParagraph"/>
        <w:numPr>
          <w:ilvl w:val="0"/>
          <w:numId w:val="2"/>
        </w:numPr>
        <w:spacing w:after="80"/>
      </w:pPr>
      <w:r>
        <w:t>Further dips were observed during October 2020 – February 2021 (second lockdown period) and December 2021 – February 2022 (Omicron wave).</w:t>
      </w:r>
    </w:p>
    <w:p w14:paraId="2D409863" w14:textId="64396F78" w:rsidR="00D7640A" w:rsidRDefault="00D7640A" w:rsidP="00D7640A">
      <w:pPr>
        <w:spacing w:after="80"/>
      </w:pPr>
      <w:r w:rsidRPr="00D7640A">
        <w:rPr>
          <w:noProof/>
        </w:rPr>
        <w:lastRenderedPageBreak/>
        <w:drawing>
          <wp:inline distT="0" distB="0" distL="0" distR="0" wp14:anchorId="0A7646C8" wp14:editId="299CFE0A">
            <wp:extent cx="6611317" cy="2666423"/>
            <wp:effectExtent l="0" t="0" r="0" b="635"/>
            <wp:docPr id="159273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3078" name=""/>
                    <pic:cNvPicPr/>
                  </pic:nvPicPr>
                  <pic:blipFill>
                    <a:blip r:embed="rId11"/>
                    <a:stretch>
                      <a:fillRect/>
                    </a:stretch>
                  </pic:blipFill>
                  <pic:spPr>
                    <a:xfrm>
                      <a:off x="0" y="0"/>
                      <a:ext cx="6629756" cy="2673860"/>
                    </a:xfrm>
                    <a:prstGeom prst="rect">
                      <a:avLst/>
                    </a:prstGeom>
                  </pic:spPr>
                </pic:pic>
              </a:graphicData>
            </a:graphic>
          </wp:inline>
        </w:drawing>
      </w:r>
    </w:p>
    <w:p w14:paraId="7EFF32E4" w14:textId="77777777" w:rsidR="000A165A" w:rsidRDefault="00000000">
      <w:pPr>
        <w:pStyle w:val="ListParagraph"/>
        <w:numPr>
          <w:ilvl w:val="0"/>
          <w:numId w:val="2"/>
        </w:numPr>
        <w:spacing w:after="80"/>
      </w:pPr>
      <w:r>
        <w:t>Telephone consultations surged from 14.6% of appointments in January 2020 to 50.6% by April 2020, overtaking face-to-face appointments.</w:t>
      </w:r>
    </w:p>
    <w:p w14:paraId="1F50625F" w14:textId="77777777" w:rsidR="000A165A" w:rsidRDefault="00000000">
      <w:pPr>
        <w:pStyle w:val="ListParagraph"/>
        <w:numPr>
          <w:ilvl w:val="0"/>
          <w:numId w:val="2"/>
        </w:numPr>
        <w:spacing w:after="80"/>
      </w:pPr>
      <w:r>
        <w:t>Following this peak, face-to-face appointments have been recovering but remain below pre-pandemic levels.</w:t>
      </w:r>
    </w:p>
    <w:p w14:paraId="69DA8EA1" w14:textId="77777777" w:rsidR="000A165A" w:rsidRDefault="00000000">
      <w:pPr>
        <w:pStyle w:val="ListParagraph"/>
        <w:numPr>
          <w:ilvl w:val="0"/>
          <w:numId w:val="2"/>
        </w:numPr>
        <w:spacing w:after="80"/>
      </w:pPr>
      <w:r>
        <w:t>Notable seasonal dips in telephone appointments were observed around October 2020 and October 2021.</w:t>
      </w:r>
    </w:p>
    <w:p w14:paraId="009EB891" w14:textId="77777777" w:rsidR="000A165A" w:rsidRDefault="000A165A">
      <w:pPr>
        <w:spacing w:after="80"/>
      </w:pPr>
    </w:p>
    <w:p w14:paraId="22A0214F" w14:textId="059993AF" w:rsidR="00D7640A" w:rsidRDefault="00D7640A">
      <w:pPr>
        <w:spacing w:after="80"/>
      </w:pPr>
      <w:r w:rsidRPr="00D7640A">
        <w:rPr>
          <w:noProof/>
        </w:rPr>
        <w:drawing>
          <wp:inline distT="0" distB="0" distL="0" distR="0" wp14:anchorId="6FC342BD" wp14:editId="5ED54940">
            <wp:extent cx="6648450" cy="2798619"/>
            <wp:effectExtent l="0" t="0" r="0" b="1905"/>
            <wp:docPr id="178954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44108" name=""/>
                    <pic:cNvPicPr/>
                  </pic:nvPicPr>
                  <pic:blipFill>
                    <a:blip r:embed="rId12"/>
                    <a:stretch>
                      <a:fillRect/>
                    </a:stretch>
                  </pic:blipFill>
                  <pic:spPr>
                    <a:xfrm>
                      <a:off x="0" y="0"/>
                      <a:ext cx="6687315" cy="2814979"/>
                    </a:xfrm>
                    <a:prstGeom prst="rect">
                      <a:avLst/>
                    </a:prstGeom>
                  </pic:spPr>
                </pic:pic>
              </a:graphicData>
            </a:graphic>
          </wp:inline>
        </w:drawing>
      </w:r>
    </w:p>
    <w:p w14:paraId="421B1816" w14:textId="33FAFD20" w:rsidR="00AB3F44" w:rsidRDefault="00AB3F44" w:rsidP="00AB3F44">
      <w:pPr>
        <w:pStyle w:val="Heading2"/>
        <w:rPr>
          <w:b w:val="0"/>
          <w:bCs w:val="0"/>
          <w:color w:val="auto"/>
          <w:sz w:val="22"/>
          <w:szCs w:val="22"/>
        </w:rPr>
      </w:pPr>
      <w:r w:rsidRPr="00AB3F44">
        <w:rPr>
          <w:b w:val="0"/>
          <w:bCs w:val="0"/>
          <w:noProof/>
          <w:color w:val="auto"/>
          <w:sz w:val="22"/>
          <w:szCs w:val="22"/>
        </w:rPr>
        <w:lastRenderedPageBreak/>
        <w:drawing>
          <wp:inline distT="0" distB="0" distL="0" distR="0" wp14:anchorId="3ECD8A91" wp14:editId="3BAB0FEE">
            <wp:extent cx="5943600" cy="2191385"/>
            <wp:effectExtent l="0" t="0" r="0" b="0"/>
            <wp:docPr id="20824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9206" name=""/>
                    <pic:cNvPicPr/>
                  </pic:nvPicPr>
                  <pic:blipFill>
                    <a:blip r:embed="rId13"/>
                    <a:stretch>
                      <a:fillRect/>
                    </a:stretch>
                  </pic:blipFill>
                  <pic:spPr>
                    <a:xfrm>
                      <a:off x="0" y="0"/>
                      <a:ext cx="5943600" cy="2191385"/>
                    </a:xfrm>
                    <a:prstGeom prst="rect">
                      <a:avLst/>
                    </a:prstGeom>
                  </pic:spPr>
                </pic:pic>
              </a:graphicData>
            </a:graphic>
          </wp:inline>
        </w:drawing>
      </w:r>
    </w:p>
    <w:p w14:paraId="233020F4" w14:textId="77777777" w:rsidR="00AB3F44" w:rsidRDefault="00AB3F44" w:rsidP="00AB3F44">
      <w:pPr>
        <w:pStyle w:val="Heading2"/>
        <w:rPr>
          <w:b w:val="0"/>
          <w:bCs w:val="0"/>
          <w:color w:val="auto"/>
          <w:sz w:val="22"/>
          <w:szCs w:val="22"/>
        </w:rPr>
      </w:pPr>
    </w:p>
    <w:p w14:paraId="5AFCAD7B" w14:textId="13F599F7" w:rsidR="00AB3F44" w:rsidRPr="00AB3F44" w:rsidRDefault="00AB3F44" w:rsidP="00AB3F44">
      <w:pPr>
        <w:pStyle w:val="Heading2"/>
        <w:rPr>
          <w:b w:val="0"/>
          <w:bCs w:val="0"/>
          <w:color w:val="auto"/>
          <w:sz w:val="24"/>
          <w:szCs w:val="24"/>
        </w:rPr>
      </w:pPr>
      <w:r w:rsidRPr="00AB3F44">
        <w:rPr>
          <w:b w:val="0"/>
          <w:bCs w:val="0"/>
          <w:color w:val="auto"/>
          <w:sz w:val="24"/>
          <w:szCs w:val="24"/>
        </w:rPr>
        <w:t xml:space="preserve">This chart directly </w:t>
      </w:r>
      <w:proofErr w:type="gramStart"/>
      <w:r w:rsidRPr="00AB3F44">
        <w:rPr>
          <w:b w:val="0"/>
          <w:bCs w:val="0"/>
          <w:color w:val="auto"/>
          <w:sz w:val="24"/>
          <w:szCs w:val="24"/>
        </w:rPr>
        <w:t>answers</w:t>
      </w:r>
      <w:proofErr w:type="gramEnd"/>
      <w:r w:rsidRPr="00AB3F44">
        <w:rPr>
          <w:b w:val="0"/>
          <w:bCs w:val="0"/>
          <w:color w:val="auto"/>
          <w:sz w:val="24"/>
          <w:szCs w:val="24"/>
        </w:rPr>
        <w:t xml:space="preserve"> "Should the NHS increase staff levels?"</w:t>
      </w:r>
      <w:r>
        <w:rPr>
          <w:b w:val="0"/>
          <w:bCs w:val="0"/>
          <w:color w:val="auto"/>
          <w:sz w:val="24"/>
          <w:szCs w:val="24"/>
        </w:rPr>
        <w:t>-</w:t>
      </w:r>
      <w:r w:rsidRPr="00AB3F44">
        <w:rPr>
          <w:b w:val="0"/>
          <w:bCs w:val="0"/>
          <w:color w:val="auto"/>
          <w:sz w:val="24"/>
          <w:szCs w:val="24"/>
        </w:rPr>
        <w:t xml:space="preserve"> and the answer is yes, with nuance:</w:t>
      </w:r>
    </w:p>
    <w:p w14:paraId="2A981EFA" w14:textId="77777777" w:rsidR="00AB3F44" w:rsidRPr="00AB3F44" w:rsidRDefault="00AB3F44" w:rsidP="00AB3F44">
      <w:pPr>
        <w:pStyle w:val="Heading2"/>
        <w:numPr>
          <w:ilvl w:val="0"/>
          <w:numId w:val="3"/>
        </w:numPr>
        <w:rPr>
          <w:b w:val="0"/>
          <w:bCs w:val="0"/>
          <w:color w:val="auto"/>
          <w:sz w:val="24"/>
          <w:szCs w:val="24"/>
        </w:rPr>
      </w:pPr>
      <w:r w:rsidRPr="00AB3F44">
        <w:rPr>
          <w:b w:val="0"/>
          <w:bCs w:val="0"/>
          <w:color w:val="auto"/>
          <w:sz w:val="24"/>
          <w:szCs w:val="24"/>
        </w:rPr>
        <w:t>The system can handle high demand — October and November 2021 prove it</w:t>
      </w:r>
    </w:p>
    <w:p w14:paraId="28E927C0" w14:textId="77777777" w:rsidR="00AB3F44" w:rsidRPr="00AB3F44" w:rsidRDefault="00AB3F44" w:rsidP="00AB3F44">
      <w:pPr>
        <w:pStyle w:val="Heading2"/>
        <w:numPr>
          <w:ilvl w:val="0"/>
          <w:numId w:val="3"/>
        </w:numPr>
        <w:rPr>
          <w:b w:val="0"/>
          <w:bCs w:val="0"/>
          <w:color w:val="auto"/>
          <w:sz w:val="24"/>
          <w:szCs w:val="24"/>
        </w:rPr>
      </w:pPr>
      <w:r w:rsidRPr="00AB3F44">
        <w:rPr>
          <w:b w:val="0"/>
          <w:bCs w:val="0"/>
          <w:color w:val="auto"/>
          <w:sz w:val="24"/>
          <w:szCs w:val="24"/>
        </w:rPr>
        <w:t>But it cannot sustain it — the sharp drops show the NHS is operating reactively rather than with built-in resilience</w:t>
      </w:r>
    </w:p>
    <w:p w14:paraId="13A6BCCE" w14:textId="77777777" w:rsidR="00AB3F44" w:rsidRPr="00AB3F44" w:rsidRDefault="00AB3F44" w:rsidP="00AB3F44">
      <w:pPr>
        <w:pStyle w:val="Heading2"/>
        <w:numPr>
          <w:ilvl w:val="0"/>
          <w:numId w:val="3"/>
        </w:numPr>
        <w:rPr>
          <w:b w:val="0"/>
          <w:bCs w:val="0"/>
          <w:color w:val="auto"/>
          <w:sz w:val="24"/>
          <w:szCs w:val="24"/>
        </w:rPr>
      </w:pPr>
      <w:r w:rsidRPr="00AB3F44">
        <w:rPr>
          <w:b w:val="0"/>
          <w:bCs w:val="0"/>
          <w:color w:val="auto"/>
          <w:sz w:val="24"/>
          <w:szCs w:val="24"/>
        </w:rPr>
        <w:t>The capacity threshold being breached in only 2 out of 11 months suggests the NHS is running close to its ceiling during peak periods, with very little buffer for unexpected surges like Omicron</w:t>
      </w:r>
    </w:p>
    <w:p w14:paraId="7EA5EC52" w14:textId="77777777" w:rsidR="00AB3F44" w:rsidRPr="00AB3F44" w:rsidRDefault="00AB3F44" w:rsidP="00AB3F44">
      <w:pPr>
        <w:pStyle w:val="Heading2"/>
        <w:numPr>
          <w:ilvl w:val="0"/>
          <w:numId w:val="3"/>
        </w:numPr>
        <w:rPr>
          <w:b w:val="0"/>
          <w:bCs w:val="0"/>
          <w:color w:val="auto"/>
          <w:sz w:val="24"/>
          <w:szCs w:val="24"/>
        </w:rPr>
      </w:pPr>
      <w:r w:rsidRPr="00AB3F44">
        <w:rPr>
          <w:b w:val="0"/>
          <w:bCs w:val="0"/>
          <w:color w:val="auto"/>
          <w:sz w:val="24"/>
          <w:szCs w:val="24"/>
        </w:rPr>
        <w:t>A staffing increase of even 5–10% would likely shift the threshold upward enough to absorb winter peaks without the dramatic drop-offs seen here</w:t>
      </w:r>
    </w:p>
    <w:p w14:paraId="755CDD9C" w14:textId="77777777" w:rsidR="00D7640A" w:rsidRPr="00AB3F44" w:rsidRDefault="00D7640A">
      <w:pPr>
        <w:pStyle w:val="Heading2"/>
        <w:rPr>
          <w:sz w:val="24"/>
          <w:szCs w:val="24"/>
        </w:rPr>
      </w:pPr>
    </w:p>
    <w:p w14:paraId="641B52BD" w14:textId="053BA07B" w:rsidR="000A165A" w:rsidRDefault="004A5474">
      <w:pPr>
        <w:pStyle w:val="Heading2"/>
      </w:pPr>
      <w:r>
        <w:t>3.5 Seasonal Trends by Service Setting</w:t>
      </w:r>
    </w:p>
    <w:p w14:paraId="0742021E" w14:textId="77777777" w:rsidR="000A165A" w:rsidRDefault="00000000">
      <w:pPr>
        <w:spacing w:after="120"/>
      </w:pPr>
      <w:r>
        <w:t>Analysis across four seasons (Summer 2021, Autumn 2021, Winter 2021–22, Spring 2022) confirms that:</w:t>
      </w:r>
    </w:p>
    <w:p w14:paraId="0A57F598" w14:textId="77777777" w:rsidR="000A165A" w:rsidRDefault="00000000">
      <w:pPr>
        <w:pStyle w:val="ListParagraph"/>
        <w:numPr>
          <w:ilvl w:val="0"/>
          <w:numId w:val="2"/>
        </w:numPr>
        <w:spacing w:after="80"/>
      </w:pPr>
      <w:r>
        <w:t>General Practice dominates appointment volumes in every season without exception.</w:t>
      </w:r>
    </w:p>
    <w:p w14:paraId="6B7580A3" w14:textId="77777777" w:rsidR="000A165A" w:rsidRDefault="00000000">
      <w:pPr>
        <w:pStyle w:val="ListParagraph"/>
        <w:numPr>
          <w:ilvl w:val="0"/>
          <w:numId w:val="2"/>
        </w:numPr>
        <w:spacing w:after="80"/>
      </w:pPr>
      <w:r>
        <w:t>Other service settings (e.g., Extended Access, Other, Unknown) remain comparatively flat across all seasons.</w:t>
      </w:r>
    </w:p>
    <w:p w14:paraId="15D4E4CE" w14:textId="77777777" w:rsidR="000A165A" w:rsidRDefault="00000000">
      <w:pPr>
        <w:pStyle w:val="ListParagraph"/>
        <w:numPr>
          <w:ilvl w:val="0"/>
          <w:numId w:val="2"/>
        </w:numPr>
        <w:spacing w:after="80"/>
      </w:pPr>
      <w:r>
        <w:t>Winter months consistently show a dip in overall appointment activity, likely due to combined pressures of illness burden and reduced capacity.</w:t>
      </w:r>
    </w:p>
    <w:p w14:paraId="235A626B" w14:textId="77777777" w:rsidR="000A165A" w:rsidRDefault="000A165A">
      <w:pPr>
        <w:spacing w:after="80"/>
      </w:pPr>
    </w:p>
    <w:p w14:paraId="479CF4DB" w14:textId="77777777" w:rsidR="00AB3F44" w:rsidRDefault="00AB3F44" w:rsidP="002F1D73">
      <w:pPr>
        <w:spacing w:after="80"/>
        <w:rPr>
          <w:b/>
          <w:bCs/>
          <w:color w:val="215E99" w:themeColor="text2" w:themeTint="BF"/>
          <w:sz w:val="28"/>
          <w:szCs w:val="28"/>
        </w:rPr>
      </w:pPr>
    </w:p>
    <w:p w14:paraId="57672364" w14:textId="7027F2DD" w:rsidR="002F1D73" w:rsidRPr="002F1D73" w:rsidRDefault="002F1D73" w:rsidP="002F1D73">
      <w:pPr>
        <w:spacing w:after="80"/>
        <w:rPr>
          <w:color w:val="215E99" w:themeColor="text2" w:themeTint="BF"/>
          <w:sz w:val="28"/>
          <w:szCs w:val="28"/>
        </w:rPr>
      </w:pPr>
      <w:r w:rsidRPr="002F1D73">
        <w:rPr>
          <w:b/>
          <w:bCs/>
          <w:color w:val="215E99" w:themeColor="text2" w:themeTint="BF"/>
          <w:sz w:val="28"/>
          <w:szCs w:val="28"/>
        </w:rPr>
        <w:lastRenderedPageBreak/>
        <w:t>Summer (June to August 2021)</w:t>
      </w:r>
    </w:p>
    <w:p w14:paraId="3FC55CD1" w14:textId="77777777" w:rsidR="00D7640A" w:rsidRDefault="00D7640A">
      <w:pPr>
        <w:spacing w:after="80"/>
      </w:pPr>
    </w:p>
    <w:p w14:paraId="70B03769" w14:textId="3676FB85" w:rsidR="00D7640A" w:rsidRDefault="00D7640A">
      <w:pPr>
        <w:spacing w:after="80"/>
      </w:pPr>
      <w:r w:rsidRPr="00D7640A">
        <w:rPr>
          <w:noProof/>
        </w:rPr>
        <w:drawing>
          <wp:inline distT="0" distB="0" distL="0" distR="0" wp14:anchorId="0D9BDCDC" wp14:editId="6296F4F4">
            <wp:extent cx="6663231" cy="4996642"/>
            <wp:effectExtent l="0" t="0" r="4445" b="0"/>
            <wp:docPr id="18758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8710" name=""/>
                    <pic:cNvPicPr/>
                  </pic:nvPicPr>
                  <pic:blipFill>
                    <a:blip r:embed="rId14"/>
                    <a:stretch>
                      <a:fillRect/>
                    </a:stretch>
                  </pic:blipFill>
                  <pic:spPr>
                    <a:xfrm>
                      <a:off x="0" y="0"/>
                      <a:ext cx="6700680" cy="5024725"/>
                    </a:xfrm>
                    <a:prstGeom prst="rect">
                      <a:avLst/>
                    </a:prstGeom>
                  </pic:spPr>
                </pic:pic>
              </a:graphicData>
            </a:graphic>
          </wp:inline>
        </w:drawing>
      </w:r>
    </w:p>
    <w:p w14:paraId="3B247794" w14:textId="77777777" w:rsidR="00D7640A" w:rsidRDefault="00D7640A">
      <w:pPr>
        <w:pStyle w:val="Heading2"/>
      </w:pPr>
    </w:p>
    <w:p w14:paraId="699A0088" w14:textId="77777777" w:rsidR="00AB3F44" w:rsidRDefault="00AB3F44" w:rsidP="002F1D73">
      <w:pPr>
        <w:pStyle w:val="Heading2"/>
        <w:rPr>
          <w:color w:val="215E99" w:themeColor="text2" w:themeTint="BF"/>
        </w:rPr>
      </w:pPr>
    </w:p>
    <w:p w14:paraId="06C26D47" w14:textId="77777777" w:rsidR="00AB3F44" w:rsidRDefault="00AB3F44" w:rsidP="002F1D73">
      <w:pPr>
        <w:pStyle w:val="Heading2"/>
        <w:rPr>
          <w:color w:val="215E99" w:themeColor="text2" w:themeTint="BF"/>
        </w:rPr>
      </w:pPr>
    </w:p>
    <w:p w14:paraId="172906E5" w14:textId="77777777" w:rsidR="00AB3F44" w:rsidRDefault="00AB3F44" w:rsidP="002F1D73">
      <w:pPr>
        <w:pStyle w:val="Heading2"/>
        <w:rPr>
          <w:color w:val="215E99" w:themeColor="text2" w:themeTint="BF"/>
        </w:rPr>
      </w:pPr>
    </w:p>
    <w:p w14:paraId="696810ED" w14:textId="77777777" w:rsidR="00AB3F44" w:rsidRDefault="00AB3F44" w:rsidP="002F1D73">
      <w:pPr>
        <w:pStyle w:val="Heading2"/>
        <w:rPr>
          <w:color w:val="215E99" w:themeColor="text2" w:themeTint="BF"/>
        </w:rPr>
      </w:pPr>
    </w:p>
    <w:p w14:paraId="35A121F9" w14:textId="77777777" w:rsidR="00AB3F44" w:rsidRDefault="00AB3F44" w:rsidP="002F1D73">
      <w:pPr>
        <w:pStyle w:val="Heading2"/>
        <w:rPr>
          <w:color w:val="215E99" w:themeColor="text2" w:themeTint="BF"/>
        </w:rPr>
      </w:pPr>
    </w:p>
    <w:p w14:paraId="1DFA6575" w14:textId="77777777" w:rsidR="00AB3F44" w:rsidRDefault="00AB3F44" w:rsidP="002F1D73">
      <w:pPr>
        <w:pStyle w:val="Heading2"/>
        <w:rPr>
          <w:color w:val="215E99" w:themeColor="text2" w:themeTint="BF"/>
        </w:rPr>
      </w:pPr>
    </w:p>
    <w:p w14:paraId="0C9DF8C9" w14:textId="01A1244E" w:rsidR="002F1D73" w:rsidRPr="002F1D73" w:rsidRDefault="002F1D73" w:rsidP="002F1D73">
      <w:pPr>
        <w:pStyle w:val="Heading2"/>
        <w:rPr>
          <w:color w:val="215E99" w:themeColor="text2" w:themeTint="BF"/>
        </w:rPr>
      </w:pPr>
      <w:r w:rsidRPr="002F1D73">
        <w:rPr>
          <w:color w:val="215E99" w:themeColor="text2" w:themeTint="BF"/>
        </w:rPr>
        <w:lastRenderedPageBreak/>
        <w:t>Autumn (September to November 2021)</w:t>
      </w:r>
    </w:p>
    <w:p w14:paraId="0E29A481" w14:textId="3DA52622" w:rsidR="002F1D73" w:rsidRDefault="00AB3F44" w:rsidP="00AB3F44">
      <w:pPr>
        <w:pStyle w:val="Heading2"/>
        <w:ind w:left="-630" w:firstLine="360"/>
      </w:pPr>
      <w:r w:rsidRPr="00AB3F44">
        <w:rPr>
          <w:noProof/>
        </w:rPr>
        <w:drawing>
          <wp:inline distT="0" distB="0" distL="0" distR="0" wp14:anchorId="03B4C31E" wp14:editId="7AD04CB3">
            <wp:extent cx="6635786" cy="2611582"/>
            <wp:effectExtent l="0" t="0" r="0" b="0"/>
            <wp:docPr id="120222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27318" name=""/>
                    <pic:cNvPicPr/>
                  </pic:nvPicPr>
                  <pic:blipFill>
                    <a:blip r:embed="rId15"/>
                    <a:stretch>
                      <a:fillRect/>
                    </a:stretch>
                  </pic:blipFill>
                  <pic:spPr>
                    <a:xfrm>
                      <a:off x="0" y="0"/>
                      <a:ext cx="6672676" cy="2626101"/>
                    </a:xfrm>
                    <a:prstGeom prst="rect">
                      <a:avLst/>
                    </a:prstGeom>
                  </pic:spPr>
                </pic:pic>
              </a:graphicData>
            </a:graphic>
          </wp:inline>
        </w:drawing>
      </w:r>
    </w:p>
    <w:p w14:paraId="4B112C43" w14:textId="2A12F7EC" w:rsidR="00D7640A" w:rsidRDefault="00D7640A">
      <w:pPr>
        <w:pStyle w:val="Heading2"/>
      </w:pPr>
    </w:p>
    <w:p w14:paraId="6623D871" w14:textId="77777777" w:rsidR="002F1D73" w:rsidRPr="002F1D73" w:rsidRDefault="002F1D73" w:rsidP="002F1D73">
      <w:pPr>
        <w:pStyle w:val="Heading2"/>
      </w:pPr>
      <w:r w:rsidRPr="002F1D73">
        <w:t>Winter (December to February 2022)</w:t>
      </w:r>
    </w:p>
    <w:p w14:paraId="2B9EAC61" w14:textId="3D0967B2" w:rsidR="00D7640A" w:rsidRDefault="00AB3F44" w:rsidP="00AB3F44">
      <w:pPr>
        <w:pStyle w:val="Heading2"/>
        <w:ind w:left="-450"/>
      </w:pPr>
      <w:r w:rsidRPr="00AB3F44">
        <w:rPr>
          <w:noProof/>
        </w:rPr>
        <w:drawing>
          <wp:inline distT="0" distB="0" distL="0" distR="0" wp14:anchorId="2CDBED02" wp14:editId="4531585A">
            <wp:extent cx="6641765" cy="2565169"/>
            <wp:effectExtent l="0" t="0" r="6985" b="6985"/>
            <wp:docPr id="911087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087370" name=""/>
                    <pic:cNvPicPr/>
                  </pic:nvPicPr>
                  <pic:blipFill>
                    <a:blip r:embed="rId16"/>
                    <a:stretch>
                      <a:fillRect/>
                    </a:stretch>
                  </pic:blipFill>
                  <pic:spPr>
                    <a:xfrm>
                      <a:off x="0" y="0"/>
                      <a:ext cx="6698056" cy="2586909"/>
                    </a:xfrm>
                    <a:prstGeom prst="rect">
                      <a:avLst/>
                    </a:prstGeom>
                  </pic:spPr>
                </pic:pic>
              </a:graphicData>
            </a:graphic>
          </wp:inline>
        </w:drawing>
      </w:r>
    </w:p>
    <w:p w14:paraId="3CA4DB2E" w14:textId="77777777" w:rsidR="00D7640A" w:rsidRDefault="00D7640A">
      <w:pPr>
        <w:pStyle w:val="Heading2"/>
      </w:pPr>
    </w:p>
    <w:p w14:paraId="7B911622" w14:textId="77777777" w:rsidR="00AB3F44" w:rsidRDefault="00AB3F44" w:rsidP="002F1D73">
      <w:pPr>
        <w:pStyle w:val="Heading2"/>
      </w:pPr>
    </w:p>
    <w:p w14:paraId="293CBC10" w14:textId="77777777" w:rsidR="00AB3F44" w:rsidRDefault="00AB3F44" w:rsidP="002F1D73">
      <w:pPr>
        <w:pStyle w:val="Heading2"/>
      </w:pPr>
    </w:p>
    <w:p w14:paraId="2CAB0CAE" w14:textId="77777777" w:rsidR="00AB3F44" w:rsidRDefault="00AB3F44" w:rsidP="002F1D73">
      <w:pPr>
        <w:pStyle w:val="Heading2"/>
      </w:pPr>
    </w:p>
    <w:p w14:paraId="50D37A56" w14:textId="1A077F4A" w:rsidR="002F1D73" w:rsidRPr="002F1D73" w:rsidRDefault="002F1D73" w:rsidP="002F1D73">
      <w:pPr>
        <w:pStyle w:val="Heading2"/>
      </w:pPr>
      <w:r w:rsidRPr="002F1D73">
        <w:lastRenderedPageBreak/>
        <w:t>Spring (March to May 2022)</w:t>
      </w:r>
    </w:p>
    <w:p w14:paraId="17A6B71A" w14:textId="2790E79E" w:rsidR="00D7640A" w:rsidRDefault="00AB3F44" w:rsidP="00AB3F44">
      <w:pPr>
        <w:pStyle w:val="Heading2"/>
        <w:ind w:left="-360" w:firstLine="90"/>
      </w:pPr>
      <w:r w:rsidRPr="00AB3F44">
        <w:rPr>
          <w:noProof/>
        </w:rPr>
        <w:drawing>
          <wp:inline distT="0" distB="0" distL="0" distR="0" wp14:anchorId="7D125F81" wp14:editId="7BE03EF6">
            <wp:extent cx="6751340" cy="2985655"/>
            <wp:effectExtent l="0" t="0" r="0" b="5715"/>
            <wp:docPr id="95181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81726" name=""/>
                    <pic:cNvPicPr/>
                  </pic:nvPicPr>
                  <pic:blipFill>
                    <a:blip r:embed="rId17"/>
                    <a:stretch>
                      <a:fillRect/>
                    </a:stretch>
                  </pic:blipFill>
                  <pic:spPr>
                    <a:xfrm>
                      <a:off x="0" y="0"/>
                      <a:ext cx="6800438" cy="3007368"/>
                    </a:xfrm>
                    <a:prstGeom prst="rect">
                      <a:avLst/>
                    </a:prstGeom>
                  </pic:spPr>
                </pic:pic>
              </a:graphicData>
            </a:graphic>
          </wp:inline>
        </w:drawing>
      </w:r>
    </w:p>
    <w:p w14:paraId="0607A5BA" w14:textId="77777777" w:rsidR="002F1D73" w:rsidRDefault="002F1D73">
      <w:pPr>
        <w:pStyle w:val="Heading2"/>
      </w:pPr>
    </w:p>
    <w:p w14:paraId="5D7E6375" w14:textId="29C33944" w:rsidR="000A165A" w:rsidRDefault="0098262C">
      <w:pPr>
        <w:pStyle w:val="Heading2"/>
      </w:pPr>
      <w:r>
        <w:t>3.6 Social Media Insights (Twitter)</w:t>
      </w:r>
    </w:p>
    <w:p w14:paraId="54BA6F5F" w14:textId="77777777" w:rsidR="000A165A" w:rsidRDefault="00000000">
      <w:pPr>
        <w:spacing w:after="120"/>
      </w:pPr>
      <w:r>
        <w:t>Analysis of UK healthcare hashtags from Twitter revealed strong public engagement around NHS topics:</w:t>
      </w:r>
    </w:p>
    <w:p w14:paraId="0F4F709F" w14:textId="77777777" w:rsidR="000A165A" w:rsidRDefault="00000000">
      <w:pPr>
        <w:pStyle w:val="ListParagraph"/>
        <w:numPr>
          <w:ilvl w:val="0"/>
          <w:numId w:val="2"/>
        </w:numPr>
        <w:spacing w:after="80"/>
      </w:pPr>
      <w:r>
        <w:t>High-engagement hashtags are concentrated around NHS staffing pressures, waiting times, and access to care.</w:t>
      </w:r>
    </w:p>
    <w:p w14:paraId="75A046D2" w14:textId="77777777" w:rsidR="000A165A" w:rsidRDefault="00000000">
      <w:pPr>
        <w:pStyle w:val="ListParagraph"/>
        <w:numPr>
          <w:ilvl w:val="0"/>
          <w:numId w:val="2"/>
        </w:numPr>
        <w:spacing w:after="80"/>
      </w:pPr>
      <w:r>
        <w:t>These themes directly mirror the operational pressures identified in the appointment data, validating the relevance of public discourse as a signal.</w:t>
      </w:r>
    </w:p>
    <w:p w14:paraId="20C9D5EF" w14:textId="77777777" w:rsidR="000A165A" w:rsidRDefault="00000000">
      <w:pPr>
        <w:pStyle w:val="ListParagraph"/>
        <w:numPr>
          <w:ilvl w:val="0"/>
          <w:numId w:val="2"/>
        </w:numPr>
        <w:spacing w:after="80"/>
      </w:pPr>
      <w:r>
        <w:t xml:space="preserve">Focusing exclusively on retweeted or </w:t>
      </w:r>
      <w:proofErr w:type="spellStart"/>
      <w:r>
        <w:t>favourited</w:t>
      </w:r>
      <w:proofErr w:type="spellEnd"/>
      <w:r>
        <w:t xml:space="preserve"> content could introduce selection bias; a balanced approach considering both high-engagement and broader tweet data is recommended for future monitoring.</w:t>
      </w:r>
    </w:p>
    <w:p w14:paraId="79C09278" w14:textId="77777777" w:rsidR="007F5D25" w:rsidRDefault="007F5D25">
      <w:pPr>
        <w:spacing w:after="80"/>
      </w:pPr>
    </w:p>
    <w:p w14:paraId="3F1E86B4" w14:textId="043DE7FA" w:rsidR="007F5D25" w:rsidRDefault="007F5D25">
      <w:pPr>
        <w:spacing w:after="80"/>
      </w:pPr>
      <w:r w:rsidRPr="007F5D25">
        <w:lastRenderedPageBreak/>
        <w:drawing>
          <wp:inline distT="0" distB="0" distL="0" distR="0" wp14:anchorId="55F922DB" wp14:editId="568DCA6E">
            <wp:extent cx="5943600" cy="4939665"/>
            <wp:effectExtent l="0" t="0" r="0" b="0"/>
            <wp:docPr id="55913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37313" name=""/>
                    <pic:cNvPicPr/>
                  </pic:nvPicPr>
                  <pic:blipFill>
                    <a:blip r:embed="rId18"/>
                    <a:stretch>
                      <a:fillRect/>
                    </a:stretch>
                  </pic:blipFill>
                  <pic:spPr>
                    <a:xfrm>
                      <a:off x="0" y="0"/>
                      <a:ext cx="5943600" cy="4939665"/>
                    </a:xfrm>
                    <a:prstGeom prst="rect">
                      <a:avLst/>
                    </a:prstGeom>
                  </pic:spPr>
                </pic:pic>
              </a:graphicData>
            </a:graphic>
          </wp:inline>
        </w:drawing>
      </w:r>
    </w:p>
    <w:p w14:paraId="5EC3E1B5" w14:textId="4E6D7F48" w:rsidR="000A165A" w:rsidRDefault="0098262C">
      <w:pPr>
        <w:pStyle w:val="Heading1"/>
      </w:pPr>
      <w:r>
        <w:t>4. Recommendations</w:t>
      </w:r>
    </w:p>
    <w:p w14:paraId="1BB6C32F" w14:textId="77777777" w:rsidR="000A165A" w:rsidRDefault="00000000">
      <w:pPr>
        <w:pStyle w:val="Heading2"/>
      </w:pPr>
      <w:r>
        <w:t>Recommendation 1: Increase Staffing Levels in General Practice</w:t>
      </w:r>
    </w:p>
    <w:p w14:paraId="4D6AA12A" w14:textId="77777777" w:rsidR="000A165A" w:rsidRDefault="00000000">
      <w:pPr>
        <w:spacing w:after="120"/>
      </w:pPr>
      <w:r>
        <w:t xml:space="preserve">With General Practice accounting for over 91% of all NHS appointments, and demand returning to and exceeding pre-pandemic levels, the NHS should consider targeted increases in GP and allied health professional capacity. The combination of high appointment volumes, short consultation durations, and sustained pressure on GPs (who handle 51% of appointments) indicates that current staffing levels are operating near capacity. Staff recruitment and retention initiatives — particularly in high-volume sub-ICB locations — should be </w:t>
      </w:r>
      <w:proofErr w:type="spellStart"/>
      <w:r>
        <w:t>prioritised</w:t>
      </w:r>
      <w:proofErr w:type="spellEnd"/>
      <w:r>
        <w:t>.</w:t>
      </w:r>
    </w:p>
    <w:p w14:paraId="0EB59FDA" w14:textId="77777777" w:rsidR="000A165A" w:rsidRDefault="000A165A">
      <w:pPr>
        <w:spacing w:after="80"/>
      </w:pPr>
    </w:p>
    <w:p w14:paraId="68C22EA2" w14:textId="77777777" w:rsidR="000A165A" w:rsidRDefault="00000000">
      <w:pPr>
        <w:pStyle w:val="Heading2"/>
      </w:pPr>
      <w:r>
        <w:t>Recommendation 2: Retain and Expand Hybrid Appointment Models</w:t>
      </w:r>
    </w:p>
    <w:p w14:paraId="7C83DEC8" w14:textId="23DF2E41" w:rsidR="000A165A" w:rsidRDefault="00000000">
      <w:pPr>
        <w:spacing w:after="120"/>
      </w:pPr>
      <w:r>
        <w:t xml:space="preserve">The pandemic demonstrated that a substantial share of patients can be effectively served via telephone or digital consultations. Maintaining a hybrid model — rather than </w:t>
      </w:r>
      <w:r>
        <w:lastRenderedPageBreak/>
        <w:t xml:space="preserve">reverting fully to face-to-face — would increase throughput without proportional investment in physical infrastructure. A target ratio of approximately 60% face-to-face and 40% </w:t>
      </w:r>
      <w:r w:rsidR="000279AE">
        <w:t>telephonic consultations</w:t>
      </w:r>
      <w:r>
        <w:t xml:space="preserve"> could be </w:t>
      </w:r>
      <w:proofErr w:type="spellStart"/>
      <w:r>
        <w:t>formalised</w:t>
      </w:r>
      <w:proofErr w:type="spellEnd"/>
      <w:r>
        <w:t xml:space="preserve"> as an operational benchmark, reviewed periodically based on patient outcomes and satisfaction.</w:t>
      </w:r>
    </w:p>
    <w:p w14:paraId="6A068801" w14:textId="77777777" w:rsidR="000A165A" w:rsidRDefault="000A165A">
      <w:pPr>
        <w:spacing w:after="80"/>
      </w:pPr>
    </w:p>
    <w:p w14:paraId="179C7731" w14:textId="77777777" w:rsidR="000A165A" w:rsidRDefault="00000000">
      <w:pPr>
        <w:pStyle w:val="Heading2"/>
      </w:pPr>
      <w:r>
        <w:t>Recommendation 3: Reduce DNA (Did Not Attend) Rates</w:t>
      </w:r>
    </w:p>
    <w:p w14:paraId="68954AB2" w14:textId="77777777" w:rsidR="000A165A" w:rsidRDefault="00000000">
      <w:pPr>
        <w:spacing w:after="120"/>
      </w:pPr>
      <w:r>
        <w:t>At 4.2%, DNA appointments represent a meaningful and addressable source of wasted clinical capacity. The NHS should invest in the following interventions:</w:t>
      </w:r>
    </w:p>
    <w:p w14:paraId="425F7BD6" w14:textId="77777777" w:rsidR="000A165A" w:rsidRDefault="00000000">
      <w:pPr>
        <w:pStyle w:val="ListParagraph"/>
        <w:numPr>
          <w:ilvl w:val="0"/>
          <w:numId w:val="2"/>
        </w:numPr>
        <w:spacing w:after="80"/>
      </w:pPr>
      <w:r>
        <w:t>Automated SMS or app-based appointment reminders sent 24–48 hours in advance.</w:t>
      </w:r>
    </w:p>
    <w:p w14:paraId="641E8D2B" w14:textId="77777777" w:rsidR="000A165A" w:rsidRDefault="00000000">
      <w:pPr>
        <w:pStyle w:val="ListParagraph"/>
        <w:numPr>
          <w:ilvl w:val="0"/>
          <w:numId w:val="2"/>
        </w:numPr>
        <w:spacing w:after="80"/>
      </w:pPr>
      <w:r>
        <w:t>Simplified cancellation processes (e.g., one-click cancellation via text message) to allow prompt reallocation of slots.</w:t>
      </w:r>
    </w:p>
    <w:p w14:paraId="031A8EF4" w14:textId="77777777" w:rsidR="000A165A" w:rsidRDefault="00000000">
      <w:pPr>
        <w:pStyle w:val="ListParagraph"/>
        <w:numPr>
          <w:ilvl w:val="0"/>
          <w:numId w:val="2"/>
        </w:numPr>
        <w:spacing w:after="80"/>
      </w:pPr>
      <w:r>
        <w:t>Analysis of DNA patterns by sub-ICB location and appointment type to target interventions where they will have the greatest impact.</w:t>
      </w:r>
    </w:p>
    <w:p w14:paraId="2CEAE26F" w14:textId="77777777" w:rsidR="000A165A" w:rsidRDefault="00000000">
      <w:pPr>
        <w:spacing w:after="120"/>
      </w:pPr>
      <w:r>
        <w:t>Even reducing the DNA rate by 1–2 percentage points across millions of annual appointments would free up substantial clinical time.</w:t>
      </w:r>
    </w:p>
    <w:p w14:paraId="49FD9438" w14:textId="77777777" w:rsidR="000A165A" w:rsidRDefault="000A165A">
      <w:pPr>
        <w:spacing w:after="80"/>
      </w:pPr>
    </w:p>
    <w:p w14:paraId="202BF54C" w14:textId="77777777" w:rsidR="000A165A" w:rsidRDefault="00000000">
      <w:pPr>
        <w:pStyle w:val="Heading2"/>
      </w:pPr>
      <w:r>
        <w:t>Recommendation 4: Address Data Quality Around Appointment Duration</w:t>
      </w:r>
    </w:p>
    <w:p w14:paraId="516E2CFD" w14:textId="77777777" w:rsidR="000A165A" w:rsidRDefault="00000000">
      <w:pPr>
        <w:spacing w:after="120"/>
      </w:pPr>
      <w:r>
        <w:t xml:space="preserve">The fact that 24% of appointment durations are unrecorded is a significant data quality issue. Without complete duration data, capacity planning models are unreliable. The NHS should </w:t>
      </w:r>
      <w:proofErr w:type="spellStart"/>
      <w:r>
        <w:t>standardise</w:t>
      </w:r>
      <w:proofErr w:type="spellEnd"/>
      <w:r>
        <w:t xml:space="preserve"> duration capture across all settings, ideally through integration with clinical scheduling systems, to ensure complete and consistent records going forward.</w:t>
      </w:r>
    </w:p>
    <w:p w14:paraId="0AC0D196" w14:textId="77777777" w:rsidR="000A165A" w:rsidRDefault="000A165A">
      <w:pPr>
        <w:spacing w:after="80"/>
      </w:pPr>
    </w:p>
    <w:p w14:paraId="22351BA5" w14:textId="77777777" w:rsidR="000A165A" w:rsidRDefault="00000000">
      <w:pPr>
        <w:pStyle w:val="Heading2"/>
      </w:pPr>
      <w:r>
        <w:t>Recommendation 5: Implement Seasonal Workforce Planning</w:t>
      </w:r>
    </w:p>
    <w:p w14:paraId="6A724C99" w14:textId="77777777" w:rsidR="000A165A" w:rsidRDefault="00000000">
      <w:pPr>
        <w:spacing w:after="120"/>
      </w:pPr>
      <w:r>
        <w:t xml:space="preserve">The data shows recurring dips in appointment activity during winter months (December – February), coinciding with peak illness burden and staff absences. The NHS should </w:t>
      </w:r>
      <w:proofErr w:type="spellStart"/>
      <w:r>
        <w:t>formalise</w:t>
      </w:r>
      <w:proofErr w:type="spellEnd"/>
      <w:r>
        <w:t xml:space="preserve"> seasonal workforce planning to manage these predictable pressure points, including:</w:t>
      </w:r>
    </w:p>
    <w:p w14:paraId="3DF18A9C" w14:textId="77777777" w:rsidR="000A165A" w:rsidRDefault="00000000">
      <w:pPr>
        <w:pStyle w:val="ListParagraph"/>
        <w:numPr>
          <w:ilvl w:val="0"/>
          <w:numId w:val="2"/>
        </w:numPr>
        <w:spacing w:after="80"/>
      </w:pPr>
      <w:r>
        <w:t>Pre-arranged locum and temporary staffing agreements for winter periods.</w:t>
      </w:r>
    </w:p>
    <w:p w14:paraId="765F5444" w14:textId="77777777" w:rsidR="000A165A" w:rsidRDefault="00000000">
      <w:pPr>
        <w:pStyle w:val="ListParagraph"/>
        <w:numPr>
          <w:ilvl w:val="0"/>
          <w:numId w:val="2"/>
        </w:numPr>
        <w:spacing w:after="80"/>
      </w:pPr>
      <w:r>
        <w:t>Flexible staffing models that can be activated during peak demand.</w:t>
      </w:r>
    </w:p>
    <w:p w14:paraId="4230AD7D" w14:textId="77777777" w:rsidR="000A165A" w:rsidRDefault="00000000">
      <w:pPr>
        <w:pStyle w:val="ListParagraph"/>
        <w:numPr>
          <w:ilvl w:val="0"/>
          <w:numId w:val="2"/>
        </w:numPr>
        <w:spacing w:after="80"/>
      </w:pPr>
      <w:r>
        <w:t>Advance capacity planning tied to seasonal appointment forecasts.</w:t>
      </w:r>
    </w:p>
    <w:p w14:paraId="607C66C1" w14:textId="77777777" w:rsidR="000A165A" w:rsidRDefault="000A165A">
      <w:pPr>
        <w:spacing w:after="80"/>
      </w:pPr>
    </w:p>
    <w:p w14:paraId="1F7EEBDB" w14:textId="77777777" w:rsidR="000A165A" w:rsidRDefault="00000000">
      <w:pPr>
        <w:pStyle w:val="Heading2"/>
      </w:pPr>
      <w:r>
        <w:t>Recommendation 6: Monitor Long-Wait Appointments as a Capacity Indicator</w:t>
      </w:r>
    </w:p>
    <w:p w14:paraId="632B000E" w14:textId="77777777" w:rsidR="000A165A" w:rsidRDefault="00000000">
      <w:pPr>
        <w:spacing w:after="120"/>
      </w:pPr>
      <w:r>
        <w:lastRenderedPageBreak/>
        <w:t>While most appointments are fulfilled quickly (66.9% within 7 days of booking), the proportion with waits exceeding 14 days should be tracked as a leading indicator of systemic capacity strain. A sustained upward trend in long-</w:t>
      </w:r>
      <w:proofErr w:type="gramStart"/>
      <w:r>
        <w:t>wait</w:t>
      </w:r>
      <w:proofErr w:type="gramEnd"/>
      <w:r>
        <w:t xml:space="preserve"> appointments would signal the need for urgent workforce or process intervention before backlogs become entrenched.</w:t>
      </w:r>
    </w:p>
    <w:p w14:paraId="03AE0E94" w14:textId="77777777" w:rsidR="000A165A" w:rsidRDefault="000A165A">
      <w:pPr>
        <w:spacing w:after="80"/>
      </w:pPr>
    </w:p>
    <w:p w14:paraId="4771F00C" w14:textId="77777777" w:rsidR="000A165A" w:rsidRDefault="00000000">
      <w:pPr>
        <w:pStyle w:val="Heading2"/>
      </w:pPr>
      <w:r>
        <w:t xml:space="preserve">Recommendation 7: </w:t>
      </w:r>
      <w:proofErr w:type="spellStart"/>
      <w:r>
        <w:t>Formalise</w:t>
      </w:r>
      <w:proofErr w:type="spellEnd"/>
      <w:r>
        <w:t xml:space="preserve"> Social Media Monitoring as an Early Warning System</w:t>
      </w:r>
    </w:p>
    <w:p w14:paraId="7912E39B" w14:textId="77777777" w:rsidR="000A165A" w:rsidRDefault="00000000">
      <w:pPr>
        <w:spacing w:after="120"/>
      </w:pPr>
      <w:r>
        <w:t>Public discourse on Twitter and other platforms around NHS themes has been shown to correlate closely with real operational pressures in the appointment data. The NHS should consider implementing a lightweight, structured social media monitoring process to:</w:t>
      </w:r>
    </w:p>
    <w:p w14:paraId="64B2BD0C" w14:textId="77777777" w:rsidR="000A165A" w:rsidRDefault="00000000">
      <w:pPr>
        <w:pStyle w:val="ListParagraph"/>
        <w:numPr>
          <w:ilvl w:val="0"/>
          <w:numId w:val="2"/>
        </w:numPr>
        <w:spacing w:after="80"/>
      </w:pPr>
      <w:r>
        <w:t>Identify emerging public concerns before they manifest in clinical data.</w:t>
      </w:r>
    </w:p>
    <w:p w14:paraId="380B6C6C" w14:textId="77777777" w:rsidR="000A165A" w:rsidRDefault="00000000">
      <w:pPr>
        <w:pStyle w:val="ListParagraph"/>
        <w:numPr>
          <w:ilvl w:val="0"/>
          <w:numId w:val="2"/>
        </w:numPr>
        <w:spacing w:after="80"/>
      </w:pPr>
      <w:r>
        <w:t>Gauge public sentiment around service changes or healthcare announcements.</w:t>
      </w:r>
    </w:p>
    <w:p w14:paraId="294B36C4" w14:textId="77777777" w:rsidR="000A165A" w:rsidRDefault="00000000">
      <w:pPr>
        <w:pStyle w:val="ListParagraph"/>
        <w:numPr>
          <w:ilvl w:val="0"/>
          <w:numId w:val="2"/>
        </w:numPr>
        <w:spacing w:after="80"/>
      </w:pPr>
      <w:r>
        <w:t>Complement quantitative appointment analytics with qualitative public insight.</w:t>
      </w:r>
    </w:p>
    <w:p w14:paraId="4580B447" w14:textId="77777777" w:rsidR="000A165A" w:rsidRDefault="000A165A">
      <w:pPr>
        <w:spacing w:after="80"/>
      </w:pPr>
    </w:p>
    <w:p w14:paraId="7590CEAC" w14:textId="22C4FEA5" w:rsidR="000A165A" w:rsidRDefault="0098262C">
      <w:pPr>
        <w:pStyle w:val="Heading1"/>
      </w:pPr>
      <w:r>
        <w:t>5. Conclusion</w:t>
      </w:r>
    </w:p>
    <w:p w14:paraId="28A833BF" w14:textId="77777777" w:rsidR="00B30928" w:rsidRDefault="00B30928" w:rsidP="00B30928">
      <w:pPr>
        <w:spacing w:after="100"/>
        <w:jc w:val="both"/>
      </w:pPr>
      <w:r>
        <w:rPr>
          <w:color w:val="2C2C2A"/>
          <w:sz w:val="22"/>
          <w:szCs w:val="22"/>
        </w:rPr>
        <w:t>The analysis demonstrates that NHS primary care is a high-volume, General Practice-dominated system operating with limited capacity headroom:</w:t>
      </w:r>
    </w:p>
    <w:p w14:paraId="57D5F9A2" w14:textId="77777777" w:rsidR="00B30928" w:rsidRDefault="00B30928" w:rsidP="00B30928">
      <w:pPr>
        <w:spacing w:after="60"/>
      </w:pPr>
    </w:p>
    <w:p w14:paraId="46D68E1F" w14:textId="77777777" w:rsidR="00B30928" w:rsidRDefault="00B30928" w:rsidP="00B30928">
      <w:pPr>
        <w:pStyle w:val="ListParagraph"/>
        <w:numPr>
          <w:ilvl w:val="0"/>
          <w:numId w:val="4"/>
        </w:numPr>
        <w:spacing w:after="60"/>
      </w:pPr>
      <w:r>
        <w:rPr>
          <w:b/>
          <w:bCs/>
          <w:color w:val="2C2C2A"/>
          <w:sz w:val="22"/>
          <w:szCs w:val="22"/>
        </w:rPr>
        <w:t>Capacity is near ceiling during peak months:</w:t>
      </w:r>
      <w:r>
        <w:rPr>
          <w:color w:val="2C2C2A"/>
          <w:sz w:val="22"/>
          <w:szCs w:val="22"/>
        </w:rPr>
        <w:t xml:space="preserve"> only 2 of 11 post-recovery months breached the statistical threshold, indicating minimal buffer for demand surges.</w:t>
      </w:r>
    </w:p>
    <w:p w14:paraId="30172609" w14:textId="77777777" w:rsidR="00B30928" w:rsidRDefault="00B30928" w:rsidP="00B30928">
      <w:pPr>
        <w:pStyle w:val="ListParagraph"/>
        <w:numPr>
          <w:ilvl w:val="0"/>
          <w:numId w:val="4"/>
        </w:numPr>
        <w:spacing w:after="60"/>
      </w:pPr>
      <w:r>
        <w:rPr>
          <w:b/>
          <w:bCs/>
          <w:color w:val="2C2C2A"/>
          <w:sz w:val="22"/>
          <w:szCs w:val="22"/>
        </w:rPr>
        <w:t>COVID-19 has structurally altered delivery mode:</w:t>
      </w:r>
      <w:r>
        <w:rPr>
          <w:color w:val="2C2C2A"/>
          <w:sz w:val="22"/>
          <w:szCs w:val="22"/>
        </w:rPr>
        <w:t xml:space="preserve"> the telephone/face-to-face ratio has not returned to pre-2020 levels, requiring </w:t>
      </w:r>
      <w:proofErr w:type="spellStart"/>
      <w:r>
        <w:rPr>
          <w:color w:val="2C2C2A"/>
          <w:sz w:val="22"/>
          <w:szCs w:val="22"/>
        </w:rPr>
        <w:t>formalisation</w:t>
      </w:r>
      <w:proofErr w:type="spellEnd"/>
      <w:r>
        <w:rPr>
          <w:color w:val="2C2C2A"/>
          <w:sz w:val="22"/>
          <w:szCs w:val="22"/>
        </w:rPr>
        <w:t xml:space="preserve"> of hybrid appointment models.</w:t>
      </w:r>
    </w:p>
    <w:p w14:paraId="031AFAE5" w14:textId="77777777" w:rsidR="00B30928" w:rsidRDefault="00B30928" w:rsidP="00B30928">
      <w:pPr>
        <w:pStyle w:val="ListParagraph"/>
        <w:numPr>
          <w:ilvl w:val="0"/>
          <w:numId w:val="4"/>
        </w:numPr>
        <w:spacing w:after="60"/>
      </w:pPr>
      <w:r>
        <w:rPr>
          <w:b/>
          <w:bCs/>
          <w:color w:val="2C2C2A"/>
          <w:sz w:val="22"/>
          <w:szCs w:val="22"/>
        </w:rPr>
        <w:t>Data quality limits planning accuracy:</w:t>
      </w:r>
      <w:r>
        <w:rPr>
          <w:color w:val="2C2C2A"/>
          <w:sz w:val="22"/>
          <w:szCs w:val="22"/>
        </w:rPr>
        <w:t xml:space="preserve"> 24% missing duration records and 13.1% unmapped category records reduce the reliability of capacity models.</w:t>
      </w:r>
    </w:p>
    <w:p w14:paraId="3D17CB94" w14:textId="77777777" w:rsidR="00B30928" w:rsidRDefault="00B30928" w:rsidP="00B30928">
      <w:pPr>
        <w:pStyle w:val="ListParagraph"/>
        <w:numPr>
          <w:ilvl w:val="0"/>
          <w:numId w:val="4"/>
        </w:numPr>
        <w:spacing w:after="60"/>
      </w:pPr>
      <w:r>
        <w:rPr>
          <w:b/>
          <w:bCs/>
          <w:color w:val="2C2C2A"/>
          <w:sz w:val="22"/>
          <w:szCs w:val="22"/>
        </w:rPr>
        <w:t>Seasonal patterns are predictable and plannable:</w:t>
      </w:r>
      <w:r>
        <w:rPr>
          <w:color w:val="2C2C2A"/>
          <w:sz w:val="22"/>
          <w:szCs w:val="22"/>
        </w:rPr>
        <w:t xml:space="preserve"> winter dips and holiday troughs are consistent and foreseeable, providing a basis for proactive workforce planning.</w:t>
      </w:r>
    </w:p>
    <w:p w14:paraId="07E63DA9" w14:textId="77777777" w:rsidR="00E51B58" w:rsidRPr="00E51B58" w:rsidRDefault="00B30928" w:rsidP="00E51B58">
      <w:pPr>
        <w:pStyle w:val="ListParagraph"/>
        <w:numPr>
          <w:ilvl w:val="0"/>
          <w:numId w:val="4"/>
        </w:numPr>
        <w:spacing w:after="60"/>
      </w:pPr>
      <w:r>
        <w:rPr>
          <w:b/>
          <w:bCs/>
          <w:color w:val="2C2C2A"/>
          <w:sz w:val="22"/>
          <w:szCs w:val="22"/>
        </w:rPr>
        <w:t>Long-wait trends require monitoring:</w:t>
      </w:r>
      <w:r>
        <w:rPr>
          <w:color w:val="2C2C2A"/>
          <w:sz w:val="22"/>
          <w:szCs w:val="22"/>
        </w:rPr>
        <w:t xml:space="preserve"> the upward creep in 14+ day waits approaching mid-2022 is an early indicator of capacity strain requiring urgent intervention</w:t>
      </w:r>
      <w:r w:rsidR="00E51B58">
        <w:rPr>
          <w:color w:val="2C2C2A"/>
          <w:sz w:val="22"/>
          <w:szCs w:val="22"/>
        </w:rPr>
        <w:t>.</w:t>
      </w:r>
    </w:p>
    <w:p w14:paraId="359F1F3A" w14:textId="26D840BB" w:rsidR="00B30928" w:rsidRDefault="00B30928" w:rsidP="00E51B58">
      <w:pPr>
        <w:spacing w:after="60"/>
        <w:ind w:left="360"/>
      </w:pPr>
      <w:r w:rsidRPr="00E51B58">
        <w:rPr>
          <w:color w:val="2C2C2A"/>
          <w:sz w:val="22"/>
          <w:szCs w:val="22"/>
        </w:rPr>
        <w:t xml:space="preserve">These findings support seven targeted recommendations: staffing increases, </w:t>
      </w:r>
      <w:proofErr w:type="spellStart"/>
      <w:r w:rsidR="00E51B58" w:rsidRPr="00E51B58">
        <w:rPr>
          <w:color w:val="2C2C2A"/>
          <w:sz w:val="22"/>
          <w:szCs w:val="22"/>
        </w:rPr>
        <w:t>formalisation</w:t>
      </w:r>
      <w:proofErr w:type="spellEnd"/>
      <w:r w:rsidR="00E51B58" w:rsidRPr="00E51B58">
        <w:rPr>
          <w:color w:val="2C2C2A"/>
          <w:sz w:val="22"/>
          <w:szCs w:val="22"/>
        </w:rPr>
        <w:t xml:space="preserve"> of the hybrid appointment model, reduction in DNA rates, improvement in data quality, seasonal workforce planning, long-wait monitoring, and social media early-warning</w:t>
      </w:r>
      <w:r w:rsidRPr="00E51B58">
        <w:rPr>
          <w:color w:val="2C2C2A"/>
          <w:sz w:val="22"/>
          <w:szCs w:val="22"/>
        </w:rPr>
        <w:t xml:space="preserve"> systems.</w:t>
      </w:r>
    </w:p>
    <w:p w14:paraId="225BC0DD" w14:textId="77777777" w:rsidR="00B30928" w:rsidRDefault="00B30928">
      <w:pPr>
        <w:spacing w:after="120"/>
      </w:pPr>
    </w:p>
    <w:p w14:paraId="40CC5E6C" w14:textId="77777777" w:rsidR="00B30928" w:rsidRDefault="00B30928">
      <w:pPr>
        <w:spacing w:after="120"/>
      </w:pPr>
    </w:p>
    <w:sectPr w:rsidR="00B30928">
      <w:headerReference w:type="default" r:id="rId19"/>
      <w:footerReference w:type="default" r:id="rId2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F95FE9" w14:textId="77777777" w:rsidR="008B76BD" w:rsidRDefault="008B76BD">
      <w:r>
        <w:separator/>
      </w:r>
    </w:p>
  </w:endnote>
  <w:endnote w:type="continuationSeparator" w:id="0">
    <w:p w14:paraId="34097D8C" w14:textId="77777777" w:rsidR="008B76BD" w:rsidRDefault="008B7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B31A9" w14:textId="77777777" w:rsidR="000A165A" w:rsidRDefault="00000000">
    <w:pPr>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14E8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14E8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3991D" w14:textId="77777777" w:rsidR="008B76BD" w:rsidRDefault="008B76BD">
      <w:r>
        <w:separator/>
      </w:r>
    </w:p>
  </w:footnote>
  <w:footnote w:type="continuationSeparator" w:id="0">
    <w:p w14:paraId="533FF06F" w14:textId="77777777" w:rsidR="008B76BD" w:rsidRDefault="008B7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57289" w14:textId="77777777" w:rsidR="000A165A" w:rsidRDefault="00000000">
    <w:pPr>
      <w:pBdr>
        <w:bottom w:val="single" w:sz="4" w:space="1" w:color="CCCCCC"/>
      </w:pBdr>
    </w:pPr>
    <w:r>
      <w:rPr>
        <w:color w:val="888888"/>
        <w:sz w:val="18"/>
        <w:szCs w:val="18"/>
      </w:rPr>
      <w:t>NHS Diagnostic Analysis — Findings &amp; Recommendations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D5E3B"/>
    <w:multiLevelType w:val="hybridMultilevel"/>
    <w:tmpl w:val="5916F5F6"/>
    <w:lvl w:ilvl="0" w:tplc="76FE8D02">
      <w:start w:val="1"/>
      <w:numFmt w:val="bullet"/>
      <w:lvlText w:val="●"/>
      <w:lvlJc w:val="left"/>
      <w:pPr>
        <w:ind w:left="720" w:hanging="360"/>
      </w:pPr>
    </w:lvl>
    <w:lvl w:ilvl="1" w:tplc="1A601CAC">
      <w:start w:val="1"/>
      <w:numFmt w:val="bullet"/>
      <w:lvlText w:val="○"/>
      <w:lvlJc w:val="left"/>
      <w:pPr>
        <w:ind w:left="1440" w:hanging="360"/>
      </w:pPr>
    </w:lvl>
    <w:lvl w:ilvl="2" w:tplc="695E999C">
      <w:start w:val="1"/>
      <w:numFmt w:val="bullet"/>
      <w:lvlText w:val="■"/>
      <w:lvlJc w:val="left"/>
      <w:pPr>
        <w:ind w:left="2160" w:hanging="360"/>
      </w:pPr>
    </w:lvl>
    <w:lvl w:ilvl="3" w:tplc="8236BB9E">
      <w:start w:val="1"/>
      <w:numFmt w:val="bullet"/>
      <w:lvlText w:val="●"/>
      <w:lvlJc w:val="left"/>
      <w:pPr>
        <w:ind w:left="2880" w:hanging="360"/>
      </w:pPr>
    </w:lvl>
    <w:lvl w:ilvl="4" w:tplc="2B5857B8">
      <w:start w:val="1"/>
      <w:numFmt w:val="bullet"/>
      <w:lvlText w:val="○"/>
      <w:lvlJc w:val="left"/>
      <w:pPr>
        <w:ind w:left="3600" w:hanging="360"/>
      </w:pPr>
    </w:lvl>
    <w:lvl w:ilvl="5" w:tplc="92BA8006">
      <w:start w:val="1"/>
      <w:numFmt w:val="bullet"/>
      <w:lvlText w:val="■"/>
      <w:lvlJc w:val="left"/>
      <w:pPr>
        <w:ind w:left="4320" w:hanging="360"/>
      </w:pPr>
    </w:lvl>
    <w:lvl w:ilvl="6" w:tplc="DA72DE7E">
      <w:start w:val="1"/>
      <w:numFmt w:val="bullet"/>
      <w:lvlText w:val="●"/>
      <w:lvlJc w:val="left"/>
      <w:pPr>
        <w:ind w:left="5040" w:hanging="360"/>
      </w:pPr>
    </w:lvl>
    <w:lvl w:ilvl="7" w:tplc="0F50CC9E">
      <w:start w:val="1"/>
      <w:numFmt w:val="bullet"/>
      <w:lvlText w:val="●"/>
      <w:lvlJc w:val="left"/>
      <w:pPr>
        <w:ind w:left="5760" w:hanging="360"/>
      </w:pPr>
    </w:lvl>
    <w:lvl w:ilvl="8" w:tplc="4A2283AE">
      <w:start w:val="1"/>
      <w:numFmt w:val="bullet"/>
      <w:lvlText w:val="●"/>
      <w:lvlJc w:val="left"/>
      <w:pPr>
        <w:ind w:left="6480" w:hanging="360"/>
      </w:pPr>
    </w:lvl>
  </w:abstractNum>
  <w:abstractNum w:abstractNumId="1" w15:restartNumberingAfterBreak="0">
    <w:nsid w:val="11104598"/>
    <w:multiLevelType w:val="hybridMultilevel"/>
    <w:tmpl w:val="5A88AFB0"/>
    <w:lvl w:ilvl="0" w:tplc="693A75BE">
      <w:start w:val="1"/>
      <w:numFmt w:val="bullet"/>
      <w:lvlText w:val="•"/>
      <w:lvlJc w:val="left"/>
      <w:pPr>
        <w:ind w:left="720" w:hanging="360"/>
      </w:pPr>
    </w:lvl>
    <w:lvl w:ilvl="1" w:tplc="5D0AA362">
      <w:numFmt w:val="decimal"/>
      <w:lvlText w:val=""/>
      <w:lvlJc w:val="left"/>
    </w:lvl>
    <w:lvl w:ilvl="2" w:tplc="63004AD2">
      <w:numFmt w:val="decimal"/>
      <w:lvlText w:val=""/>
      <w:lvlJc w:val="left"/>
    </w:lvl>
    <w:lvl w:ilvl="3" w:tplc="E1F65DC0">
      <w:numFmt w:val="decimal"/>
      <w:lvlText w:val=""/>
      <w:lvlJc w:val="left"/>
    </w:lvl>
    <w:lvl w:ilvl="4" w:tplc="F9FA7012">
      <w:numFmt w:val="decimal"/>
      <w:lvlText w:val=""/>
      <w:lvlJc w:val="left"/>
    </w:lvl>
    <w:lvl w:ilvl="5" w:tplc="EC00509E">
      <w:numFmt w:val="decimal"/>
      <w:lvlText w:val=""/>
      <w:lvlJc w:val="left"/>
    </w:lvl>
    <w:lvl w:ilvl="6" w:tplc="22CE9BA8">
      <w:numFmt w:val="decimal"/>
      <w:lvlText w:val=""/>
      <w:lvlJc w:val="left"/>
    </w:lvl>
    <w:lvl w:ilvl="7" w:tplc="E83A9C64">
      <w:numFmt w:val="decimal"/>
      <w:lvlText w:val=""/>
      <w:lvlJc w:val="left"/>
    </w:lvl>
    <w:lvl w:ilvl="8" w:tplc="33EA0000">
      <w:numFmt w:val="decimal"/>
      <w:lvlText w:val=""/>
      <w:lvlJc w:val="left"/>
    </w:lvl>
  </w:abstractNum>
  <w:abstractNum w:abstractNumId="2" w15:restartNumberingAfterBreak="0">
    <w:nsid w:val="31C7549B"/>
    <w:multiLevelType w:val="hybridMultilevel"/>
    <w:tmpl w:val="E6B6533A"/>
    <w:lvl w:ilvl="0" w:tplc="58B6A4F6">
      <w:start w:val="1"/>
      <w:numFmt w:val="bullet"/>
      <w:lvlText w:val="•"/>
      <w:lvlJc w:val="left"/>
      <w:pPr>
        <w:ind w:left="720" w:hanging="360"/>
      </w:pPr>
    </w:lvl>
    <w:lvl w:ilvl="1" w:tplc="E474D632">
      <w:numFmt w:val="decimal"/>
      <w:lvlText w:val=""/>
      <w:lvlJc w:val="left"/>
    </w:lvl>
    <w:lvl w:ilvl="2" w:tplc="B43AC280">
      <w:numFmt w:val="decimal"/>
      <w:lvlText w:val=""/>
      <w:lvlJc w:val="left"/>
    </w:lvl>
    <w:lvl w:ilvl="3" w:tplc="1FD6A150">
      <w:numFmt w:val="decimal"/>
      <w:lvlText w:val=""/>
      <w:lvlJc w:val="left"/>
    </w:lvl>
    <w:lvl w:ilvl="4" w:tplc="E3ACD2D4">
      <w:numFmt w:val="decimal"/>
      <w:lvlText w:val=""/>
      <w:lvlJc w:val="left"/>
    </w:lvl>
    <w:lvl w:ilvl="5" w:tplc="AD4E1876">
      <w:numFmt w:val="decimal"/>
      <w:lvlText w:val=""/>
      <w:lvlJc w:val="left"/>
    </w:lvl>
    <w:lvl w:ilvl="6" w:tplc="D57A3F50">
      <w:numFmt w:val="decimal"/>
      <w:lvlText w:val=""/>
      <w:lvlJc w:val="left"/>
    </w:lvl>
    <w:lvl w:ilvl="7" w:tplc="6922D3B8">
      <w:numFmt w:val="decimal"/>
      <w:lvlText w:val=""/>
      <w:lvlJc w:val="left"/>
    </w:lvl>
    <w:lvl w:ilvl="8" w:tplc="B338154C">
      <w:numFmt w:val="decimal"/>
      <w:lvlText w:val=""/>
      <w:lvlJc w:val="left"/>
    </w:lvl>
  </w:abstractNum>
  <w:abstractNum w:abstractNumId="3" w15:restartNumberingAfterBreak="0">
    <w:nsid w:val="5AF940A4"/>
    <w:multiLevelType w:val="hybridMultilevel"/>
    <w:tmpl w:val="0C48889C"/>
    <w:lvl w:ilvl="0" w:tplc="2CC01C88">
      <w:start w:val="1"/>
      <w:numFmt w:val="decimal"/>
      <w:lvlText w:val="%1."/>
      <w:lvlJc w:val="left"/>
      <w:pPr>
        <w:ind w:left="720" w:hanging="360"/>
      </w:pPr>
    </w:lvl>
    <w:lvl w:ilvl="1" w:tplc="01489AA4">
      <w:numFmt w:val="decimal"/>
      <w:lvlText w:val=""/>
      <w:lvlJc w:val="left"/>
    </w:lvl>
    <w:lvl w:ilvl="2" w:tplc="0B3C5D52">
      <w:numFmt w:val="decimal"/>
      <w:lvlText w:val=""/>
      <w:lvlJc w:val="left"/>
    </w:lvl>
    <w:lvl w:ilvl="3" w:tplc="8D64D826">
      <w:numFmt w:val="decimal"/>
      <w:lvlText w:val=""/>
      <w:lvlJc w:val="left"/>
    </w:lvl>
    <w:lvl w:ilvl="4" w:tplc="E750AD4E">
      <w:numFmt w:val="decimal"/>
      <w:lvlText w:val=""/>
      <w:lvlJc w:val="left"/>
    </w:lvl>
    <w:lvl w:ilvl="5" w:tplc="247877E0">
      <w:numFmt w:val="decimal"/>
      <w:lvlText w:val=""/>
      <w:lvlJc w:val="left"/>
    </w:lvl>
    <w:lvl w:ilvl="6" w:tplc="6ED69C60">
      <w:numFmt w:val="decimal"/>
      <w:lvlText w:val=""/>
      <w:lvlJc w:val="left"/>
    </w:lvl>
    <w:lvl w:ilvl="7" w:tplc="9F9805D4">
      <w:numFmt w:val="decimal"/>
      <w:lvlText w:val=""/>
      <w:lvlJc w:val="left"/>
    </w:lvl>
    <w:lvl w:ilvl="8" w:tplc="DDB89168">
      <w:numFmt w:val="decimal"/>
      <w:lvlText w:val=""/>
      <w:lvlJc w:val="left"/>
    </w:lvl>
  </w:abstractNum>
  <w:abstractNum w:abstractNumId="4" w15:restartNumberingAfterBreak="0">
    <w:nsid w:val="7C19126D"/>
    <w:multiLevelType w:val="multilevel"/>
    <w:tmpl w:val="3A10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2640037">
    <w:abstractNumId w:val="0"/>
    <w:lvlOverride w:ilvl="0">
      <w:startOverride w:val="1"/>
    </w:lvlOverride>
  </w:num>
  <w:num w:numId="2" w16cid:durableId="455030026">
    <w:abstractNumId w:val="1"/>
    <w:lvlOverride w:ilvl="0">
      <w:startOverride w:val="1"/>
    </w:lvlOverride>
  </w:num>
  <w:num w:numId="3" w16cid:durableId="414521351">
    <w:abstractNumId w:val="4"/>
  </w:num>
  <w:num w:numId="4" w16cid:durableId="94496574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65A"/>
    <w:rsid w:val="000279AE"/>
    <w:rsid w:val="000A165A"/>
    <w:rsid w:val="0010509D"/>
    <w:rsid w:val="00167FE1"/>
    <w:rsid w:val="00214E88"/>
    <w:rsid w:val="00223D15"/>
    <w:rsid w:val="00280078"/>
    <w:rsid w:val="002F1D73"/>
    <w:rsid w:val="00392DD6"/>
    <w:rsid w:val="004A5474"/>
    <w:rsid w:val="00565E33"/>
    <w:rsid w:val="00743965"/>
    <w:rsid w:val="007A0609"/>
    <w:rsid w:val="007F5D25"/>
    <w:rsid w:val="00820B33"/>
    <w:rsid w:val="0083222E"/>
    <w:rsid w:val="00842658"/>
    <w:rsid w:val="008B76BD"/>
    <w:rsid w:val="009244BC"/>
    <w:rsid w:val="009764C6"/>
    <w:rsid w:val="0098262C"/>
    <w:rsid w:val="009D3BBC"/>
    <w:rsid w:val="00A26A9C"/>
    <w:rsid w:val="00AB3F44"/>
    <w:rsid w:val="00B30928"/>
    <w:rsid w:val="00B46D02"/>
    <w:rsid w:val="00B64166"/>
    <w:rsid w:val="00B84FCA"/>
    <w:rsid w:val="00BE6567"/>
    <w:rsid w:val="00C8210D"/>
    <w:rsid w:val="00D7640A"/>
    <w:rsid w:val="00D779B0"/>
    <w:rsid w:val="00E132E0"/>
    <w:rsid w:val="00E51B58"/>
    <w:rsid w:val="00EE0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00C82"/>
  <w15:docId w15:val="{5A983663-DD29-4E0E-B77F-C8C98016E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BE6567"/>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911</TotalTime>
  <Pages>14</Pages>
  <Words>1824</Words>
  <Characters>10401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aftb2</cp:lastModifiedBy>
  <cp:revision>9</cp:revision>
  <dcterms:created xsi:type="dcterms:W3CDTF">2026-03-25T05:40:00Z</dcterms:created>
  <dcterms:modified xsi:type="dcterms:W3CDTF">2026-03-29T07:21:00Z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9856648f-47d2-4eaf-9b51-fbc7ced921fd</vt:lpwstr>
  </property>
</Properties>
</file>