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2500"/>
      </w:pPr>
      <w:r>
        <w:rPr>
          <w:rFonts w:ascii="Calibri" w:cs="Calibri" w:eastAsia="Calibri" w:hAnsi="Calibri"/>
          <w:b/>
          <w:bCs/>
          <w:color w:val="C9962B"/>
          <w:spacing w:val="56"/>
          <w:sz w:val="19"/>
          <w:szCs w:val="19"/>
        </w:rPr>
        <w:t xml:space="preserve">JOURNAL ENTRY TESTING</w:t>
      </w:r>
    </w:p>
    <w:p>
      <w:pPr>
        <w:spacing w:after="180"/>
      </w:pPr>
      <w:r>
        <w:rPr>
          <w:rFonts w:ascii="Calibri" w:cs="Calibri" w:eastAsia="Calibri" w:hAnsi="Calibri"/>
          <w:b/>
          <w:bCs/>
          <w:color w:val="1B3A5C"/>
          <w:sz w:val="48"/>
          <w:szCs w:val="48"/>
        </w:rPr>
        <w:t xml:space="preserve">Test Objectives and Significance</w:t>
      </w:r>
    </w:p>
    <w:p>
      <w:pPr>
        <w:pBdr>
          <w:top w:val="single" w:color="C9962B" w:sz="12"/>
        </w:pBdr>
        <w:spacing w:after="640"/>
      </w:pPr>
      <w:r>
        <w:t xml:space="preserve"/>
      </w:r>
    </w:p>
    <w:p>
      <w:pPr>
        <w:spacing w:after="125" w:line="300"/>
      </w:pPr>
      <w:r>
        <w:rPr>
          <w:rFonts w:ascii="Calibri" w:cs="Calibri" w:eastAsia="Calibri" w:hAnsi="Calibri"/>
          <w:color w:val="5D6D7E"/>
          <w:sz w:val="23"/>
          <w:szCs w:val="23"/>
        </w:rPr>
        <w:t xml:space="preserve">Why each of the eight procedures exists, what pattern it is designed to surface, how its thresholds were set, and what a hit does and does not mean.</w:t>
      </w:r>
    </w:p>
    <w:p>
      <w:pPr>
        <w:spacing w:after="180"/>
      </w:pPr>
      <w:r>
        <w:t xml:space="preserve"/>
      </w:r>
    </w:p>
    <w:p>
      <w:pPr>
        <w:spacing w:after="125" w:line="300"/>
      </w:pPr>
      <w:r>
        <w:rPr>
          <w:rFonts w:ascii="Calibri" w:cs="Calibri" w:eastAsia="Calibri" w:hAnsi="Calibri"/>
          <w:color w:val="5D6D7E"/>
          <w:sz w:val="21"/>
          <w:szCs w:val="21"/>
        </w:rPr>
        <w:t xml:space="preserve">Prepared as supporting documentation for a population-scale journal entry testing suite built in Python, Excel Power Query and Alteryx Designer.</w:t>
      </w:r>
    </w:p>
    <w:p>
      <w:pPr>
        <w:spacing w:after="180"/>
      </w:pPr>
      <w:r>
        <w:t xml:space="preserve"/>
      </w:r>
    </w:p>
    <w:p>
      <w:pPr>
        <w:spacing w:after="125" w:line="300"/>
      </w:pPr>
      <w:r>
        <w:rPr>
          <w:rFonts w:ascii="Calibri" w:cs="Calibri" w:eastAsia="Calibri" w:hAnsi="Calibri"/>
          <w:color w:val="5D6D7E"/>
          <w:sz w:val="20"/>
          <w:szCs w:val="20"/>
        </w:rPr>
        <w:t xml:space="preserve">Sadia Yusuf, Chartered Accountant  ·  July 2026</w:t>
      </w:r>
    </w:p>
    <w:p>
      <w:r>
        <w:br w:type="page"/>
      </w:r>
    </w:p>
    <w:p>
      <w:pPr>
        <w:pStyle w:val="Heading1"/>
        <w:spacing w:after="170" w:before="400"/>
      </w:pPr>
      <w:r>
        <w:rPr>
          <w:rFonts w:ascii="Calibri" w:cs="Calibri" w:eastAsia="Calibri" w:hAnsi="Calibri"/>
          <w:b/>
          <w:bCs/>
          <w:color w:val="1B3A5C"/>
          <w:sz w:val="30"/>
          <w:szCs w:val="30"/>
        </w:rPr>
        <w:t xml:space="preserve">Contents</w:t>
      </w:r>
    </w:p>
    <w:p>
      <w:pPr>
        <w:spacing w:after="125" w:line="300"/>
      </w:pPr>
      <w:r>
        <w:rPr>
          <w:rFonts w:ascii="Calibri" w:cs="Calibri" w:eastAsia="Calibri" w:hAnsi="Calibri"/>
          <w:sz w:val="21"/>
          <w:szCs w:val="21"/>
        </w:rPr>
        <w:t xml:space="preserve">Part 1  —  Why journal entries are tested at all</w:t>
      </w:r>
    </w:p>
    <w:p>
      <w:pPr>
        <w:spacing w:after="125" w:line="300"/>
      </w:pPr>
      <w:r>
        <w:rPr>
          <w:rFonts w:ascii="Calibri" w:cs="Calibri" w:eastAsia="Calibri" w:hAnsi="Calibri"/>
          <w:sz w:val="21"/>
          <w:szCs w:val="21"/>
        </w:rPr>
        <w:t xml:space="preserve">Part 2  —  Why the whole population rather than a sample</w:t>
      </w:r>
    </w:p>
    <w:p>
      <w:pPr>
        <w:spacing w:after="125" w:line="300"/>
      </w:pPr>
      <w:r>
        <w:rPr>
          <w:rFonts w:ascii="Calibri" w:cs="Calibri" w:eastAsia="Calibri" w:hAnsi="Calibri"/>
          <w:sz w:val="21"/>
          <w:szCs w:val="21"/>
        </w:rPr>
        <w:t xml:space="preserve">Part 3  —  The eight procedures</w:t>
      </w:r>
    </w:p>
    <w:p>
      <w:pPr>
        <w:spacing w:after="125" w:line="300"/>
      </w:pPr>
      <w:r>
        <w:rPr>
          <w:rFonts w:ascii="Calibri" w:cs="Calibri" w:eastAsia="Calibri" w:hAnsi="Calibri"/>
          <w:sz w:val="21"/>
          <w:szCs w:val="21"/>
        </w:rPr>
        <w:t xml:space="preserve">        T1   Round-number postings above materiality</w:t>
      </w:r>
    </w:p>
    <w:p>
      <w:pPr>
        <w:spacing w:after="125" w:line="300"/>
      </w:pPr>
      <w:r>
        <w:rPr>
          <w:rFonts w:ascii="Calibri" w:cs="Calibri" w:eastAsia="Calibri" w:hAnsi="Calibri"/>
          <w:sz w:val="21"/>
          <w:szCs w:val="21"/>
        </w:rPr>
        <w:t xml:space="preserve">        T2   Non-business-day postings</w:t>
      </w:r>
    </w:p>
    <w:p>
      <w:pPr>
        <w:spacing w:after="125" w:line="300"/>
      </w:pPr>
      <w:r>
        <w:rPr>
          <w:rFonts w:ascii="Calibri" w:cs="Calibri" w:eastAsia="Calibri" w:hAnsi="Calibri"/>
          <w:sz w:val="21"/>
          <w:szCs w:val="21"/>
        </w:rPr>
        <w:t xml:space="preserve">        T3   Rare user identifiers</w:t>
      </w:r>
    </w:p>
    <w:p>
      <w:pPr>
        <w:spacing w:after="125" w:line="300"/>
      </w:pPr>
      <w:r>
        <w:rPr>
          <w:rFonts w:ascii="Calibri" w:cs="Calibri" w:eastAsia="Calibri" w:hAnsi="Calibri"/>
          <w:sz w:val="21"/>
          <w:szCs w:val="21"/>
        </w:rPr>
        <w:t xml:space="preserve">        T4   Back-dated entries</w:t>
      </w:r>
    </w:p>
    <w:p>
      <w:pPr>
        <w:spacing w:after="125" w:line="300"/>
      </w:pPr>
      <w:r>
        <w:rPr>
          <w:rFonts w:ascii="Calibri" w:cs="Calibri" w:eastAsia="Calibri" w:hAnsi="Calibri"/>
          <w:sz w:val="21"/>
          <w:szCs w:val="21"/>
        </w:rPr>
        <w:t xml:space="preserve">        T5   Amounts below the approval threshold</w:t>
      </w:r>
    </w:p>
    <w:p>
      <w:pPr>
        <w:spacing w:after="125" w:line="300"/>
      </w:pPr>
      <w:r>
        <w:rPr>
          <w:rFonts w:ascii="Calibri" w:cs="Calibri" w:eastAsia="Calibri" w:hAnsi="Calibri"/>
          <w:sz w:val="21"/>
          <w:szCs w:val="21"/>
        </w:rPr>
        <w:t xml:space="preserve">        T6   Rare account pairings</w:t>
      </w:r>
    </w:p>
    <w:p>
      <w:pPr>
        <w:spacing w:after="125" w:line="300"/>
      </w:pPr>
      <w:r>
        <w:rPr>
          <w:rFonts w:ascii="Calibri" w:cs="Calibri" w:eastAsia="Calibri" w:hAnsi="Calibri"/>
          <w:sz w:val="21"/>
          <w:szCs w:val="21"/>
        </w:rPr>
        <w:t xml:space="preserve">        T7   Narration keywords</w:t>
      </w:r>
    </w:p>
    <w:p>
      <w:pPr>
        <w:spacing w:after="125" w:line="300"/>
      </w:pPr>
      <w:r>
        <w:rPr>
          <w:rFonts w:ascii="Calibri" w:cs="Calibri" w:eastAsia="Calibri" w:hAnsi="Calibri"/>
          <w:sz w:val="21"/>
          <w:szCs w:val="21"/>
        </w:rPr>
        <w:t xml:space="preserve">        T8   Sequence gaps</w:t>
      </w:r>
    </w:p>
    <w:p>
      <w:pPr>
        <w:spacing w:after="125" w:line="300"/>
      </w:pPr>
      <w:r>
        <w:rPr>
          <w:rFonts w:ascii="Calibri" w:cs="Calibri" w:eastAsia="Calibri" w:hAnsi="Calibri"/>
          <w:sz w:val="21"/>
          <w:szCs w:val="21"/>
        </w:rPr>
        <w:t xml:space="preserve">Part 4  —  How to read the results</w:t>
      </w:r>
    </w:p>
    <w:p>
      <w:pPr>
        <w:spacing w:after="125" w:line="300"/>
      </w:pPr>
      <w:r>
        <w:rPr>
          <w:rFonts w:ascii="Calibri" w:cs="Calibri" w:eastAsia="Calibri" w:hAnsi="Calibri"/>
          <w:sz w:val="21"/>
          <w:szCs w:val="21"/>
        </w:rPr>
        <w:t xml:space="preserve">Part 5  —  What this testing cannot do</w:t>
      </w:r>
    </w:p>
    <w:p>
      <w:r>
        <w:br w:type="page"/>
      </w:r>
    </w:p>
    <w:p>
      <w:pPr>
        <w:pStyle w:val="Heading1"/>
        <w:spacing w:after="170" w:before="400"/>
      </w:pPr>
      <w:r>
        <w:rPr>
          <w:rFonts w:ascii="Calibri" w:cs="Calibri" w:eastAsia="Calibri" w:hAnsi="Calibri"/>
          <w:b/>
          <w:bCs/>
          <w:color w:val="1B3A5C"/>
          <w:sz w:val="30"/>
          <w:szCs w:val="30"/>
        </w:rPr>
        <w:t xml:space="preserve">Part 1  —  Why journal entries are tested at all</w:t>
      </w:r>
    </w:p>
    <w:p>
      <w:pPr>
        <w:spacing w:after="125" w:line="300"/>
      </w:pPr>
      <w:r>
        <w:rPr>
          <w:rFonts w:ascii="Calibri" w:cs="Calibri" w:eastAsia="Calibri" w:hAnsi="Calibri"/>
          <w:sz w:val="21"/>
          <w:szCs w:val="21"/>
        </w:rPr>
        <w:t xml:space="preserve">Most transactions in an accounting system arrive through a controlled process. A sale generates an invoice, which generates a posting. A purchase runs through a purchase order, a goods receipt and a three-way match. Each of these has approval steps, segregation of duties, and system validation built around it.</w:t>
      </w:r>
    </w:p>
    <w:p>
      <w:pPr>
        <w:spacing w:after="125" w:line="300"/>
      </w:pPr>
      <w:r>
        <w:rPr>
          <w:rFonts w:ascii="Calibri" w:cs="Calibri" w:eastAsia="Calibri" w:hAnsi="Calibri"/>
          <w:sz w:val="21"/>
          <w:szCs w:val="21"/>
        </w:rPr>
        <w:t xml:space="preserve">Manual journal entries bypass most of that.</w:t>
      </w:r>
    </w:p>
    <w:p>
      <w:pPr>
        <w:spacing w:after="125" w:line="300"/>
      </w:pPr>
      <w:r>
        <w:rPr>
          <w:rFonts w:ascii="Calibri" w:cs="Calibri" w:eastAsia="Calibri" w:hAnsi="Calibri"/>
          <w:sz w:val="21"/>
          <w:szCs w:val="21"/>
        </w:rPr>
        <w:t xml:space="preserve">A journal entry can be posted directly to almost any account, by anyone with the right access, for any amount, at any time. It is the one route into the ledger that does not require a business transaction to have occurred. That makes it the standard mechanism for management override of controls.</w:t>
      </w:r>
    </w:p>
    <w:p>
      <w:pPr>
        <w:spacing w:after="180"/>
      </w:pPr>
      <w:r>
        <w:t xml:space="preserve"/>
      </w:r>
    </w:p>
    <w:tbl>
      <w:tblPr>
        <w:tblW w:type="dxa" w:w="9360"/>
        <w:tblBorders>
          <w:top w:val="single" w:color="C9962B" w:sz="14"/>
          <w:left w:val="single" w:color="D8DFE8" w:sz="2"/>
          <w:bottom w:val="single" w:color="D8DFE8" w:sz="2"/>
          <w:right w:val="single" w:color="D8DFE8" w:sz="2"/>
          <w:insideH w:val="none"/>
          <w:insideV w:val="none"/>
        </w:tblBorders>
      </w:tblPr>
      <w:tblGrid>
        <w:gridCol w:w="9360"/>
      </w:tblGrid>
      <w:tr>
        <w:tc>
          <w:tcPr>
            <w:tcW w:type="dxa" w:w="9360"/>
            <w:shd w:fill="FBFCFD" w:val="clear"/>
            <w:tcMar>
              <w:top w:type="dxa" w:w="190"/>
              <w:left w:type="dxa" w:w="230"/>
              <w:bottom w:type="dxa" w:w="190"/>
              <w:right w:type="dxa" w:w="230"/>
            </w:tcMar>
          </w:tcPr>
          <w:p>
            <w:pPr>
              <w:spacing w:after="60"/>
            </w:pPr>
            <w:r>
              <w:rPr>
                <w:rFonts w:ascii="Calibri" w:cs="Calibri" w:eastAsia="Calibri" w:hAnsi="Calibri"/>
                <w:b/>
                <w:bCs/>
                <w:color w:val="C9962B"/>
                <w:spacing w:val="28"/>
                <w:sz w:val="16"/>
                <w:szCs w:val="16"/>
              </w:rPr>
              <w:t xml:space="preserve">THE AUDITING STANDARD</w:t>
            </w:r>
          </w:p>
          <w:p>
            <w:pPr>
              <w:spacing w:after="90" w:line="290"/>
            </w:pPr>
            <w:r>
              <w:rPr>
                <w:rFonts w:ascii="Calibri" w:cs="Calibri" w:eastAsia="Calibri" w:hAnsi="Calibri"/>
                <w:sz w:val="20"/>
                <w:szCs w:val="20"/>
              </w:rPr>
              <w:t xml:space="preserve">SA 240 (and internationally, ISA 240) requires the auditor to test journal entries and other adjustments as a mandatory response to the risk of management override.</w:t>
            </w:r>
          </w:p>
          <w:p>
            <w:pPr>
              <w:spacing w:after="90" w:line="290"/>
            </w:pPr>
            <w:r>
              <w:rPr>
                <w:rFonts w:ascii="Calibri" w:cs="Calibri" w:eastAsia="Calibri" w:hAnsi="Calibri"/>
                <w:sz w:val="20"/>
                <w:szCs w:val="20"/>
              </w:rPr>
              <w:t xml:space="preserve">The requirement is not risk-assessed away. It applies on every engagement, because management override is presumed to be a risk on every engagement.</w:t>
            </w:r>
          </w:p>
          <w:p>
            <w:pPr>
              <w:spacing w:after="0" w:line="290"/>
            </w:pPr>
            <w:r>
              <w:rPr>
                <w:rFonts w:ascii="Calibri" w:cs="Calibri" w:eastAsia="Calibri" w:hAnsi="Calibri"/>
                <w:sz w:val="20"/>
                <w:szCs w:val="20"/>
              </w:rPr>
              <w:t xml:space="preserve">The standard expects entries to be selected for testing using characteristics that suggest they are unusual — which is precisely what the eight procedures in this document identify.</w:t>
            </w:r>
          </w:p>
        </w:tc>
      </w:tr>
    </w:tbl>
    <w:p>
      <w:pPr>
        <w:spacing w:after="180"/>
      </w:pPr>
      <w:r>
        <w:t xml:space="preserve"/>
      </w:r>
    </w:p>
    <w:p>
      <w:pPr>
        <w:spacing w:after="125" w:line="300"/>
      </w:pPr>
      <w:r>
        <w:rPr>
          <w:rFonts w:ascii="Calibri" w:cs="Calibri" w:eastAsia="Calibri" w:hAnsi="Calibri"/>
          <w:sz w:val="21"/>
          <w:szCs w:val="21"/>
        </w:rPr>
        <w:t xml:space="preserve">Every test that follows answers a version of the same question:</w:t>
      </w:r>
    </w:p>
    <w:p>
      <w:pPr>
        <w:spacing w:after="125" w:line="300"/>
      </w:pPr>
      <w:r>
        <w:rPr>
          <w:rFonts w:ascii="Calibri" w:cs="Calibri" w:eastAsia="Calibri" w:hAnsi="Calibri"/>
          <w:i/>
          <w:iCs/>
          <w:sz w:val="21"/>
          <w:szCs w:val="21"/>
        </w:rPr>
        <w:t xml:space="preserve">Does this entry look like something the business does routinely, or does it look like something a person did deliberately?</w:t>
      </w:r>
    </w:p>
    <w:p>
      <w:r>
        <w:br w:type="page"/>
      </w:r>
    </w:p>
    <w:p>
      <w:pPr>
        <w:pStyle w:val="Heading1"/>
        <w:spacing w:after="170" w:before="400"/>
      </w:pPr>
      <w:r>
        <w:rPr>
          <w:rFonts w:ascii="Calibri" w:cs="Calibri" w:eastAsia="Calibri" w:hAnsi="Calibri"/>
          <w:b/>
          <w:bCs/>
          <w:color w:val="1B3A5C"/>
          <w:sz w:val="30"/>
          <w:szCs w:val="30"/>
        </w:rPr>
        <w:t xml:space="preserve">Part 2  —  Why the whole population rather than a sample</w:t>
      </w:r>
    </w:p>
    <w:p>
      <w:pPr>
        <w:spacing w:after="125" w:line="300"/>
      </w:pPr>
      <w:r>
        <w:rPr>
          <w:rFonts w:ascii="Calibri" w:cs="Calibri" w:eastAsia="Calibri" w:hAnsi="Calibri"/>
          <w:sz w:val="21"/>
          <w:szCs w:val="21"/>
        </w:rPr>
        <w:t xml:space="preserve">Conventional journal entry testing selects a sample — often twenty-five entries — using judgement or statistical selection. The auditor examines those, forms a conclusion, and the remaining population is not looked at.</w:t>
      </w:r>
    </w:p>
    <w:p>
      <w:pPr>
        <w:spacing w:after="125" w:line="300"/>
      </w:pPr>
      <w:r>
        <w:rPr>
          <w:rFonts w:ascii="Calibri" w:cs="Calibri" w:eastAsia="Calibri" w:hAnsi="Calibri"/>
          <w:sz w:val="21"/>
          <w:szCs w:val="21"/>
        </w:rPr>
        <w:t xml:space="preserve">There are two problems with this on a population of 84,106 entries.</w:t>
      </w:r>
    </w:p>
    <w:p>
      <w:pPr>
        <w:pStyle w:val="Heading3"/>
        <w:spacing w:after="100" w:before="220"/>
      </w:pPr>
      <w:r>
        <w:rPr>
          <w:rFonts w:ascii="Calibri" w:cs="Calibri" w:eastAsia="Calibri" w:hAnsi="Calibri"/>
          <w:b/>
          <w:bCs/>
          <w:color w:val="0E7C7B"/>
          <w:sz w:val="22"/>
          <w:szCs w:val="22"/>
        </w:rPr>
        <w:t xml:space="preserve">The first is coverage</w:t>
      </w:r>
    </w:p>
    <w:p>
      <w:pPr>
        <w:spacing w:after="125" w:line="300"/>
      </w:pPr>
      <w:r>
        <w:rPr>
          <w:rFonts w:ascii="Calibri" w:cs="Calibri" w:eastAsia="Calibri" w:hAnsi="Calibri"/>
          <w:sz w:val="21"/>
          <w:szCs w:val="21"/>
        </w:rPr>
        <w:t xml:space="preserve">Twenty-five entries is 0.03% of the population. If a small number of entries were deliberately manipulated, the probability of a random sample selecting even one of them is very low. Sampling is well suited to estimating an error rate across a homogeneous population. It is poorly suited to finding a handful of deliberately concealed items.</w:t>
      </w:r>
    </w:p>
    <w:p>
      <w:pPr>
        <w:pStyle w:val="Heading3"/>
        <w:spacing w:after="100" w:before="220"/>
      </w:pPr>
      <w:r>
        <w:rPr>
          <w:rFonts w:ascii="Calibri" w:cs="Calibri" w:eastAsia="Calibri" w:hAnsi="Calibri"/>
          <w:b/>
          <w:bCs/>
          <w:color w:val="0E7C7B"/>
          <w:sz w:val="22"/>
          <w:szCs w:val="22"/>
        </w:rPr>
        <w:t xml:space="preserve">The second is that the exception rate stays unknown</w:t>
      </w:r>
    </w:p>
    <w:p>
      <w:pPr>
        <w:spacing w:after="125" w:line="300"/>
      </w:pPr>
      <w:r>
        <w:rPr>
          <w:rFonts w:ascii="Calibri" w:cs="Calibri" w:eastAsia="Calibri" w:hAnsi="Calibri"/>
          <w:sz w:val="21"/>
          <w:szCs w:val="21"/>
        </w:rPr>
        <w:t xml:space="preserve">A sample tells you what you found in the sample. It does not tell you how many entries in the full population share a given characteristic. If someone asks how many manual entries were posted at weekends this year, a sample cannot answer.</w:t>
      </w:r>
    </w:p>
    <w:p>
      <w:pPr>
        <w:spacing w:after="180"/>
      </w:pPr>
      <w:r>
        <w:t xml:space="preserve"/>
      </w:r>
    </w:p>
    <w:tbl>
      <w:tblPr>
        <w:tblW w:type="dxa" w:w="9360"/>
        <w:tblBorders>
          <w:top w:val="single" w:color="0E7C7B" w:sz="14"/>
          <w:left w:val="single" w:color="D8DFE8" w:sz="2"/>
          <w:bottom w:val="single" w:color="D8DFE8" w:sz="2"/>
          <w:right w:val="single" w:color="D8DFE8" w:sz="2"/>
          <w:insideH w:val="none"/>
          <w:insideV w:val="none"/>
        </w:tblBorders>
      </w:tblPr>
      <w:tblGrid>
        <w:gridCol w:w="9360"/>
      </w:tblGrid>
      <w:tr>
        <w:tc>
          <w:tcPr>
            <w:tcW w:type="dxa" w:w="9360"/>
            <w:shd w:fill="FBFCFD" w:val="clear"/>
            <w:tcMar>
              <w:top w:type="dxa" w:w="190"/>
              <w:left w:type="dxa" w:w="230"/>
              <w:bottom w:type="dxa" w:w="190"/>
              <w:right w:type="dxa" w:w="230"/>
            </w:tcMar>
          </w:tcPr>
          <w:p>
            <w:pPr>
              <w:spacing w:after="60"/>
            </w:pPr>
            <w:r>
              <w:rPr>
                <w:rFonts w:ascii="Calibri" w:cs="Calibri" w:eastAsia="Calibri" w:hAnsi="Calibri"/>
                <w:b/>
                <w:bCs/>
                <w:color w:val="0E7C7B"/>
                <w:spacing w:val="28"/>
                <w:sz w:val="16"/>
                <w:szCs w:val="16"/>
              </w:rPr>
              <w:t xml:space="preserve">WHAT POPULATION TESTING CHANGES</w:t>
            </w:r>
          </w:p>
          <w:p>
            <w:pPr>
              <w:spacing w:after="90" w:line="290"/>
            </w:pPr>
            <w:r>
              <w:rPr>
                <w:rFonts w:ascii="Calibri" w:cs="Calibri" w:eastAsia="Calibri" w:hAnsi="Calibri"/>
                <w:sz w:val="20"/>
                <w:szCs w:val="20"/>
              </w:rPr>
              <w:t xml:space="preserve">Coverage moves from 0.03% to 100%.</w:t>
            </w:r>
          </w:p>
          <w:p>
            <w:pPr>
              <w:spacing w:after="90" w:line="290"/>
            </w:pPr>
            <w:r>
              <w:rPr>
                <w:rFonts w:ascii="Calibri" w:cs="Calibri" w:eastAsia="Calibri" w:hAnsi="Calibri"/>
                <w:sz w:val="20"/>
                <w:szCs w:val="20"/>
              </w:rPr>
              <w:t xml:space="preserve">The output changes from a conclusion to a defensible exception list — items requiring enquiry, with a stated basis for their selection.</w:t>
            </w:r>
          </w:p>
          <w:p>
            <w:pPr>
              <w:spacing w:after="90" w:line="290"/>
            </w:pPr>
            <w:r>
              <w:rPr>
                <w:rFonts w:ascii="Calibri" w:cs="Calibri" w:eastAsia="Calibri" w:hAnsi="Calibri"/>
                <w:sz w:val="20"/>
                <w:szCs w:val="20"/>
              </w:rPr>
              <w:t xml:space="preserve">The exception rate becomes a measurable figure rather than an estimate.</w:t>
            </w:r>
          </w:p>
          <w:p>
            <w:pPr>
              <w:spacing w:after="0" w:line="290"/>
            </w:pPr>
            <w:r>
              <w:rPr>
                <w:rFonts w:ascii="Calibri" w:cs="Calibri" w:eastAsia="Calibri" w:hAnsi="Calibri"/>
                <w:sz w:val="20"/>
                <w:szCs w:val="20"/>
              </w:rPr>
              <w:t xml:space="preserve">Tests can corroborate one another: an entry flagged by three independent procedures is a materially stronger signal than one flagged by a single test. That is not available from a sample.</w:t>
            </w:r>
          </w:p>
        </w:tc>
      </w:tr>
    </w:tbl>
    <w:p>
      <w:pPr>
        <w:spacing w:after="180"/>
      </w:pPr>
      <w:r>
        <w:t xml:space="preserve"/>
      </w:r>
    </w:p>
    <w:p>
      <w:pPr>
        <w:spacing w:after="125" w:line="300"/>
      </w:pPr>
      <w:r>
        <w:rPr>
          <w:rFonts w:ascii="Calibri" w:cs="Calibri" w:eastAsia="Calibri" w:hAnsi="Calibri"/>
          <w:sz w:val="21"/>
          <w:szCs w:val="21"/>
        </w:rPr>
        <w:t xml:space="preserve">This is not a claim that analytics replaces professional judgement. Every exception raised is a question to be asked, not a conclusion. What changes is the quality and completeness of the questions.</w:t>
      </w:r>
    </w:p>
    <w:p>
      <w:r>
        <w:br w:type="page"/>
      </w:r>
    </w:p>
    <w:p>
      <w:pPr>
        <w:pStyle w:val="Heading1"/>
        <w:spacing w:after="170" w:before="400"/>
      </w:pPr>
      <w:r>
        <w:rPr>
          <w:rFonts w:ascii="Calibri" w:cs="Calibri" w:eastAsia="Calibri" w:hAnsi="Calibri"/>
          <w:b/>
          <w:bCs/>
          <w:color w:val="1B3A5C"/>
          <w:sz w:val="30"/>
          <w:szCs w:val="30"/>
        </w:rPr>
        <w:t xml:space="preserve">Part 3  —  The eight procedures</w:t>
      </w:r>
    </w:p>
    <w:p>
      <w:pPr>
        <w:spacing w:after="125" w:line="300"/>
      </w:pPr>
      <w:r>
        <w:rPr>
          <w:rFonts w:ascii="Calibri" w:cs="Calibri" w:eastAsia="Calibri" w:hAnsi="Calibri"/>
          <w:sz w:val="21"/>
          <w:szCs w:val="21"/>
        </w:rPr>
        <w:t xml:space="preserve">Each procedure is set out with its objective, the reasoning behind it, the parameters applied and why, what a hit means, and its limitations.</w:t>
      </w:r>
    </w:p>
    <w:p>
      <w:pPr>
        <w:spacing w:after="180"/>
      </w:pPr>
      <w:r>
        <w:t xml:space="preserve"/>
      </w:r>
    </w:p>
    <w:p>
      <w:pPr>
        <w:pStyle w:val="Heading2"/>
        <w:spacing w:after="130" w:before="300"/>
      </w:pPr>
      <w:r>
        <w:rPr>
          <w:rFonts w:ascii="Calibri" w:cs="Calibri" w:eastAsia="Calibri" w:hAnsi="Calibri"/>
          <w:b/>
          <w:bCs/>
          <w:color w:val="1B3A5C"/>
          <w:sz w:val="25"/>
          <w:szCs w:val="25"/>
        </w:rPr>
        <w:t xml:space="preserve">T1  —  Round-number postings above materiality</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manual entries at or above planning materiality where the amount is an exact round figure.</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Genuine business transactions produce untidy numbers. An electricity bill is 90,337.93. A payroll run is 1,027,754.98. Prices get negotiated, taxes get applied, quantities vary — and the result almost never lands on an exact hundred thousand.</w:t>
      </w:r>
    </w:p>
    <w:p>
      <w:pPr>
        <w:spacing w:after="125" w:line="300"/>
      </w:pPr>
      <w:r>
        <w:rPr>
          <w:rFonts w:ascii="Calibri" w:cs="Calibri" w:eastAsia="Calibri" w:hAnsi="Calibri"/>
          <w:sz w:val="21"/>
          <w:szCs w:val="21"/>
        </w:rPr>
        <w:t xml:space="preserve">A figure of exactly 5,000,000 was chosen by a person, not produced by a transaction. That does not make it wrong — provisions, transfers and allocations are legitimately estimated in round terms — but it does mean somebody exercised judgement, and judgement above materiality is worth understanding.</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Amount at or above 2,500,000 (planning materiality); amount divisible by 100,000 with no remainder; entry type manual.</w:t>
      </w:r>
    </w:p>
    <w:p>
      <w:pPr>
        <w:spacing w:after="125" w:line="300"/>
      </w:pPr>
      <w:r>
        <w:rPr>
          <w:rFonts w:ascii="Calibri" w:cs="Calibri" w:eastAsia="Calibri" w:hAnsi="Calibri"/>
          <w:sz w:val="21"/>
          <w:szCs w:val="21"/>
        </w:rPr>
        <w:t xml:space="preserve">Materiality is the natural cut-off: a round-number entry below materiality cannot individually misstate the financial statements. The manual condition removes system-generated round figures such as standard monthly charges.</w:t>
      </w:r>
    </w:p>
    <w:p>
      <w:pPr>
        <w:pStyle w:val="Heading3"/>
        <w:spacing w:after="100" w:before="220"/>
      </w:pPr>
      <w:r>
        <w:rPr>
          <w:rFonts w:ascii="Calibri" w:cs="Calibri" w:eastAsia="Calibri" w:hAnsi="Calibri"/>
          <w:b/>
          <w:bCs/>
          <w:color w:val="0E7C7B"/>
          <w:sz w:val="22"/>
          <w:szCs w:val="22"/>
        </w:rPr>
        <w:t xml:space="preserve">What a hit means</w:t>
      </w:r>
    </w:p>
    <w:p>
      <w:pPr>
        <w:spacing w:after="125" w:line="300"/>
      </w:pPr>
      <w:r>
        <w:rPr>
          <w:rFonts w:ascii="Calibri" w:cs="Calibri" w:eastAsia="Calibri" w:hAnsi="Calibri"/>
          <w:sz w:val="21"/>
          <w:szCs w:val="21"/>
        </w:rPr>
        <w:t xml:space="preserve">That an estimate or an allocation was made. The follow-up question is what the estimate was based on, and whether that basis is documented.</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Deliberately manipulated figures are unlikely to be round, precisely because round numbers attract attention. This test finds judgement, not concealment.</w:t>
      </w:r>
    </w:p>
    <w:p>
      <w:r>
        <w:br w:type="page"/>
      </w:r>
    </w:p>
    <w:p>
      <w:pPr>
        <w:pStyle w:val="Heading2"/>
        <w:spacing w:after="130" w:before="300"/>
      </w:pPr>
      <w:r>
        <w:rPr>
          <w:rFonts w:ascii="Calibri" w:cs="Calibri" w:eastAsia="Calibri" w:hAnsi="Calibri"/>
          <w:b/>
          <w:bCs/>
          <w:color w:val="1B3A5C"/>
          <w:sz w:val="25"/>
          <w:szCs w:val="25"/>
        </w:rPr>
        <w:t xml:space="preserve">T2  —  Non-business-day postings</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manual entries posted on weekends or public holidays.</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Routine business happens during business hours. Invoices are raised, payments processed and accruals booked on working days, with colleagues present, reviewers available and normal process oversight in place.</w:t>
      </w:r>
    </w:p>
    <w:p>
      <w:pPr>
        <w:spacing w:after="125" w:line="300"/>
      </w:pPr>
      <w:r>
        <w:rPr>
          <w:rFonts w:ascii="Calibri" w:cs="Calibri" w:eastAsia="Calibri" w:hAnsi="Calibri"/>
          <w:sz w:val="21"/>
          <w:szCs w:val="21"/>
        </w:rPr>
        <w:t xml:space="preserve">A manual entry posted on a Sunday sits outside that pattern. Nobody else is at their desk. The usual informal checks — someone asking what an entry is for, a reviewer noticing an unusual account — are absent.</w:t>
      </w:r>
    </w:p>
    <w:p>
      <w:pPr>
        <w:spacing w:after="125" w:line="300"/>
      </w:pPr>
      <w:r>
        <w:rPr>
          <w:rFonts w:ascii="Calibri" w:cs="Calibri" w:eastAsia="Calibri" w:hAnsi="Calibri"/>
          <w:sz w:val="21"/>
          <w:szCs w:val="21"/>
        </w:rPr>
        <w:t xml:space="preserve">This is a timing anomaly test. It says nothing about the entry's substance and everything about the circumstances in which it was made.</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Posting date falling on a Saturday or Sunday, or on a listed public holiday; entry type manual.</w:t>
      </w:r>
    </w:p>
    <w:p>
      <w:pPr>
        <w:spacing w:after="125" w:line="300"/>
      </w:pPr>
      <w:r>
        <w:rPr>
          <w:rFonts w:ascii="Calibri" w:cs="Calibri" w:eastAsia="Calibri" w:hAnsi="Calibri"/>
          <w:sz w:val="21"/>
          <w:szCs w:val="21"/>
        </w:rPr>
        <w:t xml:space="preserve">System entries are excluded because scheduled batch processing legitimately runs at weekends — depreciation runs, interest accruals, overnight postings. Including them would bury the manual entries in thousands of routine machine postings.</w:t>
      </w:r>
    </w:p>
    <w:p>
      <w:pPr>
        <w:pStyle w:val="Heading3"/>
        <w:spacing w:after="100" w:before="220"/>
      </w:pPr>
      <w:r>
        <w:rPr>
          <w:rFonts w:ascii="Calibri" w:cs="Calibri" w:eastAsia="Calibri" w:hAnsi="Calibri"/>
          <w:b/>
          <w:bCs/>
          <w:color w:val="0E7C7B"/>
          <w:sz w:val="22"/>
          <w:szCs w:val="22"/>
        </w:rPr>
        <w:t xml:space="preserve">What a hit means</w:t>
      </w:r>
    </w:p>
    <w:p>
      <w:pPr>
        <w:spacing w:after="125" w:line="300"/>
      </w:pPr>
      <w:r>
        <w:rPr>
          <w:rFonts w:ascii="Calibri" w:cs="Calibri" w:eastAsia="Calibri" w:hAnsi="Calibri"/>
          <w:sz w:val="21"/>
          <w:szCs w:val="21"/>
        </w:rPr>
        <w:t xml:space="preserve">Very often nothing more than deadline pressure: month-end crunch, a backlog cleared before a reporting date. The point is not that weekend work is improper, but that the population is small enough to ask about each one.</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The holiday calendar is jurisdiction-specific and must be set for the entity's location. Organisations with genuine weekend operations — retail, hospitality, manufacturing on shift patterns — will produce a much higher baseline, and the test needs recalibration or restriction to particular account groups.</w:t>
      </w:r>
    </w:p>
    <w:p>
      <w:r>
        <w:br w:type="page"/>
      </w:r>
    </w:p>
    <w:p>
      <w:pPr>
        <w:pStyle w:val="Heading2"/>
        <w:spacing w:after="130" w:before="300"/>
      </w:pPr>
      <w:r>
        <w:rPr>
          <w:rFonts w:ascii="Calibri" w:cs="Calibri" w:eastAsia="Calibri" w:hAnsi="Calibri"/>
          <w:b/>
          <w:bCs/>
          <w:color w:val="1B3A5C"/>
          <w:sz w:val="25"/>
          <w:szCs w:val="25"/>
        </w:rPr>
        <w:t xml:space="preserve">T3  —  Rare user identifiers</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entries posted by users who post very infrequently.</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In a normal finance function, posting is concentrated. A small group of people post most entries because it is their job. Their work is repetitive, visible and familiar to their colleagues.</w:t>
      </w:r>
    </w:p>
    <w:p>
      <w:pPr>
        <w:spacing w:after="125" w:line="300"/>
      </w:pPr>
      <w:r>
        <w:rPr>
          <w:rFonts w:ascii="Calibri" w:cs="Calibri" w:eastAsia="Calibri" w:hAnsi="Calibri"/>
          <w:sz w:val="21"/>
          <w:szCs w:val="21"/>
        </w:rPr>
        <w:t xml:space="preserve">A user who posts four entries in an entire year is different in kind. Possible explanations include a senior manager with system access who does not normally post, a departed employee whose credentials remained active, a shared or generic account, or someone covering during an absence.</w:t>
      </w:r>
    </w:p>
    <w:p>
      <w:pPr>
        <w:spacing w:after="125" w:line="300"/>
      </w:pPr>
      <w:r>
        <w:rPr>
          <w:rFonts w:ascii="Calibri" w:cs="Calibri" w:eastAsia="Calibri" w:hAnsi="Calibri"/>
          <w:sz w:val="21"/>
          <w:szCs w:val="21"/>
        </w:rPr>
        <w:t xml:space="preserve">Each of those is worth knowing about. The last three are control weaknesses in their own right, independent of whether the entry itself is correct.</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Users posting fewer than ten entries in the financial year.</w:t>
      </w:r>
    </w:p>
    <w:p>
      <w:pPr>
        <w:spacing w:after="125" w:line="300"/>
      </w:pPr>
      <w:r>
        <w:rPr>
          <w:rFonts w:ascii="Calibri" w:cs="Calibri" w:eastAsia="Calibri" w:hAnsi="Calibri"/>
          <w:sz w:val="21"/>
          <w:szCs w:val="21"/>
        </w:rPr>
        <w:t xml:space="preserve">The threshold is judgemental and should be set from the entity's size and structure. Ten is appropriate for a population of this size; a larger organisation with more occasional posters would need a higher figure, or a threshold expressed as a percentile rather than an absolute count.</w:t>
      </w:r>
    </w:p>
    <w:p>
      <w:pPr>
        <w:pStyle w:val="Heading3"/>
        <w:spacing w:after="100" w:before="220"/>
      </w:pPr>
      <w:r>
        <w:rPr>
          <w:rFonts w:ascii="Calibri" w:cs="Calibri" w:eastAsia="Calibri" w:hAnsi="Calibri"/>
          <w:b/>
          <w:bCs/>
          <w:color w:val="0E7C7B"/>
          <w:sz w:val="22"/>
          <w:szCs w:val="22"/>
        </w:rPr>
        <w:t xml:space="preserve">What a hit means</w:t>
      </w:r>
    </w:p>
    <w:p>
      <w:pPr>
        <w:spacing w:after="125" w:line="300"/>
      </w:pPr>
      <w:r>
        <w:rPr>
          <w:rFonts w:ascii="Calibri" w:cs="Calibri" w:eastAsia="Calibri" w:hAnsi="Calibri"/>
          <w:sz w:val="21"/>
          <w:szCs w:val="21"/>
        </w:rPr>
        <w:t xml:space="preserve">An access question as much as an accounting one. Who is this person, why do they have posting rights, and does the entry fall within their role?</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A rare user is not a suspicious user. New joiners, temporary cover and genuine one-off corrections all appear here. The test is a prompt for enquiry, not a finding.</w:t>
      </w:r>
    </w:p>
    <w:p>
      <w:r>
        <w:br w:type="page"/>
      </w:r>
    </w:p>
    <w:p>
      <w:pPr>
        <w:pStyle w:val="Heading2"/>
        <w:spacing w:after="130" w:before="300"/>
      </w:pPr>
      <w:r>
        <w:rPr>
          <w:rFonts w:ascii="Calibri" w:cs="Calibri" w:eastAsia="Calibri" w:hAnsi="Calibri"/>
          <w:b/>
          <w:bCs/>
          <w:color w:val="1B3A5C"/>
          <w:sz w:val="25"/>
          <w:szCs w:val="25"/>
        </w:rPr>
        <w:t xml:space="preserve">T4  —  Back-dated entries</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entries where the posting date falls significantly after the effective accounting date.</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This is a cut-off test, and cut-off is where period-end manipulation happens.</w:t>
      </w:r>
    </w:p>
    <w:p>
      <w:pPr>
        <w:spacing w:after="125" w:line="300"/>
      </w:pPr>
      <w:r>
        <w:rPr>
          <w:rFonts w:ascii="Calibri" w:cs="Calibri" w:eastAsia="Calibri" w:hAnsi="Calibri"/>
          <w:sz w:val="21"/>
          <w:szCs w:val="21"/>
        </w:rPr>
        <w:t xml:space="preserve">An entry with an effective date of 31 March but a posting date of 15 May was recorded six weeks after the period it affects. Some lag is entirely normal — accruals are finalised after the period closes, which is the whole point of an accrual. But a long lag around a reporting date means the entry was made with knowledge of the reported result, which is not true of entries posted contemporaneously.</w:t>
      </w:r>
    </w:p>
    <w:p>
      <w:pPr>
        <w:spacing w:after="125" w:line="300"/>
      </w:pPr>
      <w:r>
        <w:rPr>
          <w:rFonts w:ascii="Calibri" w:cs="Calibri" w:eastAsia="Calibri" w:hAnsi="Calibri"/>
          <w:sz w:val="21"/>
          <w:szCs w:val="21"/>
        </w:rPr>
        <w:t xml:space="preserve">The concern is not that late entries are improper. It is that they are made by someone who already knows what the numbers look like.</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Posting date more than seven days after the effective date.</w:t>
      </w:r>
    </w:p>
    <w:p>
      <w:pPr>
        <w:spacing w:after="125" w:line="300"/>
      </w:pPr>
      <w:r>
        <w:rPr>
          <w:rFonts w:ascii="Calibri" w:cs="Calibri" w:eastAsia="Calibri" w:hAnsi="Calibri"/>
          <w:sz w:val="21"/>
          <w:szCs w:val="21"/>
        </w:rPr>
        <w:t xml:space="preserve">Seven days accommodates ordinary processing lag while isolating entries that required a deliberate choice of an earlier accounting date. The threshold should be tightened for entities with faster close cycles.</w:t>
      </w:r>
    </w:p>
    <w:p>
      <w:pPr>
        <w:pStyle w:val="Heading3"/>
        <w:spacing w:after="100" w:before="220"/>
      </w:pPr>
      <w:r>
        <w:rPr>
          <w:rFonts w:ascii="Calibri" w:cs="Calibri" w:eastAsia="Calibri" w:hAnsi="Calibri"/>
          <w:b/>
          <w:bCs/>
          <w:color w:val="0E7C7B"/>
          <w:sz w:val="22"/>
          <w:szCs w:val="22"/>
        </w:rPr>
        <w:t xml:space="preserve">What a hit means</w:t>
      </w:r>
    </w:p>
    <w:p>
      <w:pPr>
        <w:spacing w:after="125" w:line="300"/>
      </w:pPr>
      <w:r>
        <w:rPr>
          <w:rFonts w:ascii="Calibri" w:cs="Calibri" w:eastAsia="Calibri" w:hAnsi="Calibri"/>
          <w:sz w:val="21"/>
          <w:szCs w:val="21"/>
        </w:rPr>
        <w:t xml:space="preserve">The follow-up question is what changed between the effective date and the posting date, and whether the entry would have been made had the reported result been different.</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Year-end accruals legitimately cluster here, and in this population all eighteen flagged entries are of that type. The test identifies a population for enquiry rather than a population of errors.</w:t>
      </w:r>
    </w:p>
    <w:p>
      <w:pPr>
        <w:spacing w:after="180"/>
      </w:pPr>
      <w:r>
        <w:t xml:space="preserve"/>
      </w:r>
    </w:p>
    <w:tbl>
      <w:tblPr>
        <w:tblW w:type="dxa" w:w="9360"/>
        <w:tblBorders>
          <w:top w:val="single" w:color="B3403A" w:sz="14"/>
          <w:left w:val="single" w:color="D8DFE8" w:sz="2"/>
          <w:bottom w:val="single" w:color="D8DFE8" w:sz="2"/>
          <w:right w:val="single" w:color="D8DFE8" w:sz="2"/>
          <w:insideH w:val="none"/>
          <w:insideV w:val="none"/>
        </w:tblBorders>
      </w:tblPr>
      <w:tblGrid>
        <w:gridCol w:w="9360"/>
      </w:tblGrid>
      <w:tr>
        <w:tc>
          <w:tcPr>
            <w:tcW w:type="dxa" w:w="9360"/>
            <w:shd w:fill="FBFCFD" w:val="clear"/>
            <w:tcMar>
              <w:top w:type="dxa" w:w="190"/>
              <w:left w:type="dxa" w:w="230"/>
              <w:bottom w:type="dxa" w:w="190"/>
              <w:right w:type="dxa" w:w="230"/>
            </w:tcMar>
          </w:tcPr>
          <w:p>
            <w:pPr>
              <w:spacing w:after="60"/>
            </w:pPr>
            <w:r>
              <w:rPr>
                <w:rFonts w:ascii="Calibri" w:cs="Calibri" w:eastAsia="Calibri" w:hAnsi="Calibri"/>
                <w:b/>
                <w:bCs/>
                <w:color w:val="B3403A"/>
                <w:spacing w:val="28"/>
                <w:sz w:val="16"/>
                <w:szCs w:val="16"/>
              </w:rPr>
              <w:t xml:space="preserve">NOTE ON COMPLETENESS</w:t>
            </w:r>
          </w:p>
          <w:p>
            <w:pPr>
              <w:spacing w:after="90" w:line="290"/>
            </w:pPr>
            <w:r>
              <w:rPr>
                <w:rFonts w:ascii="Calibri" w:cs="Calibri" w:eastAsia="Calibri" w:hAnsi="Calibri"/>
                <w:sz w:val="20"/>
                <w:szCs w:val="20"/>
              </w:rPr>
              <w:t xml:space="preserve">This test interacts with a completeness issue worth stating separately.</w:t>
            </w:r>
          </w:p>
          <w:p>
            <w:pPr>
              <w:spacing w:after="90" w:line="290"/>
            </w:pPr>
            <w:r>
              <w:rPr>
                <w:rFonts w:ascii="Calibri" w:cs="Calibri" w:eastAsia="Calibri" w:hAnsi="Calibri"/>
                <w:sz w:val="20"/>
                <w:szCs w:val="20"/>
              </w:rPr>
              <w:t xml:space="preserve">In this population, thirty-six line items across eighteen entries carry posting dates after the financial year end. They are genuine year-end accruals with effective dates in March.</w:t>
            </w:r>
          </w:p>
          <w:p>
            <w:pPr>
              <w:spacing w:after="0" w:line="290"/>
            </w:pPr>
            <w:r>
              <w:rPr>
                <w:rFonts w:ascii="Calibri" w:cs="Calibri" w:eastAsia="Calibri" w:hAnsi="Calibri"/>
                <w:sz w:val="20"/>
                <w:szCs w:val="20"/>
              </w:rPr>
              <w:t xml:space="preserve">Any analysis that scopes the population on posting date alone would silently exclude all eighteen — producing a clean-looking result on an incomplete population. Completeness must therefore be assessed on effective date, with posting date retained as a test attribute.</w:t>
            </w:r>
          </w:p>
        </w:tc>
      </w:tr>
    </w:tbl>
    <w:p>
      <w:r>
        <w:br w:type="page"/>
      </w:r>
    </w:p>
    <w:p>
      <w:pPr>
        <w:pStyle w:val="Heading2"/>
        <w:spacing w:after="130" w:before="300"/>
      </w:pPr>
      <w:r>
        <w:rPr>
          <w:rFonts w:ascii="Calibri" w:cs="Calibri" w:eastAsia="Calibri" w:hAnsi="Calibri"/>
          <w:b/>
          <w:bCs/>
          <w:color w:val="1B3A5C"/>
          <w:sz w:val="25"/>
          <w:szCs w:val="25"/>
        </w:rPr>
        <w:t xml:space="preserve">T5  —  Amounts below the approval threshold</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manual entries with amounts sitting immediately below an approval limit.</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Approval thresholds create an incentive. Where an entry above 500,000 requires a second signature and an entry below it does not, an entry of 499,000 avoids review while achieving almost the same effect.</w:t>
      </w:r>
    </w:p>
    <w:p>
      <w:pPr>
        <w:spacing w:after="125" w:line="300"/>
      </w:pPr>
      <w:r>
        <w:rPr>
          <w:rFonts w:ascii="Calibri" w:cs="Calibri" w:eastAsia="Calibri" w:hAnsi="Calibri"/>
          <w:sz w:val="21"/>
          <w:szCs w:val="21"/>
        </w:rPr>
        <w:t xml:space="preserve">A single such entry means nothing — amounts must fall somewhere, and some will fall just below any given line. The signal is in repetition: the same user, posting to the same account, repeatedly landing just under the limit.</w:t>
      </w:r>
    </w:p>
    <w:p>
      <w:pPr>
        <w:spacing w:after="125" w:line="300"/>
      </w:pPr>
      <w:r>
        <w:rPr>
          <w:rFonts w:ascii="Calibri" w:cs="Calibri" w:eastAsia="Calibri" w:hAnsi="Calibri"/>
          <w:sz w:val="21"/>
          <w:szCs w:val="21"/>
        </w:rPr>
        <w:t xml:space="preserve">This is one of the few tests that looks for a pattern of behaviour rather than a characteristic of an individual entry.</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Amount between 94% and 100% of the approval threshold; entry type manual.</w:t>
      </w:r>
    </w:p>
    <w:p>
      <w:pPr>
        <w:pStyle w:val="Heading3"/>
        <w:spacing w:after="100" w:before="220"/>
      </w:pPr>
      <w:r>
        <w:rPr>
          <w:rFonts w:ascii="Calibri" w:cs="Calibri" w:eastAsia="Calibri" w:hAnsi="Calibri"/>
          <w:b/>
          <w:bCs/>
          <w:color w:val="0E7C7B"/>
          <w:sz w:val="22"/>
          <w:szCs w:val="22"/>
        </w:rPr>
        <w:t xml:space="preserve">Why these parameters, specifically</w:t>
      </w:r>
    </w:p>
    <w:p>
      <w:pPr>
        <w:spacing w:after="125" w:line="300"/>
      </w:pPr>
      <w:r>
        <w:rPr>
          <w:rFonts w:ascii="Calibri" w:cs="Calibri" w:eastAsia="Calibri" w:hAnsi="Calibri"/>
          <w:sz w:val="21"/>
          <w:szCs w:val="21"/>
        </w:rPr>
        <w:t xml:space="preserve">This procedure required revision, and the revision is instructive.</w:t>
      </w:r>
    </w:p>
    <w:p>
      <w:pPr>
        <w:spacing w:after="125" w:line="300"/>
      </w:pPr>
      <w:r>
        <w:rPr>
          <w:rFonts w:ascii="Calibri" w:cs="Calibri" w:eastAsia="Calibri" w:hAnsi="Calibri"/>
          <w:sz w:val="21"/>
          <w:szCs w:val="21"/>
        </w:rPr>
        <w:t xml:space="preserve">As first designed — any entry between 94% and 100% of the threshold, regardless of type — it returned 2,231 exceptions to identify 26 genuine items. A precision of 1.2%. Of those 2,231, some 1,786 were system-generated batch postings that happened to fall in the range.</w:t>
      </w:r>
    </w:p>
    <w:p>
      <w:pPr>
        <w:spacing w:after="1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500"/>
        <w:gridCol w:w="1500"/>
      </w:tblGrid>
      <w:tr>
        <w:trPr>
          <w:tblHeader/>
        </w:trPr>
        <w:tc>
          <w:tcPr>
            <w:tcW w:type="dxa" w:w="3600"/>
            <w:shd w:fill="1B3A5C" w:val="clear"/>
            <w:tcMar>
              <w:top w:type="dxa" w:w="105"/>
              <w:left w:type="dxa" w:w="125"/>
              <w:bottom w:type="dxa" w:w="105"/>
              <w:right w:type="dxa" w:w="125"/>
            </w:tcMar>
          </w:tcPr>
          <w:p>
            <w:r>
              <w:rPr>
                <w:rFonts w:ascii="Calibri" w:cs="Calibri" w:eastAsia="Calibri" w:hAnsi="Calibri"/>
                <w:b/>
                <w:bCs/>
                <w:color w:val="FFFFFF"/>
                <w:sz w:val="19"/>
                <w:szCs w:val="19"/>
              </w:rPr>
              <w:t xml:space="preserve">Design</w:t>
            </w:r>
          </w:p>
        </w:tc>
        <w:tc>
          <w:tcPr>
            <w:tcW w:type="dxa" w:w="1900"/>
            <w:shd w:fill="1B3A5C" w:val="clear"/>
            <w:tcMar>
              <w:top w:type="dxa" w:w="105"/>
              <w:left w:type="dxa" w:w="125"/>
              <w:bottom w:type="dxa" w:w="105"/>
              <w:right w:type="dxa" w:w="125"/>
            </w:tcMar>
          </w:tcPr>
          <w:p>
            <w:r>
              <w:rPr>
                <w:rFonts w:ascii="Calibri" w:cs="Calibri" w:eastAsia="Calibri" w:hAnsi="Calibri"/>
                <w:b/>
                <w:bCs/>
                <w:color w:val="FFFFFF"/>
                <w:sz w:val="19"/>
                <w:szCs w:val="19"/>
              </w:rPr>
              <w:t xml:space="preserve">Exceptions</w:t>
            </w:r>
          </w:p>
        </w:tc>
        <w:tc>
          <w:tcPr>
            <w:tcW w:type="dxa" w:w="1500"/>
            <w:shd w:fill="1B3A5C" w:val="clear"/>
            <w:tcMar>
              <w:top w:type="dxa" w:w="105"/>
              <w:left w:type="dxa" w:w="125"/>
              <w:bottom w:type="dxa" w:w="105"/>
              <w:right w:type="dxa" w:w="125"/>
            </w:tcMar>
          </w:tcPr>
          <w:p>
            <w:r>
              <w:rPr>
                <w:rFonts w:ascii="Calibri" w:cs="Calibri" w:eastAsia="Calibri" w:hAnsi="Calibri"/>
                <w:b/>
                <w:bCs/>
                <w:color w:val="FFFFFF"/>
                <w:sz w:val="19"/>
                <w:szCs w:val="19"/>
              </w:rPr>
              <w:t xml:space="preserve">Caught</w:t>
            </w:r>
          </w:p>
        </w:tc>
        <w:tc>
          <w:tcPr>
            <w:tcW w:type="dxa" w:w="1500"/>
            <w:shd w:fill="1B3A5C" w:val="clear"/>
            <w:tcMar>
              <w:top w:type="dxa" w:w="105"/>
              <w:left w:type="dxa" w:w="125"/>
              <w:bottom w:type="dxa" w:w="105"/>
              <w:right w:type="dxa" w:w="125"/>
            </w:tcMar>
          </w:tcPr>
          <w:p>
            <w:r>
              <w:rPr>
                <w:rFonts w:ascii="Calibri" w:cs="Calibri" w:eastAsia="Calibri" w:hAnsi="Calibri"/>
                <w:b/>
                <w:bCs/>
                <w:color w:val="FFFFFF"/>
                <w:sz w:val="19"/>
                <w:szCs w:val="19"/>
              </w:rPr>
              <w:t xml:space="preserve">Missed</w:t>
            </w:r>
          </w:p>
        </w:tc>
      </w:tr>
      <w:tr>
        <w:tc>
          <w:tcPr>
            <w:tcW w:type="dxa" w:w="3600"/>
            <w:shd w:fill="FFFFFF" w:val="clear"/>
            <w:tcMar>
              <w:top w:type="dxa" w:w="95"/>
              <w:left w:type="dxa" w:w="125"/>
              <w:bottom w:type="dxa" w:w="95"/>
              <w:right w:type="dxa" w:w="125"/>
            </w:tcMar>
          </w:tcPr>
          <w:p>
            <w:r>
              <w:rPr>
                <w:rFonts w:ascii="Calibri" w:cs="Calibri" w:eastAsia="Calibri" w:hAnsi="Calibri"/>
                <w:sz w:val="19"/>
                <w:szCs w:val="19"/>
              </w:rPr>
              <w:t xml:space="preserve">94–100%, all entries</w:t>
            </w:r>
          </w:p>
        </w:tc>
        <w:tc>
          <w:tcPr>
            <w:tcW w:type="dxa" w:w="1900"/>
            <w:shd w:fill="FFFFFF" w:val="clear"/>
            <w:tcMar>
              <w:top w:type="dxa" w:w="95"/>
              <w:left w:type="dxa" w:w="125"/>
              <w:bottom w:type="dxa" w:w="95"/>
              <w:right w:type="dxa" w:w="125"/>
            </w:tcMar>
          </w:tcPr>
          <w:p>
            <w:r>
              <w:rPr>
                <w:rFonts w:ascii="Calibri" w:cs="Calibri" w:eastAsia="Calibri" w:hAnsi="Calibri"/>
                <w:sz w:val="19"/>
                <w:szCs w:val="19"/>
              </w:rPr>
              <w:t xml:space="preserve">2,231</w:t>
            </w:r>
          </w:p>
        </w:tc>
        <w:tc>
          <w:tcPr>
            <w:tcW w:type="dxa" w:w="1500"/>
            <w:shd w:fill="FFFFFF" w:val="clear"/>
            <w:tcMar>
              <w:top w:type="dxa" w:w="95"/>
              <w:left w:type="dxa" w:w="125"/>
              <w:bottom w:type="dxa" w:w="95"/>
              <w:right w:type="dxa" w:w="125"/>
            </w:tcMar>
          </w:tcPr>
          <w:p>
            <w:r>
              <w:rPr>
                <w:rFonts w:ascii="Calibri" w:cs="Calibri" w:eastAsia="Calibri" w:hAnsi="Calibri"/>
                <w:sz w:val="19"/>
                <w:szCs w:val="19"/>
              </w:rPr>
              <w:t xml:space="preserve">26</w:t>
            </w:r>
          </w:p>
        </w:tc>
        <w:tc>
          <w:tcPr>
            <w:tcW w:type="dxa" w:w="1500"/>
            <w:shd w:fill="FFFFFF" w:val="clear"/>
            <w:tcMar>
              <w:top w:type="dxa" w:w="95"/>
              <w:left w:type="dxa" w:w="125"/>
              <w:bottom w:type="dxa" w:w="95"/>
              <w:right w:type="dxa" w:w="125"/>
            </w:tcMar>
          </w:tcPr>
          <w:p>
            <w:r>
              <w:rPr>
                <w:rFonts w:ascii="Calibri" w:cs="Calibri" w:eastAsia="Calibri" w:hAnsi="Calibri"/>
                <w:sz w:val="19"/>
                <w:szCs w:val="19"/>
              </w:rPr>
              <w:t xml:space="preserve">0</w:t>
            </w:r>
          </w:p>
        </w:tc>
      </w:tr>
      <w:tr>
        <w:tc>
          <w:tcPr>
            <w:tcW w:type="dxa" w:w="3600"/>
            <w:shd w:fill="F7F9FB" w:val="clear"/>
            <w:tcMar>
              <w:top w:type="dxa" w:w="95"/>
              <w:left w:type="dxa" w:w="125"/>
              <w:bottom w:type="dxa" w:w="95"/>
              <w:right w:type="dxa" w:w="125"/>
            </w:tcMar>
          </w:tcPr>
          <w:p>
            <w:r>
              <w:rPr>
                <w:rFonts w:ascii="Calibri" w:cs="Calibri" w:eastAsia="Calibri" w:hAnsi="Calibri"/>
                <w:sz w:val="19"/>
                <w:szCs w:val="19"/>
              </w:rPr>
              <w:t xml:space="preserve">94–100%, manual only</w:t>
            </w:r>
          </w:p>
        </w:tc>
        <w:tc>
          <w:tcPr>
            <w:tcW w:type="dxa" w:w="1900"/>
            <w:shd w:fill="F7F9FB" w:val="clear"/>
            <w:tcMar>
              <w:top w:type="dxa" w:w="95"/>
              <w:left w:type="dxa" w:w="125"/>
              <w:bottom w:type="dxa" w:w="95"/>
              <w:right w:type="dxa" w:w="125"/>
            </w:tcMar>
          </w:tcPr>
          <w:p>
            <w:r>
              <w:rPr>
                <w:rFonts w:ascii="Calibri" w:cs="Calibri" w:eastAsia="Calibri" w:hAnsi="Calibri"/>
                <w:sz w:val="19"/>
                <w:szCs w:val="19"/>
              </w:rPr>
              <w:t xml:space="preserve">445</w:t>
            </w:r>
          </w:p>
        </w:tc>
        <w:tc>
          <w:tcPr>
            <w:tcW w:type="dxa" w:w="1500"/>
            <w:shd w:fill="F7F9FB" w:val="clear"/>
            <w:tcMar>
              <w:top w:type="dxa" w:w="95"/>
              <w:left w:type="dxa" w:w="125"/>
              <w:bottom w:type="dxa" w:w="95"/>
              <w:right w:type="dxa" w:w="125"/>
            </w:tcMar>
          </w:tcPr>
          <w:p>
            <w:r>
              <w:rPr>
                <w:rFonts w:ascii="Calibri" w:cs="Calibri" w:eastAsia="Calibri" w:hAnsi="Calibri"/>
                <w:sz w:val="19"/>
                <w:szCs w:val="19"/>
              </w:rPr>
              <w:t xml:space="preserve">26</w:t>
            </w:r>
          </w:p>
        </w:tc>
        <w:tc>
          <w:tcPr>
            <w:tcW w:type="dxa" w:w="1500"/>
            <w:shd w:fill="F7F9FB" w:val="clear"/>
            <w:tcMar>
              <w:top w:type="dxa" w:w="95"/>
              <w:left w:type="dxa" w:w="125"/>
              <w:bottom w:type="dxa" w:w="95"/>
              <w:right w:type="dxa" w:w="125"/>
            </w:tcMar>
          </w:tcPr>
          <w:p>
            <w:r>
              <w:rPr>
                <w:rFonts w:ascii="Calibri" w:cs="Calibri" w:eastAsia="Calibri" w:hAnsi="Calibri"/>
                <w:sz w:val="19"/>
                <w:szCs w:val="19"/>
              </w:rPr>
              <w:t xml:space="preserve">0</w:t>
            </w:r>
          </w:p>
        </w:tc>
      </w:tr>
      <w:tr>
        <w:tc>
          <w:tcPr>
            <w:tcW w:type="dxa" w:w="3600"/>
            <w:shd w:fill="FFFFFF" w:val="clear"/>
            <w:tcMar>
              <w:top w:type="dxa" w:w="95"/>
              <w:left w:type="dxa" w:w="125"/>
              <w:bottom w:type="dxa" w:w="95"/>
              <w:right w:type="dxa" w:w="125"/>
            </w:tcMar>
          </w:tcPr>
          <w:p>
            <w:r>
              <w:rPr>
                <w:rFonts w:ascii="Calibri" w:cs="Calibri" w:eastAsia="Calibri" w:hAnsi="Calibri"/>
                <w:sz w:val="19"/>
                <w:szCs w:val="19"/>
              </w:rPr>
              <w:t xml:space="preserve">98–100%, manual only</w:t>
            </w:r>
          </w:p>
        </w:tc>
        <w:tc>
          <w:tcPr>
            <w:tcW w:type="dxa" w:w="1900"/>
            <w:shd w:fill="FFFFFF" w:val="clear"/>
            <w:tcMar>
              <w:top w:type="dxa" w:w="95"/>
              <w:left w:type="dxa" w:w="125"/>
              <w:bottom w:type="dxa" w:w="95"/>
              <w:right w:type="dxa" w:w="125"/>
            </w:tcMar>
          </w:tcPr>
          <w:p>
            <w:r>
              <w:rPr>
                <w:rFonts w:ascii="Calibri" w:cs="Calibri" w:eastAsia="Calibri" w:hAnsi="Calibri"/>
                <w:sz w:val="19"/>
                <w:szCs w:val="19"/>
              </w:rPr>
              <w:t xml:space="preserve">130</w:t>
            </w:r>
          </w:p>
        </w:tc>
        <w:tc>
          <w:tcPr>
            <w:tcW w:type="dxa" w:w="1500"/>
            <w:shd w:fill="FFFFFF" w:val="clear"/>
            <w:tcMar>
              <w:top w:type="dxa" w:w="95"/>
              <w:left w:type="dxa" w:w="125"/>
              <w:bottom w:type="dxa" w:w="95"/>
              <w:right w:type="dxa" w:w="125"/>
            </w:tcMar>
          </w:tcPr>
          <w:p>
            <w:r>
              <w:rPr>
                <w:rFonts w:ascii="Calibri" w:cs="Calibri" w:eastAsia="Calibri" w:hAnsi="Calibri"/>
                <w:sz w:val="19"/>
                <w:szCs w:val="19"/>
              </w:rPr>
              <w:t xml:space="preserve">7</w:t>
            </w:r>
          </w:p>
        </w:tc>
        <w:tc>
          <w:tcPr>
            <w:tcW w:type="dxa" w:w="1500"/>
            <w:shd w:fill="FFFFFF" w:val="clear"/>
            <w:tcMar>
              <w:top w:type="dxa" w:w="95"/>
              <w:left w:type="dxa" w:w="125"/>
              <w:bottom w:type="dxa" w:w="95"/>
              <w:right w:type="dxa" w:w="125"/>
            </w:tcMar>
          </w:tcPr>
          <w:p>
            <w:r>
              <w:rPr>
                <w:rFonts w:ascii="Calibri" w:cs="Calibri" w:eastAsia="Calibri" w:hAnsi="Calibri"/>
                <w:sz w:val="19"/>
                <w:szCs w:val="19"/>
              </w:rPr>
              <w:t xml:space="preserve">19</w:t>
            </w:r>
          </w:p>
        </w:tc>
      </w:tr>
      <w:tr>
        <w:tc>
          <w:tcPr>
            <w:tcW w:type="dxa" w:w="3600"/>
            <w:shd w:fill="F7F9FB" w:val="clear"/>
            <w:tcMar>
              <w:top w:type="dxa" w:w="95"/>
              <w:left w:type="dxa" w:w="125"/>
              <w:bottom w:type="dxa" w:w="95"/>
              <w:right w:type="dxa" w:w="125"/>
            </w:tcMar>
          </w:tcPr>
          <w:p>
            <w:r>
              <w:rPr>
                <w:rFonts w:ascii="Calibri" w:cs="Calibri" w:eastAsia="Calibri" w:hAnsi="Calibri"/>
                <w:sz w:val="19"/>
                <w:szCs w:val="19"/>
              </w:rPr>
              <w:t xml:space="preserve">90–100%, manual only</w:t>
            </w:r>
          </w:p>
        </w:tc>
        <w:tc>
          <w:tcPr>
            <w:tcW w:type="dxa" w:w="1900"/>
            <w:shd w:fill="F7F9FB" w:val="clear"/>
            <w:tcMar>
              <w:top w:type="dxa" w:w="95"/>
              <w:left w:type="dxa" w:w="125"/>
              <w:bottom w:type="dxa" w:w="95"/>
              <w:right w:type="dxa" w:w="125"/>
            </w:tcMar>
          </w:tcPr>
          <w:p>
            <w:r>
              <w:rPr>
                <w:rFonts w:ascii="Calibri" w:cs="Calibri" w:eastAsia="Calibri" w:hAnsi="Calibri"/>
                <w:sz w:val="19"/>
                <w:szCs w:val="19"/>
              </w:rPr>
              <w:t xml:space="preserve">720</w:t>
            </w:r>
          </w:p>
        </w:tc>
        <w:tc>
          <w:tcPr>
            <w:tcW w:type="dxa" w:w="1500"/>
            <w:shd w:fill="F7F9FB" w:val="clear"/>
            <w:tcMar>
              <w:top w:type="dxa" w:w="95"/>
              <w:left w:type="dxa" w:w="125"/>
              <w:bottom w:type="dxa" w:w="95"/>
              <w:right w:type="dxa" w:w="125"/>
            </w:tcMar>
          </w:tcPr>
          <w:p>
            <w:r>
              <w:rPr>
                <w:rFonts w:ascii="Calibri" w:cs="Calibri" w:eastAsia="Calibri" w:hAnsi="Calibri"/>
                <w:sz w:val="19"/>
                <w:szCs w:val="19"/>
              </w:rPr>
              <w:t xml:space="preserve">26</w:t>
            </w:r>
          </w:p>
        </w:tc>
        <w:tc>
          <w:tcPr>
            <w:tcW w:type="dxa" w:w="1500"/>
            <w:shd w:fill="F7F9FB" w:val="clear"/>
            <w:tcMar>
              <w:top w:type="dxa" w:w="95"/>
              <w:left w:type="dxa" w:w="125"/>
              <w:bottom w:type="dxa" w:w="95"/>
              <w:right w:type="dxa" w:w="125"/>
            </w:tcMar>
          </w:tcPr>
          <w:p>
            <w:r>
              <w:rPr>
                <w:rFonts w:ascii="Calibri" w:cs="Calibri" w:eastAsia="Calibri" w:hAnsi="Calibri"/>
                <w:sz w:val="19"/>
                <w:szCs w:val="19"/>
              </w:rPr>
              <w:t xml:space="preserve">0</w:t>
            </w:r>
          </w:p>
        </w:tc>
      </w:tr>
    </w:tbl>
    <w:p>
      <w:pPr>
        <w:spacing w:after="180"/>
      </w:pPr>
      <w:r>
        <w:t xml:space="preserve"/>
      </w:r>
    </w:p>
    <w:p>
      <w:pPr>
        <w:spacing w:after="125" w:line="300"/>
      </w:pPr>
      <w:r>
        <w:rPr>
          <w:rFonts w:ascii="Calibri" w:cs="Calibri" w:eastAsia="Calibri" w:hAnsi="Calibri"/>
          <w:sz w:val="21"/>
          <w:szCs w:val="21"/>
        </w:rPr>
        <w:t xml:space="preserve">Restricting to manual entries improved precision fivefold at no cost in detection. Narrowing the band instead reduced the list further but lost nineteen of the twenty-six genuine items.</w:t>
      </w:r>
    </w:p>
    <w:p>
      <w:pPr>
        <w:spacing w:after="125" w:line="300"/>
      </w:pPr>
      <w:r>
        <w:rPr>
          <w:rFonts w:ascii="Calibri" w:cs="Calibri" w:eastAsia="Calibri" w:hAnsi="Calibri"/>
          <w:b/>
          <w:bCs/>
          <w:sz w:val="21"/>
          <w:szCs w:val="21"/>
        </w:rPr>
        <w:t xml:space="preserve">The band was never the problem. The entry type was.</w:t>
      </w:r>
    </w:p>
    <w:p>
      <w:pPr>
        <w:spacing w:after="125" w:line="300"/>
      </w:pPr>
      <w:r>
        <w:rPr>
          <w:rFonts w:ascii="Calibri" w:cs="Calibri" w:eastAsia="Calibri" w:hAnsi="Calibri"/>
          <w:sz w:val="21"/>
          <w:szCs w:val="21"/>
        </w:rPr>
        <w:t xml:space="preserve">Two thousand exceptions is a failed design, because a list nobody works through is not a control. Four hundred and forty-five, with a documented basis for the cut-off, is a working procedure.</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The test only works where the approval threshold is known and consistently applied. Where thresholds vary by account, cost centre or role, the procedure must be parameterised accordingly.</w:t>
      </w:r>
    </w:p>
    <w:p>
      <w:r>
        <w:br w:type="page"/>
      </w:r>
    </w:p>
    <w:p>
      <w:pPr>
        <w:pStyle w:val="Heading2"/>
        <w:spacing w:after="130" w:before="300"/>
      </w:pPr>
      <w:r>
        <w:rPr>
          <w:rFonts w:ascii="Calibri" w:cs="Calibri" w:eastAsia="Calibri" w:hAnsi="Calibri"/>
          <w:b/>
          <w:bCs/>
          <w:color w:val="1B3A5C"/>
          <w:sz w:val="25"/>
          <w:szCs w:val="25"/>
        </w:rPr>
        <w:t xml:space="preserve">T6  —  Rare account pairings</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debit and credit account combinations that occur very rarely in the population.</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A business posts the same combinations repeatedly. Electricity debits Power and fuel and credits Accrued expenses, thousands of times a year. Sales debit Trade receivables and credit Revenue. These pairings are the fingerprint of routine operations.</w:t>
      </w:r>
    </w:p>
    <w:p>
      <w:pPr>
        <w:spacing w:after="125" w:line="300"/>
      </w:pPr>
      <w:r>
        <w:rPr>
          <w:rFonts w:ascii="Calibri" w:cs="Calibri" w:eastAsia="Calibri" w:hAnsi="Calibri"/>
          <w:sz w:val="21"/>
          <w:szCs w:val="21"/>
        </w:rPr>
        <w:t xml:space="preserve">A debit to Revenue against a credit to Suspense is not part of that fingerprint. It may be a legitimate correction, but it is not something the business does as a matter of course, and it therefore requires an explanation.</w:t>
      </w:r>
    </w:p>
    <w:p>
      <w:pPr>
        <w:spacing w:after="125" w:line="300"/>
      </w:pPr>
      <w:r>
        <w:rPr>
          <w:rFonts w:ascii="Calibri" w:cs="Calibri" w:eastAsia="Calibri" w:hAnsi="Calibri"/>
          <w:sz w:val="21"/>
          <w:szCs w:val="21"/>
        </w:rPr>
        <w:t xml:space="preserve">This test is powerful precisely because it requires no prior knowledge of what is unusual. The population defines its own normal, and the test finds departures from it.</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Account pairings occurring fewer than five times across the financial year.</w:t>
      </w:r>
    </w:p>
    <w:p>
      <w:pPr>
        <w:spacing w:after="125" w:line="300"/>
      </w:pPr>
      <w:r>
        <w:rPr>
          <w:rFonts w:ascii="Calibri" w:cs="Calibri" w:eastAsia="Calibri" w:hAnsi="Calibri"/>
          <w:sz w:val="21"/>
          <w:szCs w:val="21"/>
        </w:rPr>
        <w:t xml:space="preserve">Five is judgemental. A lower threshold produces fewer, stronger exceptions; a higher one produces more, weaker ones. The right figure depends on the number of distinct pairings the entity generates, and should be set after examining the distribution rather than chosen in advance.</w:t>
      </w:r>
    </w:p>
    <w:p>
      <w:pPr>
        <w:pStyle w:val="Heading3"/>
        <w:spacing w:after="100" w:before="220"/>
      </w:pPr>
      <w:r>
        <w:rPr>
          <w:rFonts w:ascii="Calibri" w:cs="Calibri" w:eastAsia="Calibri" w:hAnsi="Calibri"/>
          <w:b/>
          <w:bCs/>
          <w:color w:val="0E7C7B"/>
          <w:sz w:val="22"/>
          <w:szCs w:val="22"/>
        </w:rPr>
        <w:t xml:space="preserve">What a hit means</w:t>
      </w:r>
    </w:p>
    <w:p>
      <w:pPr>
        <w:spacing w:after="125" w:line="300"/>
      </w:pPr>
      <w:r>
        <w:rPr>
          <w:rFonts w:ascii="Calibri" w:cs="Calibri" w:eastAsia="Calibri" w:hAnsi="Calibri"/>
          <w:sz w:val="21"/>
          <w:szCs w:val="21"/>
        </w:rPr>
        <w:t xml:space="preserve">That this combination is not part of the entity's routine activity. Each occurrence needs an explanation — and explanations are where audit enquiry actually makes progress.</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The procedure as implemented assumes two-line entries. Compound entries with multiple debits and credits require a different construction, since the pairing is no longer a single relationship. Seasonal or annual transactions also appear rare by construction and are usually legitimate.</w:t>
      </w:r>
    </w:p>
    <w:p>
      <w:r>
        <w:br w:type="page"/>
      </w:r>
    </w:p>
    <w:p>
      <w:pPr>
        <w:pStyle w:val="Heading2"/>
        <w:spacing w:after="130" w:before="300"/>
      </w:pPr>
      <w:r>
        <w:rPr>
          <w:rFonts w:ascii="Calibri" w:cs="Calibri" w:eastAsia="Calibri" w:hAnsi="Calibri"/>
          <w:b/>
          <w:bCs/>
          <w:color w:val="1B3A5C"/>
          <w:sz w:val="25"/>
          <w:szCs w:val="25"/>
        </w:rPr>
        <w:t xml:space="preserve">T7  —  Narration keywords</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entries whose narrative description contains language indicating an unresolved, temporary or unexplained item.</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Narrations are written by people, for people. Nobody writes a narration expecting it to be searched, which is why it is often the most honest field in the ledger.</w:t>
      </w:r>
    </w:p>
    <w:p>
      <w:pPr>
        <w:spacing w:after="125" w:line="300"/>
      </w:pPr>
      <w:r>
        <w:rPr>
          <w:rFonts w:ascii="Calibri" w:cs="Calibri" w:eastAsia="Calibri" w:hAnsi="Calibri"/>
          <w:sz w:val="21"/>
          <w:szCs w:val="21"/>
        </w:rPr>
        <w:t xml:space="preserve">Phrases such as "to plug difference", "temporary posting", "pending confirmation", "to be corrected" or "as per instruction" are not concealment. They are the opposite — the preparer describing exactly what they were doing. An entry made to force a reconciliation to balance is usually labelled as such.</w:t>
      </w:r>
    </w:p>
    <w:p>
      <w:pPr>
        <w:spacing w:after="125" w:line="300"/>
      </w:pPr>
      <w:r>
        <w:rPr>
          <w:rFonts w:ascii="Calibri" w:cs="Calibri" w:eastAsia="Calibri" w:hAnsi="Calibri"/>
          <w:sz w:val="21"/>
          <w:szCs w:val="21"/>
        </w:rPr>
        <w:t xml:space="preserve">The word "instruction" is particularly worth attention: it indicates the entry originated from a direction rather than a transaction, and the source of that direction is the relevant question.</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Narration containing any of: plug, difference, reversal, temporary, pending, adjustment, squaring, correction, as per instruction, to be corrected.</w:t>
      </w:r>
    </w:p>
    <w:p>
      <w:pPr>
        <w:spacing w:after="125" w:line="300"/>
      </w:pPr>
      <w:r>
        <w:rPr>
          <w:rFonts w:ascii="Calibri" w:cs="Calibri" w:eastAsia="Calibri" w:hAnsi="Calibri"/>
          <w:sz w:val="21"/>
          <w:szCs w:val="21"/>
        </w:rPr>
        <w:t xml:space="preserve">The keyword list must be tailored to the entity. Terminology varies by organisation, by system and by language, and a list developed for one client will underperform on another.</w:t>
      </w:r>
    </w:p>
    <w:p>
      <w:pPr>
        <w:pStyle w:val="Heading3"/>
        <w:spacing w:after="100" w:before="220"/>
      </w:pPr>
      <w:r>
        <w:rPr>
          <w:rFonts w:ascii="Calibri" w:cs="Calibri" w:eastAsia="Calibri" w:hAnsi="Calibri"/>
          <w:b/>
          <w:bCs/>
          <w:color w:val="0E7C7B"/>
          <w:sz w:val="22"/>
          <w:szCs w:val="22"/>
        </w:rPr>
        <w:t xml:space="preserve">What a hit means</w:t>
      </w:r>
    </w:p>
    <w:p>
      <w:pPr>
        <w:spacing w:after="125" w:line="300"/>
      </w:pPr>
      <w:r>
        <w:rPr>
          <w:rFonts w:ascii="Calibri" w:cs="Calibri" w:eastAsia="Calibri" w:hAnsi="Calibri"/>
          <w:sz w:val="21"/>
          <w:szCs w:val="21"/>
        </w:rPr>
        <w:t xml:space="preserve">That the preparer regarded the entry as provisional, corrective or externally directed. The follow-up is whether it was subsequently resolved.</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Easily evaded. Anyone concealing an entry will not describe it accurately, and blank or generic narrations defeat the test entirely. It performs best as a corroborating test rather than a primary one. Free-text quality also varies enormously between systems.</w:t>
      </w:r>
    </w:p>
    <w:p>
      <w:r>
        <w:br w:type="page"/>
      </w:r>
    </w:p>
    <w:p>
      <w:pPr>
        <w:pStyle w:val="Heading2"/>
        <w:spacing w:after="130" w:before="300"/>
      </w:pPr>
      <w:r>
        <w:rPr>
          <w:rFonts w:ascii="Calibri" w:cs="Calibri" w:eastAsia="Calibri" w:hAnsi="Calibri"/>
          <w:b/>
          <w:bCs/>
          <w:color w:val="1B3A5C"/>
          <w:sz w:val="25"/>
          <w:szCs w:val="25"/>
        </w:rPr>
        <w:t xml:space="preserve">T8  —  Sequence gaps</w:t>
      </w:r>
    </w:p>
    <w:p>
      <w:pPr>
        <w:pStyle w:val="Heading3"/>
        <w:spacing w:after="100" w:before="220"/>
      </w:pPr>
      <w:r>
        <w:rPr>
          <w:rFonts w:ascii="Calibri" w:cs="Calibri" w:eastAsia="Calibri" w:hAnsi="Calibri"/>
          <w:b/>
          <w:bCs/>
          <w:color w:val="0E7C7B"/>
          <w:sz w:val="22"/>
          <w:szCs w:val="22"/>
        </w:rPr>
        <w:t xml:space="preserve">Objective</w:t>
      </w:r>
    </w:p>
    <w:p>
      <w:pPr>
        <w:spacing w:after="125" w:line="300"/>
      </w:pPr>
      <w:r>
        <w:rPr>
          <w:rFonts w:ascii="Calibri" w:cs="Calibri" w:eastAsia="Calibri" w:hAnsi="Calibri"/>
          <w:sz w:val="21"/>
          <w:szCs w:val="21"/>
        </w:rPr>
        <w:t xml:space="preserve">To identify missing numbers in the journal entry identifier sequence.</w:t>
      </w:r>
    </w:p>
    <w:p>
      <w:pPr>
        <w:pStyle w:val="Heading3"/>
        <w:spacing w:after="100" w:before="220"/>
      </w:pPr>
      <w:r>
        <w:rPr>
          <w:rFonts w:ascii="Calibri" w:cs="Calibri" w:eastAsia="Calibri" w:hAnsi="Calibri"/>
          <w:b/>
          <w:bCs/>
          <w:color w:val="0E7C7B"/>
          <w:sz w:val="22"/>
          <w:szCs w:val="22"/>
        </w:rPr>
        <w:t xml:space="preserve">Why this pattern matters</w:t>
      </w:r>
    </w:p>
    <w:p>
      <w:pPr>
        <w:spacing w:after="125" w:line="300"/>
      </w:pPr>
      <w:r>
        <w:rPr>
          <w:rFonts w:ascii="Calibri" w:cs="Calibri" w:eastAsia="Calibri" w:hAnsi="Calibri"/>
          <w:sz w:val="21"/>
          <w:szCs w:val="21"/>
        </w:rPr>
        <w:t xml:space="preserve">This is a completeness test, and it is different in kind from the seven preceding it. Those examine entries that exist. This one examines entries that do not.</w:t>
      </w:r>
    </w:p>
    <w:p>
      <w:pPr>
        <w:spacing w:after="125" w:line="300"/>
      </w:pPr>
      <w:r>
        <w:rPr>
          <w:rFonts w:ascii="Calibri" w:cs="Calibri" w:eastAsia="Calibri" w:hAnsi="Calibri"/>
          <w:sz w:val="21"/>
          <w:szCs w:val="21"/>
        </w:rPr>
        <w:t xml:space="preserve">Accounting systems allocate journal entry numbers sequentially. A gap in that sequence has a limited number of explanations: an entry was deleted, a transaction was abandoned mid-entry, the extract provided for testing is incomplete, or numbers are allocated across multiple systems or document types.</w:t>
      </w:r>
    </w:p>
    <w:p>
      <w:pPr>
        <w:spacing w:after="125" w:line="300"/>
      </w:pPr>
      <w:r>
        <w:rPr>
          <w:rFonts w:ascii="Calibri" w:cs="Calibri" w:eastAsia="Calibri" w:hAnsi="Calibri"/>
          <w:sz w:val="21"/>
          <w:szCs w:val="21"/>
        </w:rPr>
        <w:t xml:space="preserve">The last two are the most common and the most important. If the extract is incomplete, every other test in the suite has been performed on a partial population — and their conclusions are correspondingly unreliable.</w:t>
      </w:r>
    </w:p>
    <w:p>
      <w:pPr>
        <w:pStyle w:val="Heading3"/>
        <w:spacing w:after="100" w:before="220"/>
      </w:pPr>
      <w:r>
        <w:rPr>
          <w:rFonts w:ascii="Calibri" w:cs="Calibri" w:eastAsia="Calibri" w:hAnsi="Calibri"/>
          <w:b/>
          <w:bCs/>
          <w:color w:val="0E7C7B"/>
          <w:sz w:val="22"/>
          <w:szCs w:val="22"/>
        </w:rPr>
        <w:t xml:space="preserve">Parameters</w:t>
      </w:r>
    </w:p>
    <w:p>
      <w:pPr>
        <w:spacing w:after="125" w:line="300"/>
      </w:pPr>
      <w:r>
        <w:rPr>
          <w:rFonts w:ascii="Calibri" w:cs="Calibri" w:eastAsia="Calibri" w:hAnsi="Calibri"/>
          <w:sz w:val="21"/>
          <w:szCs w:val="21"/>
        </w:rPr>
        <w:t xml:space="preserve">Any break in the numeric sequence between the lowest and highest entry identifier.</w:t>
      </w:r>
    </w:p>
    <w:p>
      <w:pPr>
        <w:spacing w:after="125" w:line="300"/>
      </w:pPr>
      <w:r>
        <w:rPr>
          <w:rFonts w:ascii="Calibri" w:cs="Calibri" w:eastAsia="Calibri" w:hAnsi="Calibri"/>
          <w:sz w:val="21"/>
          <w:szCs w:val="21"/>
        </w:rPr>
        <w:t xml:space="preserve">No threshold applies. A gap either exists or it does not.</w:t>
      </w:r>
    </w:p>
    <w:p>
      <w:pPr>
        <w:pStyle w:val="Heading3"/>
        <w:spacing w:after="100" w:before="220"/>
      </w:pPr>
      <w:r>
        <w:rPr>
          <w:rFonts w:ascii="Calibri" w:cs="Calibri" w:eastAsia="Calibri" w:hAnsi="Calibri"/>
          <w:b/>
          <w:bCs/>
          <w:color w:val="0E7C7B"/>
          <w:sz w:val="22"/>
          <w:szCs w:val="22"/>
        </w:rPr>
        <w:t xml:space="preserve">What a hit means</w:t>
      </w:r>
    </w:p>
    <w:p>
      <w:pPr>
        <w:spacing w:after="125" w:line="300"/>
      </w:pPr>
      <w:r>
        <w:rPr>
          <w:rFonts w:ascii="Calibri" w:cs="Calibri" w:eastAsia="Calibri" w:hAnsi="Calibri"/>
          <w:sz w:val="21"/>
          <w:szCs w:val="21"/>
        </w:rPr>
        <w:t xml:space="preserve">A question for the client about how numbers are allocated, and specifically whether the extract provided is complete. This should be resolved before relying on any other result in the suite.</w:t>
      </w:r>
    </w:p>
    <w:p>
      <w:pPr>
        <w:pStyle w:val="Heading3"/>
        <w:spacing w:after="100" w:before="220"/>
      </w:pPr>
      <w:r>
        <w:rPr>
          <w:rFonts w:ascii="Calibri" w:cs="Calibri" w:eastAsia="Calibri" w:hAnsi="Calibri"/>
          <w:b/>
          <w:bCs/>
          <w:color w:val="0E7C7B"/>
          <w:sz w:val="22"/>
          <w:szCs w:val="22"/>
        </w:rPr>
        <w:t xml:space="preserve">Limitations</w:t>
      </w:r>
    </w:p>
    <w:p>
      <w:pPr>
        <w:spacing w:after="125" w:line="300"/>
      </w:pPr>
      <w:r>
        <w:rPr>
          <w:rFonts w:ascii="Calibri" w:cs="Calibri" w:eastAsia="Calibri" w:hAnsi="Calibri"/>
          <w:sz w:val="21"/>
          <w:szCs w:val="21"/>
        </w:rPr>
        <w:t xml:space="preserve">Many systems do not allocate strictly sequential identifiers, or allocate separate ranges by document type, entity or period. Where that is the case, gaps are expected and the test produces noise. It must be preceded by an understanding of the system's numbering convention.</w:t>
      </w:r>
    </w:p>
    <w:p>
      <w:pPr>
        <w:spacing w:after="180"/>
      </w:pPr>
      <w:r>
        <w:t xml:space="preserve"/>
      </w:r>
    </w:p>
    <w:tbl>
      <w:tblPr>
        <w:tblW w:type="dxa" w:w="9360"/>
        <w:tblBorders>
          <w:top w:val="single" w:color="0E7C7B" w:sz="14"/>
          <w:left w:val="single" w:color="D8DFE8" w:sz="2"/>
          <w:bottom w:val="single" w:color="D8DFE8" w:sz="2"/>
          <w:right w:val="single" w:color="D8DFE8" w:sz="2"/>
          <w:insideH w:val="none"/>
          <w:insideV w:val="none"/>
        </w:tblBorders>
      </w:tblPr>
      <w:tblGrid>
        <w:gridCol w:w="9360"/>
      </w:tblGrid>
      <w:tr>
        <w:tc>
          <w:tcPr>
            <w:tcW w:type="dxa" w:w="9360"/>
            <w:shd w:fill="FBFCFD" w:val="clear"/>
            <w:tcMar>
              <w:top w:type="dxa" w:w="190"/>
              <w:left w:type="dxa" w:w="230"/>
              <w:bottom w:type="dxa" w:w="190"/>
              <w:right w:type="dxa" w:w="230"/>
            </w:tcMar>
          </w:tcPr>
          <w:p>
            <w:pPr>
              <w:spacing w:after="60"/>
            </w:pPr>
            <w:r>
              <w:rPr>
                <w:rFonts w:ascii="Calibri" w:cs="Calibri" w:eastAsia="Calibri" w:hAnsi="Calibri"/>
                <w:b/>
                <w:bCs/>
                <w:color w:val="0E7C7B"/>
                <w:spacing w:val="28"/>
                <w:sz w:val="16"/>
                <w:szCs w:val="16"/>
              </w:rPr>
              <w:t xml:space="preserve">A NOTE ON IMPLEMENTATION</w:t>
            </w:r>
          </w:p>
          <w:p>
            <w:pPr>
              <w:spacing w:after="90" w:line="290"/>
            </w:pPr>
            <w:r>
              <w:rPr>
                <w:rFonts w:ascii="Calibri" w:cs="Calibri" w:eastAsia="Calibri" w:hAnsi="Calibri"/>
                <w:sz w:val="20"/>
                <w:szCs w:val="20"/>
              </w:rPr>
              <w:t xml:space="preserve">This is the one procedure where the two tools genuinely differ in approach.</w:t>
            </w:r>
          </w:p>
          <w:p>
            <w:pPr>
              <w:spacing w:after="90" w:line="290"/>
            </w:pPr>
            <w:r>
              <w:rPr>
                <w:rFonts w:ascii="Calibri" w:cs="Calibri" w:eastAsia="Calibri" w:hAnsi="Calibri"/>
                <w:sz w:val="20"/>
                <w:szCs w:val="20"/>
              </w:rPr>
              <w:t xml:space="preserve">Alteryx uses a Multi-Row Formula, comparing each row against the one preceding it to detect a break.</w:t>
            </w:r>
          </w:p>
          <w:p>
            <w:pPr>
              <w:spacing w:after="90" w:line="290"/>
            </w:pPr>
            <w:r>
              <w:rPr>
                <w:rFonts w:ascii="Calibri" w:cs="Calibri" w:eastAsia="Calibri" w:hAnsi="Calibri"/>
                <w:sz w:val="20"/>
                <w:szCs w:val="20"/>
              </w:rPr>
              <w:t xml:space="preserve">Power Query has no equivalent, so the same result is obtained by generating the complete expected sequence and subtracting the observed values.</w:t>
            </w:r>
          </w:p>
          <w:p>
            <w:pPr>
              <w:spacing w:after="0" w:line="290"/>
            </w:pPr>
            <w:r>
              <w:rPr>
                <w:rFonts w:ascii="Calibri" w:cs="Calibri" w:eastAsia="Calibri" w:hAnsi="Calibri"/>
                <w:sz w:val="20"/>
                <w:szCs w:val="20"/>
              </w:rPr>
              <w:t xml:space="preserve">Identical output, different conceptual model — a useful reminder that tools shape how a problem is framed, not only how quickly it is solved.</w:t>
            </w:r>
          </w:p>
        </w:tc>
      </w:tr>
    </w:tbl>
    <w:p>
      <w:r>
        <w:br w:type="page"/>
      </w:r>
    </w:p>
    <w:p>
      <w:pPr>
        <w:pStyle w:val="Heading1"/>
        <w:spacing w:after="170" w:before="400"/>
      </w:pPr>
      <w:r>
        <w:rPr>
          <w:rFonts w:ascii="Calibri" w:cs="Calibri" w:eastAsia="Calibri" w:hAnsi="Calibri"/>
          <w:b/>
          <w:bCs/>
          <w:color w:val="1B3A5C"/>
          <w:sz w:val="30"/>
          <w:szCs w:val="30"/>
        </w:rPr>
        <w:t xml:space="preserve">Part 4  —  How to read the results</w:t>
      </w:r>
    </w:p>
    <w:p>
      <w:pPr>
        <w:pStyle w:val="Heading2"/>
        <w:spacing w:after="130" w:before="300"/>
      </w:pPr>
      <w:r>
        <w:rPr>
          <w:rFonts w:ascii="Calibri" w:cs="Calibri" w:eastAsia="Calibri" w:hAnsi="Calibri"/>
          <w:b/>
          <w:bCs/>
          <w:color w:val="1B3A5C"/>
          <w:sz w:val="25"/>
          <w:szCs w:val="25"/>
        </w:rPr>
        <w:t xml:space="preserve">An exception is a question, not a finding</w:t>
      </w:r>
    </w:p>
    <w:p>
      <w:pPr>
        <w:spacing w:after="125" w:line="300"/>
      </w:pPr>
      <w:r>
        <w:rPr>
          <w:rFonts w:ascii="Calibri" w:cs="Calibri" w:eastAsia="Calibri" w:hAnsi="Calibri"/>
          <w:sz w:val="21"/>
          <w:szCs w:val="21"/>
        </w:rPr>
        <w:t xml:space="preserve">Every item raised by these procedures is an entry with a characteristic that warrants enquiry. It is not an error, an irregularity or a conclusion. Presenting exceptions as findings would be both wrong and damaging to the credibility of the work.</w:t>
      </w:r>
    </w:p>
    <w:p>
      <w:pPr>
        <w:pStyle w:val="Heading2"/>
        <w:spacing w:after="130" w:before="300"/>
      </w:pPr>
      <w:r>
        <w:rPr>
          <w:rFonts w:ascii="Calibri" w:cs="Calibri" w:eastAsia="Calibri" w:hAnsi="Calibri"/>
          <w:b/>
          <w:bCs/>
          <w:color w:val="1B3A5C"/>
          <w:sz w:val="25"/>
          <w:szCs w:val="25"/>
        </w:rPr>
        <w:t xml:space="preserve">Corroboration is the strongest signal</w:t>
      </w:r>
    </w:p>
    <w:p>
      <w:pPr>
        <w:spacing w:after="125" w:line="300"/>
      </w:pPr>
      <w:r>
        <w:rPr>
          <w:rFonts w:ascii="Calibri" w:cs="Calibri" w:eastAsia="Calibri" w:hAnsi="Calibri"/>
          <w:sz w:val="21"/>
          <w:szCs w:val="21"/>
        </w:rPr>
        <w:t xml:space="preserve">A single flag is weak evidence. A weekend posting on its own is usually deadline pressure. A round number on its own is usually an estimate.</w:t>
      </w:r>
    </w:p>
    <w:p>
      <w:pPr>
        <w:spacing w:after="125" w:line="300"/>
      </w:pPr>
      <w:r>
        <w:rPr>
          <w:rFonts w:ascii="Calibri" w:cs="Calibri" w:eastAsia="Calibri" w:hAnsi="Calibri"/>
          <w:sz w:val="21"/>
          <w:szCs w:val="21"/>
        </w:rPr>
        <w:t xml:space="preserve">The signal strengthens sharply when independent procedures agree. An entry that is a round number, posted at a weekend, by a rare user, to a suspense account, with a narration referring to plugging a difference, has been identified by five procedures that share no logic. That is a materially different proposition.</w:t>
      </w:r>
    </w:p>
    <w:p>
      <w:pPr>
        <w:spacing w:after="125" w:line="300"/>
      </w:pPr>
      <w:r>
        <w:rPr>
          <w:rFonts w:ascii="Calibri" w:cs="Calibri" w:eastAsia="Calibri" w:hAnsi="Calibri"/>
          <w:sz w:val="21"/>
          <w:szCs w:val="21"/>
        </w:rPr>
        <w:t xml:space="preserve">For this reason, exceptions are ranked by the number of procedures triggered rather than presented as a flat list.</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5060"/>
      </w:tblGrid>
      <w:tr>
        <w:trPr>
          <w:tblHeader/>
        </w:trPr>
        <w:tc>
          <w:tcPr>
            <w:tcW w:type="dxa" w:w="1400"/>
            <w:shd w:fill="1B3A5C" w:val="clear"/>
            <w:tcMar>
              <w:top w:type="dxa" w:w="105"/>
              <w:left w:type="dxa" w:w="125"/>
              <w:bottom w:type="dxa" w:w="105"/>
              <w:right w:type="dxa" w:w="125"/>
            </w:tcMar>
          </w:tcPr>
          <w:p>
            <w:r>
              <w:rPr>
                <w:rFonts w:ascii="Calibri" w:cs="Calibri" w:eastAsia="Calibri" w:hAnsi="Calibri"/>
                <w:b/>
                <w:bCs/>
                <w:color w:val="FFFFFF"/>
                <w:sz w:val="19"/>
                <w:szCs w:val="19"/>
              </w:rPr>
              <w:t xml:space="preserve">Rank</w:t>
            </w:r>
          </w:p>
        </w:tc>
        <w:tc>
          <w:tcPr>
            <w:tcW w:type="dxa" w:w="2900"/>
            <w:shd w:fill="1B3A5C" w:val="clear"/>
            <w:tcMar>
              <w:top w:type="dxa" w:w="105"/>
              <w:left w:type="dxa" w:w="125"/>
              <w:bottom w:type="dxa" w:w="105"/>
              <w:right w:type="dxa" w:w="125"/>
            </w:tcMar>
          </w:tcPr>
          <w:p>
            <w:r>
              <w:rPr>
                <w:rFonts w:ascii="Calibri" w:cs="Calibri" w:eastAsia="Calibri" w:hAnsi="Calibri"/>
                <w:b/>
                <w:bCs/>
                <w:color w:val="FFFFFF"/>
                <w:sz w:val="19"/>
                <w:szCs w:val="19"/>
              </w:rPr>
              <w:t xml:space="preserve">Basis</w:t>
            </w:r>
          </w:p>
        </w:tc>
        <w:tc>
          <w:tcPr>
            <w:tcW w:type="dxa" w:w="5060"/>
            <w:shd w:fill="1B3A5C" w:val="clear"/>
            <w:tcMar>
              <w:top w:type="dxa" w:w="105"/>
              <w:left w:type="dxa" w:w="125"/>
              <w:bottom w:type="dxa" w:w="105"/>
              <w:right w:type="dxa" w:w="125"/>
            </w:tcMar>
          </w:tcPr>
          <w:p>
            <w:r>
              <w:rPr>
                <w:rFonts w:ascii="Calibri" w:cs="Calibri" w:eastAsia="Calibri" w:hAnsi="Calibri"/>
                <w:b/>
                <w:bCs/>
                <w:color w:val="FFFFFF"/>
                <w:sz w:val="19"/>
                <w:szCs w:val="19"/>
              </w:rPr>
              <w:t xml:space="preserve">Interpretation</w:t>
            </w:r>
          </w:p>
        </w:tc>
      </w:tr>
      <w:tr>
        <w:tc>
          <w:tcPr>
            <w:tcW w:type="dxa" w:w="1400"/>
            <w:shd w:fill="FFFFFF" w:val="clear"/>
            <w:tcMar>
              <w:top w:type="dxa" w:w="95"/>
              <w:left w:type="dxa" w:w="125"/>
              <w:bottom w:type="dxa" w:w="95"/>
              <w:right w:type="dxa" w:w="125"/>
            </w:tcMar>
          </w:tcPr>
          <w:p>
            <w:r>
              <w:rPr>
                <w:rFonts w:ascii="Calibri" w:cs="Calibri" w:eastAsia="Calibri" w:hAnsi="Calibri"/>
                <w:sz w:val="19"/>
                <w:szCs w:val="19"/>
              </w:rPr>
              <w:t xml:space="preserve">High</w:t>
            </w:r>
          </w:p>
        </w:tc>
        <w:tc>
          <w:tcPr>
            <w:tcW w:type="dxa" w:w="2900"/>
            <w:shd w:fill="FFFFFF" w:val="clear"/>
            <w:tcMar>
              <w:top w:type="dxa" w:w="95"/>
              <w:left w:type="dxa" w:w="125"/>
              <w:bottom w:type="dxa" w:w="95"/>
              <w:right w:type="dxa" w:w="125"/>
            </w:tcMar>
          </w:tcPr>
          <w:p>
            <w:r>
              <w:rPr>
                <w:rFonts w:ascii="Calibri" w:cs="Calibri" w:eastAsia="Calibri" w:hAnsi="Calibri"/>
                <w:sz w:val="19"/>
                <w:szCs w:val="19"/>
              </w:rPr>
              <w:t xml:space="preserve">Three or more procedures</w:t>
            </w:r>
          </w:p>
        </w:tc>
        <w:tc>
          <w:tcPr>
            <w:tcW w:type="dxa" w:w="5060"/>
            <w:shd w:fill="FFFFFF" w:val="clear"/>
            <w:tcMar>
              <w:top w:type="dxa" w:w="95"/>
              <w:left w:type="dxa" w:w="125"/>
              <w:bottom w:type="dxa" w:w="95"/>
              <w:right w:type="dxa" w:w="125"/>
            </w:tcMar>
          </w:tcPr>
          <w:p>
            <w:r>
              <w:rPr>
                <w:rFonts w:ascii="Calibri" w:cs="Calibri" w:eastAsia="Calibri" w:hAnsi="Calibri"/>
                <w:sz w:val="19"/>
                <w:szCs w:val="19"/>
              </w:rPr>
              <w:t xml:space="preserve">Investigate first. Corroborated across independent tests.</w:t>
            </w:r>
          </w:p>
        </w:tc>
      </w:tr>
      <w:tr>
        <w:tc>
          <w:tcPr>
            <w:tcW w:type="dxa" w:w="1400"/>
            <w:shd w:fill="F7F9FB" w:val="clear"/>
            <w:tcMar>
              <w:top w:type="dxa" w:w="95"/>
              <w:left w:type="dxa" w:w="125"/>
              <w:bottom w:type="dxa" w:w="95"/>
              <w:right w:type="dxa" w:w="125"/>
            </w:tcMar>
          </w:tcPr>
          <w:p>
            <w:r>
              <w:rPr>
                <w:rFonts w:ascii="Calibri" w:cs="Calibri" w:eastAsia="Calibri" w:hAnsi="Calibri"/>
                <w:sz w:val="19"/>
                <w:szCs w:val="19"/>
              </w:rPr>
              <w:t xml:space="preserve">Medium</w:t>
            </w:r>
          </w:p>
        </w:tc>
        <w:tc>
          <w:tcPr>
            <w:tcW w:type="dxa" w:w="2900"/>
            <w:shd w:fill="F7F9FB" w:val="clear"/>
            <w:tcMar>
              <w:top w:type="dxa" w:w="95"/>
              <w:left w:type="dxa" w:w="125"/>
              <w:bottom w:type="dxa" w:w="95"/>
              <w:right w:type="dxa" w:w="125"/>
            </w:tcMar>
          </w:tcPr>
          <w:p>
            <w:r>
              <w:rPr>
                <w:rFonts w:ascii="Calibri" w:cs="Calibri" w:eastAsia="Calibri" w:hAnsi="Calibri"/>
                <w:sz w:val="19"/>
                <w:szCs w:val="19"/>
              </w:rPr>
              <w:t xml:space="preserve">Two procedures</w:t>
            </w:r>
          </w:p>
        </w:tc>
        <w:tc>
          <w:tcPr>
            <w:tcW w:type="dxa" w:w="5060"/>
            <w:shd w:fill="F7F9FB" w:val="clear"/>
            <w:tcMar>
              <w:top w:type="dxa" w:w="95"/>
              <w:left w:type="dxa" w:w="125"/>
              <w:bottom w:type="dxa" w:w="95"/>
              <w:right w:type="dxa" w:w="125"/>
            </w:tcMar>
          </w:tcPr>
          <w:p>
            <w:r>
              <w:rPr>
                <w:rFonts w:ascii="Calibri" w:cs="Calibri" w:eastAsia="Calibri" w:hAnsi="Calibri"/>
                <w:sz w:val="19"/>
                <w:szCs w:val="19"/>
              </w:rPr>
              <w:t xml:space="preserve">Investigate after High items are cleared.</w:t>
            </w:r>
          </w:p>
        </w:tc>
      </w:tr>
      <w:tr>
        <w:tc>
          <w:tcPr>
            <w:tcW w:type="dxa" w:w="1400"/>
            <w:shd w:fill="FFFFFF" w:val="clear"/>
            <w:tcMar>
              <w:top w:type="dxa" w:w="95"/>
              <w:left w:type="dxa" w:w="125"/>
              <w:bottom w:type="dxa" w:w="95"/>
              <w:right w:type="dxa" w:w="125"/>
            </w:tcMar>
          </w:tcPr>
          <w:p>
            <w:r>
              <w:rPr>
                <w:rFonts w:ascii="Calibri" w:cs="Calibri" w:eastAsia="Calibri" w:hAnsi="Calibri"/>
                <w:sz w:val="19"/>
                <w:szCs w:val="19"/>
              </w:rPr>
              <w:t xml:space="preserve">Low</w:t>
            </w:r>
          </w:p>
        </w:tc>
        <w:tc>
          <w:tcPr>
            <w:tcW w:type="dxa" w:w="2900"/>
            <w:shd w:fill="FFFFFF" w:val="clear"/>
            <w:tcMar>
              <w:top w:type="dxa" w:w="95"/>
              <w:left w:type="dxa" w:w="125"/>
              <w:bottom w:type="dxa" w:w="95"/>
              <w:right w:type="dxa" w:w="125"/>
            </w:tcMar>
          </w:tcPr>
          <w:p>
            <w:r>
              <w:rPr>
                <w:rFonts w:ascii="Calibri" w:cs="Calibri" w:eastAsia="Calibri" w:hAnsi="Calibri"/>
                <w:sz w:val="19"/>
                <w:szCs w:val="19"/>
              </w:rPr>
              <w:t xml:space="preserve">One procedure</w:t>
            </w:r>
          </w:p>
        </w:tc>
        <w:tc>
          <w:tcPr>
            <w:tcW w:type="dxa" w:w="5060"/>
            <w:shd w:fill="FFFFFF" w:val="clear"/>
            <w:tcMar>
              <w:top w:type="dxa" w:w="95"/>
              <w:left w:type="dxa" w:w="125"/>
              <w:bottom w:type="dxa" w:w="95"/>
              <w:right w:type="dxa" w:w="125"/>
            </w:tcMar>
          </w:tcPr>
          <w:p>
            <w:r>
              <w:rPr>
                <w:rFonts w:ascii="Calibri" w:cs="Calibri" w:eastAsia="Calibri" w:hAnsi="Calibri"/>
                <w:sz w:val="19"/>
                <w:szCs w:val="19"/>
              </w:rPr>
              <w:t xml:space="preserve">Review for pattern; individually often explicable.</w:t>
            </w:r>
          </w:p>
        </w:tc>
      </w:tr>
    </w:tbl>
    <w:p>
      <w:pPr>
        <w:spacing w:after="180"/>
      </w:pPr>
      <w:r>
        <w:t xml:space="preserve"/>
      </w:r>
    </w:p>
    <w:p>
      <w:pPr>
        <w:pStyle w:val="Heading2"/>
        <w:spacing w:after="130" w:before="300"/>
      </w:pPr>
      <w:r>
        <w:rPr>
          <w:rFonts w:ascii="Calibri" w:cs="Calibri" w:eastAsia="Calibri" w:hAnsi="Calibri"/>
          <w:b/>
          <w:bCs/>
          <w:color w:val="1B3A5C"/>
          <w:sz w:val="25"/>
          <w:szCs w:val="25"/>
        </w:rPr>
        <w:t xml:space="preserve">False positives are reported, not tuned away</w:t>
      </w:r>
    </w:p>
    <w:p>
      <w:pPr>
        <w:spacing w:after="125" w:line="300"/>
      </w:pPr>
      <w:r>
        <w:rPr>
          <w:rFonts w:ascii="Calibri" w:cs="Calibri" w:eastAsia="Calibri" w:hAnsi="Calibri"/>
          <w:sz w:val="21"/>
          <w:szCs w:val="21"/>
        </w:rPr>
        <w:t xml:space="preserve">Each procedure has an inherent false positive rate determined by its threshold. These are disclosed rather than eliminated, because a suite tuned until it returns only known items proves nothing about its behaviour on unknown ones.</w:t>
      </w:r>
    </w:p>
    <w:p>
      <w:pPr>
        <w:pStyle w:val="Heading2"/>
        <w:spacing w:after="130" w:before="300"/>
      </w:pPr>
      <w:r>
        <w:rPr>
          <w:rFonts w:ascii="Calibri" w:cs="Calibri" w:eastAsia="Calibri" w:hAnsi="Calibri"/>
          <w:b/>
          <w:bCs/>
          <w:color w:val="1B3A5C"/>
          <w:sz w:val="25"/>
          <w:szCs w:val="25"/>
        </w:rPr>
        <w:t xml:space="preserve">Thresholds require documented rationale</w:t>
      </w:r>
    </w:p>
    <w:p>
      <w:pPr>
        <w:spacing w:after="125" w:line="300"/>
      </w:pPr>
      <w:r>
        <w:rPr>
          <w:rFonts w:ascii="Calibri" w:cs="Calibri" w:eastAsia="Calibri" w:hAnsi="Calibri"/>
          <w:sz w:val="21"/>
          <w:szCs w:val="21"/>
        </w:rPr>
        <w:t xml:space="preserve">Every threshold in this suite is a judgement. Materiality, the approval limit, the rare-user cut-off, the pairing frequency, the posting lag — each was chosen, and each choice changes the result.</w:t>
      </w:r>
    </w:p>
    <w:p>
      <w:pPr>
        <w:spacing w:after="125" w:line="300"/>
      </w:pPr>
      <w:r>
        <w:rPr>
          <w:rFonts w:ascii="Calibri" w:cs="Calibri" w:eastAsia="Calibri" w:hAnsi="Calibri"/>
          <w:b/>
          <w:bCs/>
          <w:sz w:val="21"/>
          <w:szCs w:val="21"/>
        </w:rPr>
        <w:t xml:space="preserve">A threshold without a documented rationale is an opinion, not a control.</w:t>
      </w:r>
    </w:p>
    <w:p>
      <w:r>
        <w:br w:type="page"/>
      </w:r>
    </w:p>
    <w:p>
      <w:pPr>
        <w:pStyle w:val="Heading1"/>
        <w:spacing w:after="170" w:before="400"/>
      </w:pPr>
      <w:r>
        <w:rPr>
          <w:rFonts w:ascii="Calibri" w:cs="Calibri" w:eastAsia="Calibri" w:hAnsi="Calibri"/>
          <w:b/>
          <w:bCs/>
          <w:color w:val="1B3A5C"/>
          <w:sz w:val="30"/>
          <w:szCs w:val="30"/>
        </w:rPr>
        <w:t xml:space="preserve">Part 5  —  What this testing cannot do</w:t>
      </w:r>
    </w:p>
    <w:p>
      <w:pPr>
        <w:spacing w:after="125" w:line="300"/>
      </w:pPr>
      <w:r>
        <w:rPr>
          <w:rFonts w:ascii="Calibri" w:cs="Calibri" w:eastAsia="Calibri" w:hAnsi="Calibri"/>
          <w:sz w:val="21"/>
          <w:szCs w:val="21"/>
        </w:rPr>
        <w:t xml:space="preserve">Stating limitations plainly is part of the work, not a qualification of it.</w:t>
      </w:r>
    </w:p>
    <w:p>
      <w:pPr>
        <w:pStyle w:val="ListParagraph"/>
        <w:numPr>
          <w:ilvl w:val="0"/>
          <w:numId w:val="2"/>
        </w:numPr>
        <w:spacing w:after="80" w:line="290"/>
      </w:pPr>
      <w:r>
        <w:rPr>
          <w:rFonts w:ascii="Calibri" w:cs="Calibri" w:eastAsia="Calibri" w:hAnsi="Calibri"/>
          <w:sz w:val="21"/>
          <w:szCs w:val="21"/>
        </w:rPr>
        <w:t xml:space="preserve">It cannot detect entries that look entirely normal. A well-constructed improper entry, posted mid-week by a routine user, for an untidy amount, to a routine account pairing, with a plausible narration, will pass every procedure here.</w:t>
      </w:r>
    </w:p>
    <w:p>
      <w:pPr>
        <w:pStyle w:val="ListParagraph"/>
        <w:numPr>
          <w:ilvl w:val="0"/>
          <w:numId w:val="2"/>
        </w:numPr>
        <w:spacing w:after="80" w:line="290"/>
      </w:pPr>
      <w:r>
        <w:rPr>
          <w:rFonts w:ascii="Calibri" w:cs="Calibri" w:eastAsia="Calibri" w:hAnsi="Calibri"/>
          <w:sz w:val="21"/>
          <w:szCs w:val="21"/>
        </w:rPr>
        <w:t xml:space="preserve">It cannot assess whether an entry is correct. These procedures identify entries with unusual characteristics. Whether an entry is properly supported requires examination of the underlying documentation.</w:t>
      </w:r>
    </w:p>
    <w:p>
      <w:pPr>
        <w:pStyle w:val="ListParagraph"/>
        <w:numPr>
          <w:ilvl w:val="0"/>
          <w:numId w:val="2"/>
        </w:numPr>
        <w:spacing w:after="80" w:line="290"/>
      </w:pPr>
      <w:r>
        <w:rPr>
          <w:rFonts w:ascii="Calibri" w:cs="Calibri" w:eastAsia="Calibri" w:hAnsi="Calibri"/>
          <w:sz w:val="21"/>
          <w:szCs w:val="21"/>
        </w:rPr>
        <w:t xml:space="preserve">It cannot evaluate controls. Testing recorded entries is not the same as testing the design or operating effectiveness of the controls over them.</w:t>
      </w:r>
    </w:p>
    <w:p>
      <w:pPr>
        <w:pStyle w:val="ListParagraph"/>
        <w:numPr>
          <w:ilvl w:val="0"/>
          <w:numId w:val="2"/>
        </w:numPr>
        <w:spacing w:after="80" w:line="290"/>
      </w:pPr>
      <w:r>
        <w:rPr>
          <w:rFonts w:ascii="Calibri" w:cs="Calibri" w:eastAsia="Calibri" w:hAnsi="Calibri"/>
          <w:sz w:val="21"/>
          <w:szCs w:val="21"/>
        </w:rPr>
        <w:t xml:space="preserve">It cannot substitute for professional scepticism. Analytics extends coverage. It does not extend judgement, and it does not decide what is material or what warrants escalation.</w:t>
      </w:r>
    </w:p>
    <w:p>
      <w:pPr>
        <w:pStyle w:val="ListParagraph"/>
        <w:numPr>
          <w:ilvl w:val="0"/>
          <w:numId w:val="2"/>
        </w:numPr>
        <w:spacing w:after="80" w:line="290"/>
      </w:pPr>
      <w:r>
        <w:rPr>
          <w:rFonts w:ascii="Calibri" w:cs="Calibri" w:eastAsia="Calibri" w:hAnsi="Calibri"/>
          <w:sz w:val="21"/>
          <w:szCs w:val="21"/>
        </w:rPr>
        <w:t xml:space="preserve">It cannot compensate for an incomplete population. If the extract is partial, every result is unreliable — which is why the completeness work precedes the testing rather than following it.</w:t>
      </w:r>
    </w:p>
    <w:p>
      <w:pPr>
        <w:spacing w:after="180"/>
      </w:pPr>
      <w:r>
        <w:t xml:space="preserve"/>
      </w:r>
    </w:p>
    <w:tbl>
      <w:tblPr>
        <w:tblW w:type="dxa" w:w="9360"/>
        <w:tblBorders>
          <w:top w:val="single" w:color="C9962B" w:sz="14"/>
          <w:left w:val="single" w:color="D8DFE8" w:sz="2"/>
          <w:bottom w:val="single" w:color="D8DFE8" w:sz="2"/>
          <w:right w:val="single" w:color="D8DFE8" w:sz="2"/>
          <w:insideH w:val="none"/>
          <w:insideV w:val="none"/>
        </w:tblBorders>
      </w:tblPr>
      <w:tblGrid>
        <w:gridCol w:w="9360"/>
      </w:tblGrid>
      <w:tr>
        <w:tc>
          <w:tcPr>
            <w:tcW w:type="dxa" w:w="9360"/>
            <w:shd w:fill="FBFCFD" w:val="clear"/>
            <w:tcMar>
              <w:top w:type="dxa" w:w="190"/>
              <w:left w:type="dxa" w:w="230"/>
              <w:bottom w:type="dxa" w:w="190"/>
              <w:right w:type="dxa" w:w="230"/>
            </w:tcMar>
          </w:tcPr>
          <w:p>
            <w:pPr>
              <w:spacing w:after="60"/>
            </w:pPr>
            <w:r>
              <w:rPr>
                <w:rFonts w:ascii="Calibri" w:cs="Calibri" w:eastAsia="Calibri" w:hAnsi="Calibri"/>
                <w:b/>
                <w:bCs/>
                <w:color w:val="C9962B"/>
                <w:spacing w:val="28"/>
                <w:sz w:val="16"/>
                <w:szCs w:val="16"/>
              </w:rPr>
              <w:t xml:space="preserve">THE STANDARD APPLIED THROUGHOUT</w:t>
            </w:r>
          </w:p>
          <w:p>
            <w:pPr>
              <w:spacing w:after="90" w:line="290"/>
            </w:pPr>
            <w:r>
              <w:rPr>
                <w:rFonts w:ascii="Calibri" w:cs="Calibri" w:eastAsia="Calibri" w:hAnsi="Calibri"/>
                <w:sz w:val="20"/>
                <w:szCs w:val="20"/>
              </w:rPr>
              <w:t xml:space="preserve">A reviewer who has never spoken to the preparer should be able to re-perform this work and reach the same result.</w:t>
            </w:r>
          </w:p>
          <w:p>
            <w:pPr>
              <w:spacing w:after="0" w:line="290"/>
            </w:pPr>
            <w:r>
              <w:rPr>
                <w:rFonts w:ascii="Calibri" w:cs="Calibri" w:eastAsia="Calibri" w:hAnsi="Calibri"/>
                <w:sz w:val="20"/>
                <w:szCs w:val="20"/>
              </w:rPr>
              <w:t xml:space="preserve">If they need the preparer in the room, it is not finished.</w:t>
            </w:r>
          </w:p>
        </w:tc>
      </w:tr>
    </w:tbl>
    <w:p>
      <w:pPr>
        <w:spacing w:after="180"/>
      </w:pPr>
      <w:r>
        <w:t xml:space="preserve"/>
      </w:r>
    </w:p>
    <w:p>
      <w:pPr>
        <w:spacing w:after="180"/>
      </w:pPr>
      <w:r>
        <w:t xml:space="preserve"/>
      </w:r>
    </w:p>
    <w:p>
      <w:pPr>
        <w:spacing w:after="125" w:line="300"/>
      </w:pPr>
      <w:r>
        <w:rPr>
          <w:rFonts w:ascii="Calibri" w:cs="Calibri" w:eastAsia="Calibri" w:hAnsi="Calibri"/>
          <w:i/>
          <w:iCs/>
          <w:color w:val="5D6D7E"/>
          <w:sz w:val="18"/>
          <w:szCs w:val="18"/>
        </w:rPr>
        <w:t xml:space="preserve">Synthetic data generated for this project. No client data, client methodology or engagement material is used. Prepared as portfolio work, not as an audit deliverable.</w:t>
      </w:r>
    </w:p>
    <w:sectPr>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Entry Testing — Test Objectives and Significance</dc:title>
  <dc:creator>Sadia Yusuf</dc:creator>
  <cp:lastModifiedBy>Un-named</cp:lastModifiedBy>
  <cp:revision>1</cp:revision>
  <dcterms:created xsi:type="dcterms:W3CDTF">2026-07-29T05:35:15.393Z</dcterms:created>
  <dcterms:modified xsi:type="dcterms:W3CDTF">2026-07-29T05:35:15.408Z</dcterms:modified>
</cp:coreProperties>
</file>

<file path=docProps/custom.xml><?xml version="1.0" encoding="utf-8"?>
<Properties xmlns="http://schemas.openxmlformats.org/officeDocument/2006/custom-properties" xmlns:vt="http://schemas.openxmlformats.org/officeDocument/2006/docPropsVTypes"/>
</file>