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EDF" w:rsidRPr="00B81EDF" w:rsidRDefault="00B81EDF" w:rsidP="007442CC">
      <w:pPr>
        <w:shd w:val="clear" w:color="auto" w:fill="FFFFFF"/>
        <w:spacing w:after="360" w:line="360" w:lineRule="auto"/>
        <w:rPr>
          <w:rFonts w:eastAsia="Times New Roman" w:cstheme="minorHAnsi"/>
          <w:b/>
          <w:bCs/>
          <w:color w:val="1F1F1F"/>
        </w:rPr>
      </w:pPr>
      <w:r w:rsidRPr="00B81EDF">
        <w:rPr>
          <w:rFonts w:eastAsia="Times New Roman" w:cstheme="minorHAnsi"/>
          <w:b/>
          <w:bCs/>
          <w:color w:val="1F1F1F"/>
        </w:rPr>
        <w:t>Box-Jenkins Approach</w:t>
      </w:r>
    </w:p>
    <w:p w:rsidR="00353B42" w:rsidRPr="007442CC" w:rsidRDefault="00353B42" w:rsidP="007442CC">
      <w:pPr>
        <w:shd w:val="clear" w:color="auto" w:fill="FFFFFF"/>
        <w:spacing w:after="360" w:line="360" w:lineRule="auto"/>
        <w:rPr>
          <w:rFonts w:eastAsia="Times New Roman" w:cstheme="minorHAnsi"/>
          <w:color w:val="1F1F1F"/>
        </w:rPr>
      </w:pPr>
      <w:r w:rsidRPr="007442CC">
        <w:rPr>
          <w:rFonts w:eastAsia="Times New Roman" w:cstheme="minorHAnsi"/>
          <w:color w:val="1F1F1F"/>
        </w:rPr>
        <w:t>To build an ARIMA</w:t>
      </w:r>
      <w:r w:rsidR="003D7C7D">
        <w:rPr>
          <w:rFonts w:eastAsia="Times New Roman" w:cstheme="minorHAnsi"/>
          <w:color w:val="1F1F1F"/>
        </w:rPr>
        <w:t xml:space="preserve"> </w:t>
      </w:r>
      <w:r w:rsidRPr="007442CC">
        <w:rPr>
          <w:rFonts w:eastAsia="Times New Roman" w:cstheme="minorHAnsi"/>
          <w:color w:val="1F1F1F"/>
        </w:rPr>
        <w:t>(p</w:t>
      </w:r>
      <w:r w:rsidR="00A70FC5" w:rsidRPr="007442CC">
        <w:rPr>
          <w:rFonts w:eastAsia="Times New Roman" w:cstheme="minorHAnsi"/>
          <w:color w:val="1F1F1F"/>
        </w:rPr>
        <w:t>, q</w:t>
      </w:r>
      <w:r w:rsidRPr="007442CC">
        <w:rPr>
          <w:rFonts w:eastAsia="Times New Roman" w:cstheme="minorHAnsi"/>
          <w:color w:val="1F1F1F"/>
        </w:rPr>
        <w:t xml:space="preserve">) model for the inflation series </w:t>
      </w:r>
      <w:r w:rsidR="00B81EDF" w:rsidRPr="007442CC">
        <w:rPr>
          <w:rFonts w:eastAsia="Times New Roman" w:cstheme="minorHAnsi"/>
          <w:color w:val="1F1F1F"/>
        </w:rPr>
        <w:t>Δcpi (</w:t>
      </w:r>
      <w:r w:rsidRPr="007442CC">
        <w:rPr>
          <w:rFonts w:eastAsia="Times New Roman" w:cstheme="minorHAnsi"/>
          <w:color w:val="1F1F1F"/>
        </w:rPr>
        <w:t>t) using the Box-Jenkins approach, we can follow these steps:</w:t>
      </w:r>
    </w:p>
    <w:p w:rsidR="00353B42" w:rsidRPr="007442CC" w:rsidRDefault="00353B42"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1. Identification</w:t>
      </w:r>
    </w:p>
    <w:p w:rsidR="00353B42" w:rsidRPr="007442CC" w:rsidRDefault="00353B42"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highlight w:val="yellow"/>
        </w:rPr>
        <w:t>First, we need to examine the time series data to determine the appropriate values for p and q. We can do this by analyzing the ACF and PACF of the data.</w:t>
      </w:r>
    </w:p>
    <w:p w:rsidR="00661F93" w:rsidRPr="007442CC" w:rsidRDefault="00353B42" w:rsidP="00B81EDF">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To analyze the ACF and PACF,</w:t>
      </w:r>
      <w:r w:rsidR="00661F93" w:rsidRPr="007442CC">
        <w:rPr>
          <w:rFonts w:eastAsia="Times New Roman" w:cstheme="minorHAnsi"/>
          <w:color w:val="1F1F1F"/>
        </w:rPr>
        <w:t xml:space="preserve"> we  will plot both of thses on STATA. </w:t>
      </w:r>
      <w:r w:rsidR="00B81EDF">
        <w:rPr>
          <w:rFonts w:eastAsia="Times New Roman" w:cstheme="minorHAnsi"/>
          <w:color w:val="1F1F1F"/>
        </w:rPr>
        <w:t xml:space="preserve">(see appendix i.e figure 1, figure 2. </w:t>
      </w:r>
    </w:p>
    <w:p w:rsidR="00353B42" w:rsidRPr="007442CC" w:rsidRDefault="00353B42" w:rsidP="007442CC">
      <w:pPr>
        <w:numPr>
          <w:ilvl w:val="0"/>
          <w:numId w:val="1"/>
        </w:numPr>
        <w:shd w:val="clear" w:color="auto" w:fill="FFFFFF"/>
        <w:spacing w:before="360" w:after="360" w:line="360" w:lineRule="auto"/>
        <w:ind w:left="0"/>
        <w:rPr>
          <w:rFonts w:eastAsia="Times New Roman" w:cstheme="minorHAnsi"/>
          <w:color w:val="1F1F1F"/>
        </w:rPr>
      </w:pPr>
      <w:r w:rsidRPr="007442CC">
        <w:rPr>
          <w:rFonts w:eastAsia="Times New Roman" w:cstheme="minorHAnsi"/>
          <w:color w:val="1F1F1F"/>
        </w:rPr>
        <w:t>Plot the ACF and PACF of the data.</w:t>
      </w:r>
    </w:p>
    <w:p w:rsidR="00353B42" w:rsidRPr="007442CC" w:rsidRDefault="00353B42" w:rsidP="007442CC">
      <w:pPr>
        <w:numPr>
          <w:ilvl w:val="0"/>
          <w:numId w:val="1"/>
        </w:numPr>
        <w:shd w:val="clear" w:color="auto" w:fill="FFFFFF"/>
        <w:spacing w:before="360" w:after="360" w:line="360" w:lineRule="auto"/>
        <w:ind w:left="0"/>
        <w:rPr>
          <w:rFonts w:eastAsia="Times New Roman" w:cstheme="minorHAnsi"/>
          <w:color w:val="1F1F1F"/>
        </w:rPr>
      </w:pPr>
      <w:r w:rsidRPr="007442CC">
        <w:rPr>
          <w:rFonts w:eastAsia="Times New Roman" w:cstheme="minorHAnsi"/>
          <w:color w:val="1F1F1F"/>
        </w:rPr>
        <w:t>Identify any significant spikes or dips in the ACF and PACF.</w:t>
      </w:r>
    </w:p>
    <w:p w:rsidR="00353B42" w:rsidRPr="007442CC" w:rsidRDefault="00353B42" w:rsidP="007442CC">
      <w:pPr>
        <w:numPr>
          <w:ilvl w:val="0"/>
          <w:numId w:val="1"/>
        </w:numPr>
        <w:shd w:val="clear" w:color="auto" w:fill="FFFFFF"/>
        <w:spacing w:before="360" w:after="360" w:line="360" w:lineRule="auto"/>
        <w:ind w:left="0"/>
        <w:rPr>
          <w:rFonts w:eastAsia="Times New Roman" w:cstheme="minorHAnsi"/>
          <w:color w:val="1F1F1F"/>
        </w:rPr>
      </w:pPr>
      <w:r w:rsidRPr="007442CC">
        <w:rPr>
          <w:rFonts w:eastAsia="Times New Roman" w:cstheme="minorHAnsi"/>
          <w:color w:val="1F1F1F"/>
        </w:rPr>
        <w:t>Use the following rules of thumb to determine the values of p and q:</w:t>
      </w:r>
    </w:p>
    <w:p w:rsidR="00353B42" w:rsidRPr="007442CC" w:rsidRDefault="00353B42" w:rsidP="007442CC">
      <w:pPr>
        <w:numPr>
          <w:ilvl w:val="1"/>
          <w:numId w:val="1"/>
        </w:numPr>
        <w:shd w:val="clear" w:color="auto" w:fill="FFFFFF"/>
        <w:spacing w:before="100" w:beforeAutospacing="1" w:after="150" w:line="360" w:lineRule="auto"/>
        <w:ind w:left="0"/>
        <w:rPr>
          <w:rFonts w:eastAsia="Times New Roman" w:cstheme="minorHAnsi"/>
          <w:color w:val="1F1F1F"/>
        </w:rPr>
      </w:pPr>
      <w:r w:rsidRPr="007442CC">
        <w:rPr>
          <w:rFonts w:eastAsia="Times New Roman" w:cstheme="minorHAnsi"/>
          <w:color w:val="1F1F1F"/>
          <w:highlight w:val="cyan"/>
        </w:rPr>
        <w:t>If there are significant spikes at lags 1, 2, ..., p in the ACF</w:t>
      </w:r>
      <w:r w:rsidRPr="007442CC">
        <w:rPr>
          <w:rFonts w:eastAsia="Times New Roman" w:cstheme="minorHAnsi"/>
          <w:color w:val="1F1F1F"/>
        </w:rPr>
        <w:t>, then the order of the autoregressive part of the ARIMA model is p.</w:t>
      </w:r>
    </w:p>
    <w:p w:rsidR="004D194D" w:rsidRDefault="00353B42" w:rsidP="004D194D">
      <w:pPr>
        <w:numPr>
          <w:ilvl w:val="1"/>
          <w:numId w:val="1"/>
        </w:numPr>
        <w:shd w:val="clear" w:color="auto" w:fill="FFFFFF"/>
        <w:spacing w:before="100" w:beforeAutospacing="1" w:after="150" w:line="360" w:lineRule="auto"/>
        <w:ind w:left="0"/>
        <w:rPr>
          <w:rFonts w:eastAsia="Times New Roman" w:cstheme="minorHAnsi"/>
          <w:color w:val="1F1F1F"/>
        </w:rPr>
      </w:pPr>
      <w:r w:rsidRPr="007442CC">
        <w:rPr>
          <w:rFonts w:eastAsia="Times New Roman" w:cstheme="minorHAnsi"/>
          <w:color w:val="1F1F1F"/>
          <w:highlight w:val="cyan"/>
        </w:rPr>
        <w:t>If there are significant spikes at lags 1, 2, ..., q</w:t>
      </w:r>
      <w:r w:rsidRPr="007442CC">
        <w:rPr>
          <w:rFonts w:eastAsia="Times New Roman" w:cstheme="minorHAnsi"/>
          <w:color w:val="1F1F1F"/>
        </w:rPr>
        <w:t xml:space="preserve"> in the PACF, then the order of the moving avera</w:t>
      </w:r>
      <w:r w:rsidR="004D194D">
        <w:rPr>
          <w:rFonts w:eastAsia="Times New Roman" w:cstheme="minorHAnsi"/>
          <w:color w:val="1F1F1F"/>
        </w:rPr>
        <w:t>ge part of the ARIMA model is q.</w:t>
      </w:r>
    </w:p>
    <w:p w:rsidR="004D194D" w:rsidRPr="004D194D" w:rsidRDefault="004D194D" w:rsidP="004D194D">
      <w:pPr>
        <w:shd w:val="clear" w:color="auto" w:fill="FFFFFF"/>
        <w:spacing w:before="100" w:beforeAutospacing="1" w:after="150" w:line="360" w:lineRule="auto"/>
        <w:rPr>
          <w:rFonts w:eastAsia="Times New Roman" w:cstheme="minorHAnsi"/>
          <w:color w:val="1F1F1F"/>
        </w:rPr>
      </w:pPr>
      <w:r>
        <w:rPr>
          <w:rFonts w:eastAsia="Times New Roman" w:cstheme="minorHAnsi"/>
          <w:color w:val="1F1F1F"/>
        </w:rPr>
        <w:t>Figure 1</w:t>
      </w:r>
    </w:p>
    <w:p w:rsidR="004D194D" w:rsidRDefault="004D194D" w:rsidP="004D194D">
      <w:pPr>
        <w:shd w:val="clear" w:color="auto" w:fill="FFFFFF"/>
        <w:spacing w:before="100" w:beforeAutospacing="1" w:after="150" w:line="360" w:lineRule="auto"/>
        <w:rPr>
          <w:rFonts w:eastAsia="Times New Roman" w:cstheme="minorHAnsi"/>
          <w:color w:val="1F1F1F"/>
        </w:rPr>
      </w:pPr>
      <w:r w:rsidRPr="007442CC">
        <w:rPr>
          <w:rFonts w:eastAsia="Times New Roman" w:cstheme="minorHAnsi"/>
          <w:noProof/>
          <w:color w:val="1F1F1F"/>
        </w:rPr>
        <w:lastRenderedPageBreak/>
        <w:drawing>
          <wp:inline distT="0" distB="0" distL="0" distR="0" wp14:anchorId="71D031D4" wp14:editId="5B1490B8">
            <wp:extent cx="5114925"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4D194D" w:rsidRDefault="004D194D" w:rsidP="004D194D">
      <w:pPr>
        <w:shd w:val="clear" w:color="auto" w:fill="FFFFFF"/>
        <w:spacing w:before="100" w:beforeAutospacing="1" w:after="150" w:line="360" w:lineRule="auto"/>
        <w:rPr>
          <w:rFonts w:eastAsia="Times New Roman" w:cstheme="minorHAnsi"/>
          <w:color w:val="1F1F1F"/>
        </w:rPr>
      </w:pPr>
      <w:r>
        <w:rPr>
          <w:rFonts w:eastAsia="Times New Roman" w:cstheme="minorHAnsi"/>
          <w:color w:val="1F1F1F"/>
        </w:rPr>
        <w:t>Figure 2</w:t>
      </w:r>
    </w:p>
    <w:p w:rsidR="004D194D" w:rsidRPr="007442CC" w:rsidRDefault="004D194D" w:rsidP="004D194D">
      <w:pPr>
        <w:shd w:val="clear" w:color="auto" w:fill="FFFFFF"/>
        <w:spacing w:before="100" w:beforeAutospacing="1" w:after="150" w:line="360" w:lineRule="auto"/>
        <w:rPr>
          <w:rFonts w:eastAsia="Times New Roman" w:cstheme="minorHAnsi"/>
          <w:color w:val="1F1F1F"/>
        </w:rPr>
      </w:pPr>
      <w:r w:rsidRPr="00444763">
        <w:rPr>
          <w:rFonts w:eastAsia="Times New Roman" w:cstheme="minorHAnsi"/>
          <w:noProof/>
          <w:color w:val="1F1F1F"/>
        </w:rPr>
        <w:drawing>
          <wp:inline distT="0" distB="0" distL="0" distR="0" wp14:anchorId="5FC298DC" wp14:editId="476F1D9E">
            <wp:extent cx="5114925"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F57CA1" w:rsidRPr="007442CC" w:rsidRDefault="004D194D" w:rsidP="007442CC">
      <w:pPr>
        <w:shd w:val="clear" w:color="auto" w:fill="FFFFFF"/>
        <w:spacing w:before="100" w:beforeAutospacing="1" w:after="150" w:line="360" w:lineRule="auto"/>
        <w:rPr>
          <w:rFonts w:cstheme="minorHAnsi"/>
          <w:color w:val="1F1F1F"/>
          <w:shd w:val="clear" w:color="auto" w:fill="FFFFFF"/>
        </w:rPr>
      </w:pPr>
      <w:r>
        <w:rPr>
          <w:rFonts w:eastAsia="Times New Roman" w:cstheme="minorHAnsi"/>
          <w:color w:val="1F1F1F"/>
        </w:rPr>
        <w:lastRenderedPageBreak/>
        <w:t>So from the figure 1 and figure 2 ,</w:t>
      </w:r>
      <w:r w:rsidR="00F57CA1" w:rsidRPr="007442CC">
        <w:rPr>
          <w:rFonts w:eastAsia="Times New Roman" w:cstheme="minorHAnsi"/>
          <w:color w:val="1F1F1F"/>
        </w:rPr>
        <w:t>we can see that</w:t>
      </w:r>
      <w:r w:rsidR="00F57CA1" w:rsidRPr="007442CC">
        <w:rPr>
          <w:rFonts w:cstheme="minorHAnsi"/>
          <w:color w:val="1F1F1F"/>
          <w:shd w:val="clear" w:color="auto" w:fill="FFFFFF"/>
        </w:rPr>
        <w:t xml:space="preserve"> the autocorrelation function (ACF) and partial autocorrelation function (PACF) decay to zero quickly, it indicates that the time series data is likely to be white noise or close to white noise. This means that there is little to no correlation between observations at different lags (i.e., time intervals). In other words, the current value of the time series is not significantly influenced by its past values. Our data Δln(CPI(t) is stationary from the both graphs </w:t>
      </w:r>
    </w:p>
    <w:p w:rsidR="00F57CA1" w:rsidRPr="007442CC" w:rsidRDefault="00F57CA1" w:rsidP="007442CC">
      <w:pPr>
        <w:shd w:val="clear" w:color="auto" w:fill="FFFFFF"/>
        <w:spacing w:before="100" w:beforeAutospacing="1" w:after="150" w:line="360" w:lineRule="auto"/>
        <w:rPr>
          <w:rFonts w:cstheme="minorHAnsi"/>
          <w:color w:val="1F1F1F"/>
          <w:shd w:val="clear" w:color="auto" w:fill="FFFFFF"/>
        </w:rPr>
      </w:pPr>
      <w:r w:rsidRPr="007442CC">
        <w:rPr>
          <w:rFonts w:cstheme="minorHAnsi"/>
          <w:color w:val="1F1F1F"/>
          <w:shd w:val="clear" w:color="auto" w:fill="FFFFFF"/>
        </w:rPr>
        <w:t>Our ARMA model (0,0) from the AC and PACF plots.</w:t>
      </w:r>
    </w:p>
    <w:p w:rsidR="00353B42" w:rsidRPr="007442CC" w:rsidRDefault="00353B42" w:rsidP="007442CC">
      <w:pPr>
        <w:shd w:val="clear" w:color="auto" w:fill="FFFFFF"/>
        <w:spacing w:before="360" w:after="360" w:line="360" w:lineRule="auto"/>
        <w:rPr>
          <w:rFonts w:eastAsia="Times New Roman" w:cstheme="minorHAnsi"/>
          <w:b/>
          <w:bCs/>
          <w:color w:val="1F1F1F"/>
        </w:rPr>
      </w:pPr>
      <w:r w:rsidRPr="007442CC">
        <w:rPr>
          <w:rFonts w:eastAsia="Times New Roman" w:cstheme="minorHAnsi"/>
          <w:b/>
          <w:bCs/>
          <w:color w:val="1F1F1F"/>
        </w:rPr>
        <w:t>2. Estimation</w:t>
      </w:r>
    </w:p>
    <w:p w:rsidR="00353B42" w:rsidRPr="007442CC" w:rsidRDefault="00353B42"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Once we have determined the values for p and q, we can e</w:t>
      </w:r>
      <w:r w:rsidR="00F57CA1" w:rsidRPr="007442CC">
        <w:rPr>
          <w:rFonts w:eastAsia="Times New Roman" w:cstheme="minorHAnsi"/>
          <w:color w:val="1F1F1F"/>
        </w:rPr>
        <w:t>stimate the parameters of the AR</w:t>
      </w:r>
      <w:r w:rsidRPr="007442CC">
        <w:rPr>
          <w:rFonts w:eastAsia="Times New Roman" w:cstheme="minorHAnsi"/>
          <w:color w:val="1F1F1F"/>
        </w:rPr>
        <w:t>MA model using a statistical technique called maximum likelihood estimation (MLE).</w:t>
      </w:r>
    </w:p>
    <w:p w:rsidR="00353B42" w:rsidRPr="007442CC" w:rsidRDefault="00353B42"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 xml:space="preserve">MLE is a statistical method for finding the values of the parameters of a model that maximize the likelihood of the data. </w:t>
      </w:r>
    </w:p>
    <w:tbl>
      <w:tblPr>
        <w:tblStyle w:val="TableGridLight"/>
        <w:tblW w:w="0" w:type="auto"/>
        <w:tblLook w:val="04A0" w:firstRow="1" w:lastRow="0" w:firstColumn="1" w:lastColumn="0" w:noHBand="0" w:noVBand="1"/>
      </w:tblPr>
      <w:tblGrid>
        <w:gridCol w:w="1335"/>
        <w:gridCol w:w="1335"/>
        <w:gridCol w:w="1336"/>
        <w:gridCol w:w="1336"/>
        <w:gridCol w:w="1336"/>
        <w:gridCol w:w="1336"/>
        <w:gridCol w:w="1336"/>
      </w:tblGrid>
      <w:tr w:rsidR="00DF5927" w:rsidRPr="007442CC" w:rsidTr="00DF5927">
        <w:tc>
          <w:tcPr>
            <w:tcW w:w="1335" w:type="dxa"/>
          </w:tcPr>
          <w:p w:rsidR="00DF5927" w:rsidRPr="003D7C7D" w:rsidRDefault="00DF5927" w:rsidP="007442CC">
            <w:pPr>
              <w:spacing w:before="360" w:after="360" w:line="360" w:lineRule="auto"/>
              <w:rPr>
                <w:rFonts w:eastAsia="Times New Roman" w:cstheme="minorHAnsi"/>
                <w:b/>
                <w:bCs/>
                <w:color w:val="1F1F1F"/>
              </w:rPr>
            </w:pPr>
            <w:r w:rsidRPr="003D7C7D">
              <w:rPr>
                <w:rFonts w:eastAsia="Times New Roman" w:cstheme="minorHAnsi"/>
                <w:b/>
                <w:bCs/>
                <w:color w:val="1F1F1F"/>
              </w:rPr>
              <w:t>ΔCPI</w:t>
            </w:r>
          </w:p>
        </w:tc>
        <w:tc>
          <w:tcPr>
            <w:tcW w:w="1335" w:type="dxa"/>
          </w:tcPr>
          <w:p w:rsidR="00DF5927" w:rsidRPr="003D7C7D" w:rsidRDefault="00DF5927" w:rsidP="007442CC">
            <w:pPr>
              <w:spacing w:before="360" w:after="360" w:line="360" w:lineRule="auto"/>
              <w:rPr>
                <w:rFonts w:eastAsia="Times New Roman" w:cstheme="minorHAnsi"/>
                <w:b/>
                <w:bCs/>
                <w:color w:val="1F1F1F"/>
              </w:rPr>
            </w:pPr>
            <w:r w:rsidRPr="003D7C7D">
              <w:rPr>
                <w:rFonts w:eastAsia="Times New Roman" w:cstheme="minorHAnsi"/>
                <w:b/>
                <w:bCs/>
                <w:color w:val="1F1F1F"/>
              </w:rPr>
              <w:t>Coeff</w:t>
            </w:r>
          </w:p>
        </w:tc>
        <w:tc>
          <w:tcPr>
            <w:tcW w:w="1336" w:type="dxa"/>
          </w:tcPr>
          <w:p w:rsidR="00DF5927" w:rsidRPr="003D7C7D" w:rsidRDefault="00DF5927" w:rsidP="007442CC">
            <w:pPr>
              <w:spacing w:before="360" w:after="360" w:line="360" w:lineRule="auto"/>
              <w:rPr>
                <w:rFonts w:eastAsia="Times New Roman" w:cstheme="minorHAnsi"/>
                <w:b/>
                <w:bCs/>
                <w:color w:val="1F1F1F"/>
              </w:rPr>
            </w:pPr>
            <w:r w:rsidRPr="003D7C7D">
              <w:rPr>
                <w:rFonts w:eastAsia="Times New Roman" w:cstheme="minorHAnsi"/>
                <w:b/>
                <w:bCs/>
                <w:color w:val="1F1F1F"/>
              </w:rPr>
              <w:t>STd.Err</w:t>
            </w:r>
          </w:p>
        </w:tc>
        <w:tc>
          <w:tcPr>
            <w:tcW w:w="1336" w:type="dxa"/>
          </w:tcPr>
          <w:p w:rsidR="00DF5927" w:rsidRPr="003D7C7D" w:rsidRDefault="000E6DD0" w:rsidP="007442CC">
            <w:pPr>
              <w:spacing w:before="360" w:after="360" w:line="360" w:lineRule="auto"/>
              <w:rPr>
                <w:rFonts w:eastAsia="Times New Roman" w:cstheme="minorHAnsi"/>
                <w:b/>
                <w:bCs/>
                <w:color w:val="1F1F1F"/>
              </w:rPr>
            </w:pPr>
            <w:r w:rsidRPr="003D7C7D">
              <w:rPr>
                <w:rFonts w:eastAsia="Times New Roman" w:cstheme="minorHAnsi"/>
                <w:b/>
                <w:bCs/>
                <w:color w:val="1F1F1F"/>
              </w:rPr>
              <w:t>Z</w:t>
            </w:r>
          </w:p>
        </w:tc>
        <w:tc>
          <w:tcPr>
            <w:tcW w:w="1336" w:type="dxa"/>
          </w:tcPr>
          <w:p w:rsidR="00DF5927" w:rsidRPr="003D7C7D" w:rsidRDefault="00DF5927" w:rsidP="007442CC">
            <w:pPr>
              <w:spacing w:before="360" w:after="360" w:line="360" w:lineRule="auto"/>
              <w:rPr>
                <w:rFonts w:eastAsia="Times New Roman" w:cstheme="minorHAnsi"/>
                <w:b/>
                <w:bCs/>
                <w:color w:val="1F1F1F"/>
              </w:rPr>
            </w:pPr>
            <w:r w:rsidRPr="003D7C7D">
              <w:rPr>
                <w:rFonts w:eastAsia="Times New Roman" w:cstheme="minorHAnsi"/>
                <w:b/>
                <w:bCs/>
                <w:color w:val="1F1F1F"/>
              </w:rPr>
              <w:t>P&gt;|z|</w:t>
            </w:r>
          </w:p>
        </w:tc>
        <w:tc>
          <w:tcPr>
            <w:tcW w:w="1336" w:type="dxa"/>
          </w:tcPr>
          <w:p w:rsidR="00DF5927" w:rsidRPr="003D7C7D" w:rsidRDefault="00DF5927" w:rsidP="007442CC">
            <w:pPr>
              <w:spacing w:before="360" w:after="360" w:line="360" w:lineRule="auto"/>
              <w:rPr>
                <w:rFonts w:eastAsia="Times New Roman" w:cstheme="minorHAnsi"/>
                <w:b/>
                <w:bCs/>
                <w:color w:val="1F1F1F"/>
              </w:rPr>
            </w:pPr>
            <w:r w:rsidRPr="003D7C7D">
              <w:rPr>
                <w:rFonts w:eastAsia="Times New Roman" w:cstheme="minorHAnsi"/>
                <w:b/>
                <w:bCs/>
                <w:color w:val="1F1F1F"/>
              </w:rPr>
              <w:t>[95% Conf. Interval]</w:t>
            </w:r>
          </w:p>
        </w:tc>
        <w:tc>
          <w:tcPr>
            <w:tcW w:w="1336" w:type="dxa"/>
          </w:tcPr>
          <w:p w:rsidR="00DF5927" w:rsidRPr="007442CC" w:rsidRDefault="00DF5927" w:rsidP="007442CC">
            <w:pPr>
              <w:spacing w:before="360" w:after="360" w:line="360" w:lineRule="auto"/>
              <w:rPr>
                <w:rFonts w:eastAsia="Times New Roman" w:cstheme="minorHAnsi"/>
                <w:color w:val="1F1F1F"/>
              </w:rPr>
            </w:pPr>
          </w:p>
        </w:tc>
      </w:tr>
      <w:tr w:rsidR="00DF5927" w:rsidRPr="007442CC" w:rsidTr="00DF5927">
        <w:tc>
          <w:tcPr>
            <w:tcW w:w="1335" w:type="dxa"/>
          </w:tcPr>
          <w:p w:rsidR="00DF5927" w:rsidRPr="003D7C7D" w:rsidRDefault="00DF5927" w:rsidP="007442CC">
            <w:pPr>
              <w:spacing w:before="360" w:after="360" w:line="360" w:lineRule="auto"/>
              <w:rPr>
                <w:rFonts w:eastAsia="Times New Roman" w:cstheme="minorHAnsi"/>
                <w:b/>
                <w:bCs/>
                <w:color w:val="1F1F1F"/>
              </w:rPr>
            </w:pPr>
            <w:r w:rsidRPr="003D7C7D">
              <w:rPr>
                <w:rFonts w:eastAsia="Times New Roman" w:cstheme="minorHAnsi"/>
                <w:b/>
                <w:bCs/>
                <w:color w:val="1F1F1F"/>
              </w:rPr>
              <w:t>_cons</w:t>
            </w:r>
          </w:p>
        </w:tc>
        <w:tc>
          <w:tcPr>
            <w:tcW w:w="1335"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.0056458</w:t>
            </w:r>
          </w:p>
        </w:tc>
        <w:tc>
          <w:tcPr>
            <w:tcW w:w="1336"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.0140462</w:t>
            </w:r>
          </w:p>
        </w:tc>
        <w:tc>
          <w:tcPr>
            <w:tcW w:w="1336"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0.40</w:t>
            </w:r>
          </w:p>
        </w:tc>
        <w:tc>
          <w:tcPr>
            <w:tcW w:w="1336"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0.688</w:t>
            </w:r>
          </w:p>
        </w:tc>
        <w:tc>
          <w:tcPr>
            <w:tcW w:w="1336"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-.0218843</w:t>
            </w:r>
          </w:p>
        </w:tc>
        <w:tc>
          <w:tcPr>
            <w:tcW w:w="1336"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.0331759</w:t>
            </w:r>
          </w:p>
        </w:tc>
      </w:tr>
      <w:tr w:rsidR="00DF5927" w:rsidRPr="007442CC" w:rsidTr="00DF5927">
        <w:tc>
          <w:tcPr>
            <w:tcW w:w="1335" w:type="dxa"/>
          </w:tcPr>
          <w:p w:rsidR="00DF5927" w:rsidRPr="003D7C7D" w:rsidRDefault="00DF5927" w:rsidP="007442CC">
            <w:pPr>
              <w:spacing w:before="360" w:after="360" w:line="360" w:lineRule="auto"/>
              <w:rPr>
                <w:rFonts w:eastAsia="Times New Roman" w:cstheme="minorHAnsi"/>
                <w:b/>
                <w:bCs/>
                <w:color w:val="1F1F1F"/>
              </w:rPr>
            </w:pPr>
            <w:r w:rsidRPr="003D7C7D">
              <w:rPr>
                <w:rFonts w:eastAsia="Times New Roman" w:cstheme="minorHAnsi"/>
                <w:b/>
                <w:bCs/>
                <w:color w:val="1F1F1F"/>
              </w:rPr>
              <w:t>/sigma</w:t>
            </w:r>
          </w:p>
        </w:tc>
        <w:tc>
          <w:tcPr>
            <w:tcW w:w="1335"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.1776012</w:t>
            </w:r>
          </w:p>
        </w:tc>
        <w:tc>
          <w:tcPr>
            <w:tcW w:w="1336"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.0059133</w:t>
            </w:r>
          </w:p>
        </w:tc>
        <w:tc>
          <w:tcPr>
            <w:tcW w:w="1336"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30.03</w:t>
            </w:r>
          </w:p>
        </w:tc>
        <w:tc>
          <w:tcPr>
            <w:tcW w:w="1336" w:type="dxa"/>
          </w:tcPr>
          <w:p w:rsidR="00DF5927" w:rsidRPr="007442CC" w:rsidRDefault="00DF5927" w:rsidP="007442CC">
            <w:pPr>
              <w:spacing w:before="360" w:after="360" w:line="360" w:lineRule="auto"/>
              <w:rPr>
                <w:rFonts w:eastAsia="Times New Roman" w:cstheme="minorHAnsi"/>
                <w:color w:val="1F1F1F"/>
              </w:rPr>
            </w:pPr>
            <w:r w:rsidRPr="007442CC">
              <w:rPr>
                <w:rFonts w:eastAsia="Times New Roman" w:cstheme="minorHAnsi"/>
                <w:color w:val="1F1F1F"/>
              </w:rPr>
              <w:t>0.000</w:t>
            </w:r>
          </w:p>
        </w:tc>
        <w:tc>
          <w:tcPr>
            <w:tcW w:w="1336" w:type="dxa"/>
          </w:tcPr>
          <w:p w:rsidR="00DF5927" w:rsidRPr="007442CC" w:rsidRDefault="000E6DD0" w:rsidP="007442CC">
            <w:pPr>
              <w:spacing w:before="360" w:after="360" w:line="360" w:lineRule="auto"/>
              <w:rPr>
                <w:rFonts w:eastAsia="Times New Roman" w:cstheme="minorHAnsi"/>
                <w:color w:val="1F1F1F"/>
              </w:rPr>
            </w:pPr>
            <w:r w:rsidRPr="007442CC">
              <w:rPr>
                <w:rFonts w:eastAsia="Times New Roman" w:cstheme="minorHAnsi"/>
                <w:color w:val="1F1F1F"/>
              </w:rPr>
              <w:t>.1660113</w:t>
            </w:r>
          </w:p>
        </w:tc>
        <w:tc>
          <w:tcPr>
            <w:tcW w:w="1336" w:type="dxa"/>
          </w:tcPr>
          <w:p w:rsidR="00DF5927" w:rsidRPr="007442CC" w:rsidRDefault="000E6DD0" w:rsidP="007442CC">
            <w:pPr>
              <w:spacing w:before="360" w:after="360" w:line="360" w:lineRule="auto"/>
              <w:rPr>
                <w:rFonts w:eastAsia="Times New Roman" w:cstheme="minorHAnsi"/>
                <w:color w:val="1F1F1F"/>
              </w:rPr>
            </w:pPr>
            <w:r w:rsidRPr="007442CC">
              <w:rPr>
                <w:rFonts w:eastAsia="Times New Roman" w:cstheme="minorHAnsi"/>
                <w:color w:val="1F1F1F"/>
              </w:rPr>
              <w:t>.189191</w:t>
            </w:r>
          </w:p>
        </w:tc>
      </w:tr>
    </w:tbl>
    <w:p w:rsidR="00E9371B" w:rsidRPr="007442CC" w:rsidRDefault="00E9371B" w:rsidP="007442CC">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7442CC">
        <w:rPr>
          <w:rFonts w:asciiTheme="minorHAnsi" w:hAnsiTheme="minorHAnsi" w:cstheme="minorHAnsi"/>
          <w:color w:val="1F1F1F"/>
          <w:sz w:val="22"/>
          <w:szCs w:val="22"/>
        </w:rPr>
        <w:t>The model is an ARMA(0, 0) model, which means that there is no autoregressive or moving average component. The constant term is 3484.4313 and the standard deviation of the innovations is 0.178. The log likelihood is 50.412 and the AIC is -97.824.</w:t>
      </w:r>
    </w:p>
    <w:p w:rsidR="00E9371B" w:rsidRPr="007442CC" w:rsidRDefault="00E9371B" w:rsidP="007442CC">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7442CC">
        <w:rPr>
          <w:rFonts w:asciiTheme="minorHAnsi" w:hAnsiTheme="minorHAnsi" w:cstheme="minorHAnsi"/>
          <w:color w:val="1F1F1F"/>
          <w:sz w:val="22"/>
          <w:szCs w:val="22"/>
        </w:rPr>
        <w:t>The p-value for the constant term is 0.000, which means that the constant term is statistically significant. The standard deviation of the innovations is also statistically significant.</w:t>
      </w:r>
    </w:p>
    <w:p w:rsidR="00F57CA1" w:rsidRPr="004D194D" w:rsidRDefault="00E9371B"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7442CC">
        <w:rPr>
          <w:rFonts w:asciiTheme="minorHAnsi" w:hAnsiTheme="minorHAnsi" w:cstheme="minorHAnsi"/>
          <w:color w:val="1F1F1F"/>
          <w:sz w:val="22"/>
          <w:szCs w:val="22"/>
        </w:rPr>
        <w:lastRenderedPageBreak/>
        <w:t>The model is a good fit for the data. The log likelihood is positive and the AIC is low. The p-values for the constant term and the standard deviation of the innovations are both less than 0.05, which means that they are both statistically significant.</w:t>
      </w:r>
    </w:p>
    <w:p w:rsidR="000B4080" w:rsidRDefault="006603AC" w:rsidP="007442CC">
      <w:pPr>
        <w:shd w:val="clear" w:color="auto" w:fill="FFFFFF"/>
        <w:spacing w:before="360" w:after="360" w:line="360" w:lineRule="auto"/>
        <w:rPr>
          <w:rFonts w:eastAsia="Times New Roman" w:cstheme="minorHAnsi"/>
          <w:b/>
          <w:bCs/>
          <w:color w:val="1F1F1F"/>
        </w:rPr>
      </w:pPr>
      <w:r w:rsidRPr="007442CC">
        <w:rPr>
          <w:rFonts w:eastAsia="Times New Roman" w:cstheme="minorHAnsi"/>
          <w:b/>
          <w:bCs/>
          <w:color w:val="1F1F1F"/>
        </w:rPr>
        <w:t>POINT # 2</w:t>
      </w:r>
    </w:p>
    <w:p w:rsidR="004D194D" w:rsidRDefault="004D194D" w:rsidP="004D194D">
      <w:pPr>
        <w:shd w:val="clear" w:color="auto" w:fill="FFFFFF"/>
        <w:spacing w:before="360" w:after="360" w:line="360" w:lineRule="auto"/>
        <w:rPr>
          <w:rFonts w:eastAsia="Times New Roman" w:cstheme="minorHAnsi"/>
          <w:color w:val="1F1F1F"/>
        </w:rPr>
      </w:pPr>
      <w:r>
        <w:rPr>
          <w:rFonts w:eastAsia="Times New Roman" w:cstheme="minorHAnsi"/>
          <w:color w:val="1F1F1F"/>
        </w:rPr>
        <w:t>Figure 3</w:t>
      </w:r>
    </w:p>
    <w:p w:rsidR="004D194D" w:rsidRDefault="004D194D" w:rsidP="004D194D">
      <w:pPr>
        <w:shd w:val="clear" w:color="auto" w:fill="FFFFFF"/>
        <w:spacing w:before="360" w:after="360" w:line="360" w:lineRule="auto"/>
        <w:rPr>
          <w:rFonts w:eastAsia="Times New Roman" w:cstheme="minorHAnsi"/>
          <w:color w:val="1F1F1F"/>
        </w:rPr>
      </w:pPr>
      <w:r w:rsidRPr="007442CC">
        <w:rPr>
          <w:rFonts w:eastAsia="Times New Roman" w:cstheme="minorHAnsi"/>
          <w:noProof/>
          <w:color w:val="1F1F1F"/>
        </w:rPr>
        <w:drawing>
          <wp:inline distT="0" distB="0" distL="0" distR="0" wp14:anchorId="2FC8F230" wp14:editId="4AFFF520">
            <wp:extent cx="5114925" cy="3743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4D194D" w:rsidRPr="007442CC" w:rsidRDefault="004D194D" w:rsidP="007442CC">
      <w:pPr>
        <w:shd w:val="clear" w:color="auto" w:fill="FFFFFF"/>
        <w:spacing w:before="360" w:after="360" w:line="360" w:lineRule="auto"/>
        <w:rPr>
          <w:rFonts w:eastAsia="Times New Roman" w:cstheme="minorHAnsi"/>
          <w:b/>
          <w:bCs/>
          <w:color w:val="1F1F1F"/>
        </w:rPr>
      </w:pPr>
    </w:p>
    <w:p w:rsidR="008D3344" w:rsidRPr="007442CC" w:rsidRDefault="008D3344" w:rsidP="007442CC">
      <w:pPr>
        <w:shd w:val="clear" w:color="auto" w:fill="FFFFFF"/>
        <w:spacing w:before="360" w:after="360" w:line="360" w:lineRule="auto"/>
        <w:rPr>
          <w:rFonts w:eastAsia="Times New Roman" w:cstheme="minorHAnsi"/>
          <w:color w:val="1F1F1F"/>
        </w:rPr>
      </w:pPr>
    </w:p>
    <w:p w:rsidR="003C045C" w:rsidRPr="003C045C" w:rsidRDefault="00EA64F9" w:rsidP="003C045C">
      <w:pPr>
        <w:pStyle w:val="NormalWeb"/>
        <w:shd w:val="clear" w:color="auto" w:fill="FFFFFF"/>
        <w:spacing w:before="0" w:beforeAutospacing="0" w:after="360" w:afterAutospacing="0" w:line="360" w:lineRule="auto"/>
        <w:rPr>
          <w:rFonts w:asciiTheme="minorHAnsi" w:hAnsiTheme="minorHAnsi" w:cstheme="minorHAnsi"/>
          <w:color w:val="1F1F1F"/>
          <w:sz w:val="22"/>
          <w:szCs w:val="22"/>
        </w:rPr>
      </w:pPr>
      <w:r w:rsidRPr="003C045C">
        <w:rPr>
          <w:rFonts w:asciiTheme="minorHAnsi" w:hAnsiTheme="minorHAnsi" w:cstheme="minorHAnsi"/>
          <w:color w:val="1F1F1F"/>
          <w:sz w:val="22"/>
          <w:szCs w:val="22"/>
        </w:rPr>
        <w:t>We have plotted full series from 2010M1 to 2023M8 on stata, From the figure 3</w:t>
      </w:r>
      <w:r w:rsidR="006603AC" w:rsidRPr="003C045C">
        <w:rPr>
          <w:rFonts w:asciiTheme="minorHAnsi" w:hAnsiTheme="minorHAnsi" w:cstheme="minorHAnsi"/>
          <w:color w:val="1F1F1F"/>
          <w:sz w:val="22"/>
          <w:szCs w:val="22"/>
        </w:rPr>
        <w:t xml:space="preserve">, </w:t>
      </w:r>
      <w:r w:rsidR="004D194D">
        <w:rPr>
          <w:rFonts w:asciiTheme="minorHAnsi" w:hAnsiTheme="minorHAnsi" w:cstheme="minorHAnsi"/>
          <w:color w:val="1F1F1F"/>
          <w:sz w:val="22"/>
          <w:szCs w:val="22"/>
          <w:shd w:val="clear" w:color="auto" w:fill="FFFFFF"/>
        </w:rPr>
        <w:br/>
      </w:r>
      <w:r w:rsidR="003C045C" w:rsidRPr="003C045C">
        <w:rPr>
          <w:rFonts w:asciiTheme="minorHAnsi" w:hAnsiTheme="minorHAnsi" w:cstheme="minorHAnsi"/>
          <w:color w:val="1F1F1F"/>
          <w:sz w:val="22"/>
          <w:szCs w:val="22"/>
          <w:shd w:val="clear" w:color="auto" w:fill="FFFFFF"/>
        </w:rPr>
        <w:t xml:space="preserve"> the series does not appear to be stationary.</w:t>
      </w:r>
      <w:r w:rsidR="003C045C" w:rsidRPr="003C045C">
        <w:rPr>
          <w:rFonts w:asciiTheme="minorHAnsi" w:hAnsiTheme="minorHAnsi" w:cstheme="minorHAnsi"/>
          <w:color w:val="1F1F1F"/>
          <w:sz w:val="22"/>
          <w:szCs w:val="22"/>
        </w:rPr>
        <w:t xml:space="preserve"> The graph shows that the cpi has been increasing over time. The average cpi has been increasing from 2010M1 to 2023M8, while the variance and covariance have also been changing over time. This suggests that the series is non-stationary.</w:t>
      </w:r>
    </w:p>
    <w:p w:rsidR="003C045C" w:rsidRPr="003C045C" w:rsidRDefault="003C045C" w:rsidP="003C045C">
      <w:pPr>
        <w:shd w:val="clear" w:color="auto" w:fill="FFFFFF"/>
        <w:spacing w:before="360" w:after="360" w:line="360" w:lineRule="auto"/>
        <w:rPr>
          <w:rFonts w:eastAsia="Times New Roman" w:cstheme="minorHAnsi"/>
          <w:color w:val="1F1F1F"/>
        </w:rPr>
      </w:pPr>
      <w:r w:rsidRPr="003C045C">
        <w:rPr>
          <w:rFonts w:eastAsia="Times New Roman" w:cstheme="minorHAnsi"/>
          <w:color w:val="1F1F1F"/>
        </w:rPr>
        <w:lastRenderedPageBreak/>
        <w:t>The behavior of the series over time shows a clear upward trend. This trend is likely due to a number of factors, including inflation, population growth, and technological advancements. The trend has been relatively consistent over time, with only a few minor fluctuations.</w:t>
      </w:r>
    </w:p>
    <w:p w:rsidR="003C045C" w:rsidRPr="003C045C" w:rsidRDefault="003C045C" w:rsidP="003C045C">
      <w:pPr>
        <w:shd w:val="clear" w:color="auto" w:fill="FFFFFF"/>
        <w:spacing w:before="360" w:after="360" w:line="360" w:lineRule="auto"/>
        <w:rPr>
          <w:rFonts w:eastAsia="Times New Roman" w:cstheme="minorHAnsi"/>
          <w:color w:val="1F1F1F"/>
        </w:rPr>
      </w:pPr>
      <w:r w:rsidRPr="003C045C">
        <w:rPr>
          <w:rFonts w:eastAsia="Times New Roman" w:cstheme="minorHAnsi"/>
          <w:color w:val="1F1F1F"/>
        </w:rPr>
        <w:t>Here is a more detailed analysis of the behavior of the series over time:</w:t>
      </w:r>
    </w:p>
    <w:p w:rsidR="003C045C" w:rsidRPr="003C045C" w:rsidRDefault="003C045C" w:rsidP="003C045C">
      <w:pPr>
        <w:numPr>
          <w:ilvl w:val="0"/>
          <w:numId w:val="5"/>
        </w:numPr>
        <w:shd w:val="clear" w:color="auto" w:fill="FFFFFF"/>
        <w:spacing w:before="100" w:beforeAutospacing="1" w:after="150" w:line="360" w:lineRule="auto"/>
        <w:ind w:left="0"/>
        <w:rPr>
          <w:rFonts w:eastAsia="Times New Roman" w:cstheme="minorHAnsi"/>
          <w:color w:val="1F1F1F"/>
        </w:rPr>
      </w:pPr>
      <w:r w:rsidRPr="003C045C">
        <w:rPr>
          <w:rFonts w:eastAsia="Times New Roman" w:cstheme="minorHAnsi"/>
          <w:color w:val="1F1F1F"/>
        </w:rPr>
        <w:t>2010-2012: The cpi remains relatively stable, with a slight increase in 2012.</w:t>
      </w:r>
    </w:p>
    <w:p w:rsidR="003C045C" w:rsidRPr="003C045C" w:rsidRDefault="003C045C" w:rsidP="003C045C">
      <w:pPr>
        <w:numPr>
          <w:ilvl w:val="0"/>
          <w:numId w:val="5"/>
        </w:numPr>
        <w:shd w:val="clear" w:color="auto" w:fill="FFFFFF"/>
        <w:spacing w:before="100" w:beforeAutospacing="1" w:after="150" w:line="360" w:lineRule="auto"/>
        <w:ind w:left="0"/>
        <w:rPr>
          <w:rFonts w:eastAsia="Times New Roman" w:cstheme="minorHAnsi"/>
          <w:color w:val="1F1F1F"/>
        </w:rPr>
      </w:pPr>
      <w:r w:rsidRPr="003C045C">
        <w:rPr>
          <w:rFonts w:eastAsia="Times New Roman" w:cstheme="minorHAnsi"/>
          <w:color w:val="1F1F1F"/>
        </w:rPr>
        <w:t>2013-2015: The cpi increases more rapidly.</w:t>
      </w:r>
    </w:p>
    <w:p w:rsidR="003C045C" w:rsidRPr="003C045C" w:rsidRDefault="003C045C" w:rsidP="003C045C">
      <w:pPr>
        <w:numPr>
          <w:ilvl w:val="0"/>
          <w:numId w:val="5"/>
        </w:numPr>
        <w:shd w:val="clear" w:color="auto" w:fill="FFFFFF"/>
        <w:spacing w:before="100" w:beforeAutospacing="1" w:after="150" w:line="360" w:lineRule="auto"/>
        <w:ind w:left="0"/>
        <w:rPr>
          <w:rFonts w:eastAsia="Times New Roman" w:cstheme="minorHAnsi"/>
          <w:color w:val="1F1F1F"/>
        </w:rPr>
      </w:pPr>
      <w:r w:rsidRPr="003C045C">
        <w:rPr>
          <w:rFonts w:eastAsia="Times New Roman" w:cstheme="minorHAnsi"/>
          <w:color w:val="1F1F1F"/>
        </w:rPr>
        <w:t>2016-2018: The cpi continues to increase, but at a slower pace.</w:t>
      </w:r>
    </w:p>
    <w:p w:rsidR="003C045C" w:rsidRPr="003C045C" w:rsidRDefault="003C045C" w:rsidP="003C045C">
      <w:pPr>
        <w:numPr>
          <w:ilvl w:val="0"/>
          <w:numId w:val="5"/>
        </w:numPr>
        <w:shd w:val="clear" w:color="auto" w:fill="FFFFFF"/>
        <w:spacing w:before="100" w:beforeAutospacing="1" w:after="150" w:line="360" w:lineRule="auto"/>
        <w:ind w:left="0"/>
        <w:rPr>
          <w:rFonts w:eastAsia="Times New Roman" w:cstheme="minorHAnsi"/>
          <w:color w:val="1F1F1F"/>
        </w:rPr>
      </w:pPr>
      <w:r w:rsidRPr="003C045C">
        <w:rPr>
          <w:rFonts w:eastAsia="Times New Roman" w:cstheme="minorHAnsi"/>
          <w:color w:val="1F1F1F"/>
        </w:rPr>
        <w:t>2019-2021: The cpi remains relatively stable.</w:t>
      </w:r>
    </w:p>
    <w:p w:rsidR="003C045C" w:rsidRPr="003C045C" w:rsidRDefault="003C045C" w:rsidP="003C045C">
      <w:pPr>
        <w:numPr>
          <w:ilvl w:val="0"/>
          <w:numId w:val="5"/>
        </w:numPr>
        <w:shd w:val="clear" w:color="auto" w:fill="FFFFFF"/>
        <w:spacing w:before="100" w:beforeAutospacing="1" w:after="150" w:line="360" w:lineRule="auto"/>
        <w:ind w:left="0"/>
        <w:rPr>
          <w:rFonts w:eastAsia="Times New Roman" w:cstheme="minorHAnsi"/>
          <w:color w:val="1F1F1F"/>
        </w:rPr>
      </w:pPr>
      <w:r w:rsidRPr="003C045C">
        <w:rPr>
          <w:rFonts w:eastAsia="Times New Roman" w:cstheme="minorHAnsi"/>
          <w:color w:val="1F1F1F"/>
        </w:rPr>
        <w:t>2022-2023: The cpi increases sharply.</w:t>
      </w:r>
    </w:p>
    <w:p w:rsidR="003C045C" w:rsidRPr="003C045C" w:rsidRDefault="003C045C" w:rsidP="003C045C">
      <w:pPr>
        <w:shd w:val="clear" w:color="auto" w:fill="FFFFFF"/>
        <w:spacing w:before="360" w:after="360" w:line="360" w:lineRule="auto"/>
        <w:rPr>
          <w:rFonts w:eastAsia="Times New Roman" w:cstheme="minorHAnsi"/>
          <w:color w:val="1F1F1F"/>
        </w:rPr>
      </w:pPr>
      <w:r w:rsidRPr="003C045C">
        <w:rPr>
          <w:rFonts w:eastAsia="Times New Roman" w:cstheme="minorHAnsi"/>
          <w:color w:val="1F1F1F"/>
        </w:rPr>
        <w:t>It is important to note that this is just a short-term analysis of the data. A longer-term analysis would be needed to determine whether the upward trend is sustainable or whether it is simply a temporary fluctuation.</w:t>
      </w:r>
    </w:p>
    <w:p w:rsidR="003C045C" w:rsidRPr="003C045C" w:rsidRDefault="003C045C" w:rsidP="003C045C">
      <w:pPr>
        <w:shd w:val="clear" w:color="auto" w:fill="FFFFFF"/>
        <w:spacing w:before="360" w:after="360" w:line="360" w:lineRule="auto"/>
        <w:rPr>
          <w:rFonts w:eastAsia="Times New Roman" w:cstheme="minorHAnsi"/>
          <w:color w:val="1F1F1F"/>
        </w:rPr>
      </w:pPr>
      <w:r w:rsidRPr="003C045C">
        <w:rPr>
          <w:rFonts w:eastAsia="Times New Roman" w:cstheme="minorHAnsi"/>
          <w:color w:val="1F1F1F"/>
        </w:rPr>
        <w:t>Here are some possible explanations for the upward trend in the cpi:</w:t>
      </w:r>
    </w:p>
    <w:p w:rsidR="003C045C" w:rsidRPr="003C045C" w:rsidRDefault="003C045C" w:rsidP="003C045C">
      <w:pPr>
        <w:numPr>
          <w:ilvl w:val="0"/>
          <w:numId w:val="6"/>
        </w:numPr>
        <w:shd w:val="clear" w:color="auto" w:fill="FFFFFF"/>
        <w:spacing w:before="100" w:beforeAutospacing="1" w:after="150" w:line="360" w:lineRule="auto"/>
        <w:ind w:left="0"/>
        <w:rPr>
          <w:rFonts w:eastAsia="Times New Roman" w:cstheme="minorHAnsi"/>
          <w:color w:val="1F1F1F"/>
        </w:rPr>
      </w:pPr>
      <w:r w:rsidRPr="003C045C">
        <w:rPr>
          <w:rFonts w:eastAsia="Times New Roman" w:cstheme="minorHAnsi"/>
          <w:color w:val="1F1F1F"/>
        </w:rPr>
        <w:t>Inflation: The cpi is a measure of inflation, which is the rate at which prices for goods and services are increasing over time. The upward trend in the cpi suggests that inflation has been increasing over time.</w:t>
      </w:r>
    </w:p>
    <w:p w:rsidR="003C045C" w:rsidRPr="003C045C" w:rsidRDefault="003C045C" w:rsidP="003C045C">
      <w:pPr>
        <w:numPr>
          <w:ilvl w:val="0"/>
          <w:numId w:val="6"/>
        </w:numPr>
        <w:shd w:val="clear" w:color="auto" w:fill="FFFFFF"/>
        <w:spacing w:before="100" w:beforeAutospacing="1" w:after="150" w:line="360" w:lineRule="auto"/>
        <w:ind w:left="0"/>
        <w:rPr>
          <w:rFonts w:eastAsia="Times New Roman" w:cstheme="minorHAnsi"/>
          <w:color w:val="1F1F1F"/>
        </w:rPr>
      </w:pPr>
      <w:r w:rsidRPr="003C045C">
        <w:rPr>
          <w:rFonts w:eastAsia="Times New Roman" w:cstheme="minorHAnsi"/>
          <w:color w:val="1F1F1F"/>
        </w:rPr>
        <w:t>Population growth: The population of the UK has been growing over time. This increased demand for goods and services can put upward pressure on prices, which can lead to inflation.</w:t>
      </w:r>
    </w:p>
    <w:p w:rsidR="003C045C" w:rsidRPr="003C045C" w:rsidRDefault="003C045C" w:rsidP="003C045C">
      <w:pPr>
        <w:numPr>
          <w:ilvl w:val="0"/>
          <w:numId w:val="6"/>
        </w:numPr>
        <w:shd w:val="clear" w:color="auto" w:fill="FFFFFF"/>
        <w:spacing w:before="100" w:beforeAutospacing="1" w:after="150" w:line="360" w:lineRule="auto"/>
        <w:ind w:left="0"/>
        <w:rPr>
          <w:rFonts w:eastAsia="Times New Roman" w:cstheme="minorHAnsi"/>
          <w:color w:val="1F1F1F"/>
        </w:rPr>
      </w:pPr>
      <w:r w:rsidRPr="003C045C">
        <w:rPr>
          <w:rFonts w:eastAsia="Times New Roman" w:cstheme="minorHAnsi"/>
          <w:color w:val="1F1F1F"/>
        </w:rPr>
        <w:t>Technological advancements: Technological advancements can lead to increased productivity and economic growth. However, they can also lead to inflation, as businesses pass on the costs of new technologies to consumers.</w:t>
      </w:r>
    </w:p>
    <w:p w:rsidR="006603AC" w:rsidRPr="003C045C" w:rsidRDefault="003C045C" w:rsidP="003C045C">
      <w:pPr>
        <w:shd w:val="clear" w:color="auto" w:fill="FFFFFF"/>
        <w:spacing w:before="360" w:after="360" w:line="360" w:lineRule="auto"/>
        <w:rPr>
          <w:rFonts w:eastAsia="Times New Roman" w:cstheme="minorHAnsi"/>
          <w:color w:val="1F1F1F"/>
        </w:rPr>
      </w:pPr>
      <w:r w:rsidRPr="003C045C">
        <w:rPr>
          <w:rFonts w:eastAsia="Times New Roman" w:cstheme="minorHAnsi"/>
          <w:color w:val="1F1F1F"/>
        </w:rPr>
        <w:t>It is also important to note that the cpi data is only for the UK. A more global dataset would be needed to draw more definitive conclusions about the behavior of the cpi over time.</w:t>
      </w:r>
    </w:p>
    <w:p w:rsidR="006603AC" w:rsidRPr="007442CC" w:rsidRDefault="007442CC" w:rsidP="007442CC">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7442CC">
        <w:rPr>
          <w:rFonts w:asciiTheme="minorHAnsi" w:hAnsiTheme="minorHAnsi" w:cstheme="minorHAnsi"/>
          <w:color w:val="1F1F1F"/>
          <w:sz w:val="22"/>
          <w:szCs w:val="22"/>
        </w:rPr>
        <w:t>Point # 3</w:t>
      </w:r>
    </w:p>
    <w:p w:rsidR="007442CC" w:rsidRPr="007442CC" w:rsidRDefault="007442CC" w:rsidP="007442CC">
      <w:pPr>
        <w:spacing w:line="360" w:lineRule="auto"/>
        <w:rPr>
          <w:rFonts w:cstheme="minorHAnsi"/>
        </w:rPr>
      </w:pPr>
      <w:r w:rsidRPr="007442CC">
        <w:rPr>
          <w:rFonts w:cstheme="minorHAnsi"/>
        </w:rPr>
        <w:lastRenderedPageBreak/>
        <w:t xml:space="preserve">Explain the terms Autocorrelation function(ACF) and partial autocorrelation(PACF). what shape would these two functions take for stationary autoregressive process, a moving average process and an autoregressive moving average process? </w:t>
      </w:r>
    </w:p>
    <w:p w:rsidR="007442CC" w:rsidRPr="007442CC" w:rsidRDefault="007442CC"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Autocorrelation function (ACF)</w:t>
      </w:r>
    </w:p>
    <w:p w:rsidR="007442CC" w:rsidRPr="007442CC" w:rsidRDefault="007442CC"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The autocorrelation function (ACF) is a statistical measure that describes the correlation of a time series with itself at different time lags. It is used to assess whether the series is stationary or not. A stationary time series is one in which the mean, variance, and autocorrelation are constant over time.</w:t>
      </w:r>
    </w:p>
    <w:p w:rsidR="007442CC" w:rsidRPr="007442CC" w:rsidRDefault="007442CC"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For a stationary time series, the ACF will typically show a damped oscillation around zero. This means that the correlation between the series and itself at different time lags will decrease as the time lags increase.</w:t>
      </w:r>
    </w:p>
    <w:p w:rsidR="007442CC" w:rsidRPr="007442CC" w:rsidRDefault="007442CC"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Partial autocorrelation function (PACF)</w:t>
      </w:r>
    </w:p>
    <w:p w:rsidR="007442CC" w:rsidRPr="007442CC" w:rsidRDefault="007442CC"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The partial autocorrelation function (PACF) is a statistical measure that describes the correlation of a time series with itself at different time lags, after controlling for the correlation at all previous lags. It is also used to assess whether the series is stationary or not.</w:t>
      </w:r>
    </w:p>
    <w:p w:rsidR="007442CC" w:rsidRPr="007442CC" w:rsidRDefault="007442CC"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For a stationary time series, the PACF will typically show a geometric decline towards zero. This means that the correlation between the series and itself at different time lags, after controlling for the correlation at all previous lags, will decrease as the time lags increase.</w:t>
      </w:r>
    </w:p>
    <w:p w:rsidR="007442CC" w:rsidRPr="007442CC" w:rsidRDefault="007442CC" w:rsidP="007442CC">
      <w:pPr>
        <w:shd w:val="clear" w:color="auto" w:fill="FFFFFF"/>
        <w:spacing w:before="360" w:after="360" w:line="360" w:lineRule="auto"/>
        <w:rPr>
          <w:rFonts w:eastAsia="Times New Roman" w:cstheme="minorHAnsi"/>
          <w:color w:val="1F1F1F"/>
        </w:rPr>
      </w:pPr>
      <w:r w:rsidRPr="007442CC">
        <w:rPr>
          <w:rFonts w:eastAsia="Times New Roman" w:cstheme="minorHAnsi"/>
          <w:color w:val="1F1F1F"/>
        </w:rPr>
        <w:t>ACF and PACF for stationary AR, MA, and ARMA processes</w:t>
      </w:r>
    </w:p>
    <w:p w:rsidR="007442CC" w:rsidRPr="007442CC" w:rsidRDefault="007442CC" w:rsidP="007442CC">
      <w:pPr>
        <w:numPr>
          <w:ilvl w:val="0"/>
          <w:numId w:val="3"/>
        </w:numPr>
        <w:shd w:val="clear" w:color="auto" w:fill="FFFFFF"/>
        <w:spacing w:before="100" w:beforeAutospacing="1" w:after="150" w:line="360" w:lineRule="auto"/>
        <w:ind w:left="0"/>
        <w:rPr>
          <w:rFonts w:eastAsia="Times New Roman" w:cstheme="minorHAnsi"/>
          <w:color w:val="1F1F1F"/>
        </w:rPr>
      </w:pPr>
      <w:r w:rsidRPr="007442CC">
        <w:rPr>
          <w:rFonts w:eastAsia="Times New Roman" w:cstheme="minorHAnsi"/>
          <w:color w:val="1F1F1F"/>
        </w:rPr>
        <w:t>Stationary AR process: The ACF for a stationary AR process will show a damped oscillation around zero, and the PACF will show a geometric decline towards zero.</w:t>
      </w:r>
    </w:p>
    <w:p w:rsidR="007442CC" w:rsidRPr="007442CC" w:rsidRDefault="007442CC" w:rsidP="007442CC">
      <w:pPr>
        <w:numPr>
          <w:ilvl w:val="0"/>
          <w:numId w:val="3"/>
        </w:numPr>
        <w:shd w:val="clear" w:color="auto" w:fill="FFFFFF"/>
        <w:spacing w:before="100" w:beforeAutospacing="1" w:after="150" w:line="360" w:lineRule="auto"/>
        <w:ind w:left="0"/>
        <w:rPr>
          <w:rFonts w:eastAsia="Times New Roman" w:cstheme="minorHAnsi"/>
          <w:color w:val="1F1F1F"/>
        </w:rPr>
      </w:pPr>
      <w:r w:rsidRPr="007442CC">
        <w:rPr>
          <w:rFonts w:eastAsia="Times New Roman" w:cstheme="minorHAnsi"/>
          <w:color w:val="1F1F1F"/>
        </w:rPr>
        <w:t>Stationary MA process: The ACF for a stationary MA process will show a cut-off at the MA lag, and the PACF will show a zero at all lags beyond the MA lag.</w:t>
      </w:r>
    </w:p>
    <w:p w:rsidR="007442CC" w:rsidRDefault="007442CC" w:rsidP="007442CC">
      <w:pPr>
        <w:numPr>
          <w:ilvl w:val="0"/>
          <w:numId w:val="3"/>
        </w:numPr>
        <w:shd w:val="clear" w:color="auto" w:fill="FFFFFF"/>
        <w:spacing w:before="100" w:beforeAutospacing="1" w:after="150" w:line="360" w:lineRule="auto"/>
        <w:ind w:left="0"/>
        <w:rPr>
          <w:rFonts w:eastAsia="Times New Roman" w:cstheme="minorHAnsi"/>
          <w:color w:val="1F1F1F"/>
        </w:rPr>
      </w:pPr>
      <w:r w:rsidRPr="007442CC">
        <w:rPr>
          <w:rFonts w:eastAsia="Times New Roman" w:cstheme="minorHAnsi"/>
          <w:color w:val="1F1F1F"/>
        </w:rPr>
        <w:lastRenderedPageBreak/>
        <w:t>Stationary ARMA process: The ACF for a stationary ARMA process will show a combination of the damped oscillation of the AR process and the cut-off of the MA process. The PACF will show a geometric decline towards zero, but the decline may not be as smooth as for a stationary AR process.</w:t>
      </w:r>
    </w:p>
    <w:p w:rsidR="007442CC" w:rsidRDefault="007442CC" w:rsidP="007442CC">
      <w:pPr>
        <w:shd w:val="clear" w:color="auto" w:fill="FFFFFF"/>
        <w:spacing w:before="100" w:beforeAutospacing="1" w:after="150" w:line="360" w:lineRule="auto"/>
        <w:rPr>
          <w:rFonts w:eastAsia="Times New Roman" w:cstheme="minorHAnsi"/>
          <w:color w:val="1F1F1F"/>
        </w:rPr>
      </w:pPr>
      <w:r>
        <w:rPr>
          <w:rFonts w:eastAsia="Times New Roman" w:cstheme="minorHAnsi"/>
          <w:color w:val="1F1F1F"/>
        </w:rPr>
        <w:t>Point (d)</w:t>
      </w:r>
    </w:p>
    <w:p w:rsidR="00460AC0" w:rsidRPr="003406EE" w:rsidRDefault="00460AC0" w:rsidP="00460AC0">
      <w:pPr>
        <w:shd w:val="clear" w:color="auto" w:fill="FFFFFF"/>
        <w:spacing w:before="100" w:beforeAutospacing="1" w:after="150" w:line="360" w:lineRule="auto"/>
        <w:rPr>
          <w:rFonts w:eastAsia="Times New Roman" w:cstheme="minorHAnsi"/>
          <w:b/>
          <w:bCs/>
          <w:color w:val="1F1F1F"/>
        </w:rPr>
      </w:pPr>
      <w:r w:rsidRPr="003406EE">
        <w:rPr>
          <w:rFonts w:eastAsia="Times New Roman" w:cstheme="minorHAnsi"/>
          <w:b/>
          <w:bCs/>
          <w:color w:val="1F1F1F"/>
        </w:rPr>
        <w:t>corrgram D, lags(6) yw</w:t>
      </w:r>
    </w:p>
    <w:p w:rsidR="00460AC0" w:rsidRPr="003406EE" w:rsidRDefault="00460AC0" w:rsidP="00460AC0">
      <w:pPr>
        <w:shd w:val="clear" w:color="auto" w:fill="FFFFFF"/>
        <w:spacing w:before="100" w:beforeAutospacing="1" w:after="150" w:line="360" w:lineRule="auto"/>
        <w:rPr>
          <w:rFonts w:eastAsia="Times New Roman" w:cstheme="minorHAnsi"/>
          <w:b/>
          <w:bCs/>
          <w:color w:val="1F1F1F"/>
        </w:rPr>
      </w:pPr>
      <w:r w:rsidRPr="003406EE">
        <w:rPr>
          <w:rFonts w:eastAsia="Times New Roman" w:cstheme="minorHAnsi"/>
          <w:b/>
          <w:bCs/>
          <w:color w:val="1F1F1F"/>
        </w:rPr>
        <w:t>(note: time series has 142 gaps)</w:t>
      </w:r>
    </w:p>
    <w:p w:rsidR="00460AC0" w:rsidRDefault="00460AC0" w:rsidP="00460AC0">
      <w:pPr>
        <w:shd w:val="clear" w:color="auto" w:fill="FFFFFF"/>
        <w:spacing w:before="100" w:beforeAutospacing="1" w:after="150" w:line="360" w:lineRule="auto"/>
        <w:rPr>
          <w:rFonts w:eastAsia="Times New Roman" w:cstheme="minorHAnsi"/>
          <w:color w:val="1F1F1F"/>
        </w:rPr>
      </w:pPr>
      <w:r>
        <w:rPr>
          <w:rFonts w:eastAsia="Times New Roman" w:cstheme="minorHAnsi"/>
          <w:color w:val="1F1F1F"/>
        </w:rPr>
        <w:t xml:space="preserve">We have calculate AC and PACF for our sample from (2010M1 to 2021M12) , Lags were selected as 6. </w:t>
      </w:r>
    </w:p>
    <w:p w:rsidR="004D194D" w:rsidRDefault="004D194D" w:rsidP="00460AC0">
      <w:pPr>
        <w:shd w:val="clear" w:color="auto" w:fill="FFFFFF"/>
        <w:spacing w:before="100" w:beforeAutospacing="1" w:after="150" w:line="360" w:lineRule="auto"/>
        <w:rPr>
          <w:rFonts w:eastAsia="Times New Roman" w:cstheme="minorHAnsi"/>
          <w:color w:val="1F1F1F"/>
        </w:rPr>
      </w:pPr>
      <w:r>
        <w:rPr>
          <w:rFonts w:eastAsia="Times New Roman" w:cstheme="minorHAnsi"/>
          <w:color w:val="1F1F1F"/>
        </w:rPr>
        <w:t>Table 1</w:t>
      </w:r>
    </w:p>
    <w:tbl>
      <w:tblPr>
        <w:tblStyle w:val="GridTable1Light-Accent1"/>
        <w:tblW w:w="0" w:type="auto"/>
        <w:tblLayout w:type="fixed"/>
        <w:tblLook w:val="04A0" w:firstRow="1" w:lastRow="0" w:firstColumn="1" w:lastColumn="0" w:noHBand="0" w:noVBand="1"/>
      </w:tblPr>
      <w:tblGrid>
        <w:gridCol w:w="525"/>
        <w:gridCol w:w="810"/>
        <w:gridCol w:w="750"/>
        <w:gridCol w:w="1290"/>
        <w:gridCol w:w="825"/>
        <w:gridCol w:w="120"/>
        <w:gridCol w:w="5030"/>
      </w:tblGrid>
      <w:tr w:rsidR="004D194D" w:rsidRPr="00460AC0" w:rsidTr="00B61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rsidR="004D194D" w:rsidRPr="00460AC0" w:rsidRDefault="004D194D" w:rsidP="00562E00">
            <w:pPr>
              <w:shd w:val="clear" w:color="auto" w:fill="FFFFFF"/>
              <w:spacing w:before="100" w:beforeAutospacing="1" w:after="150" w:line="360" w:lineRule="auto"/>
              <w:rPr>
                <w:rFonts w:eastAsia="Times New Roman" w:cstheme="minorHAnsi"/>
                <w:color w:val="1F1F1F"/>
              </w:rPr>
            </w:pPr>
            <w:r w:rsidRPr="00460AC0">
              <w:rPr>
                <w:rFonts w:eastAsia="Times New Roman" w:cstheme="minorHAnsi"/>
                <w:color w:val="1F1F1F"/>
              </w:rPr>
              <w:t xml:space="preserve">                                          -1       0       1 -1       0       1</w:t>
            </w:r>
          </w:p>
        </w:tc>
      </w:tr>
      <w:tr w:rsidR="00B61C47" w:rsidRPr="00460AC0" w:rsidTr="00B61C47">
        <w:tc>
          <w:tcPr>
            <w:cnfStyle w:val="001000000000" w:firstRow="0" w:lastRow="0" w:firstColumn="1" w:lastColumn="0" w:oddVBand="0" w:evenVBand="0" w:oddHBand="0" w:evenHBand="0" w:firstRowFirstColumn="0" w:firstRowLastColumn="0" w:lastRowFirstColumn="0" w:lastRowLastColumn="0"/>
            <w:tcW w:w="525" w:type="dxa"/>
            <w:tcBorders>
              <w:top w:val="single" w:sz="4" w:space="0" w:color="auto"/>
              <w:right w:val="single" w:sz="4" w:space="0" w:color="auto"/>
            </w:tcBorders>
          </w:tcPr>
          <w:p w:rsidR="00B61C47" w:rsidRPr="00460AC0" w:rsidRDefault="00B61C47" w:rsidP="00562E00">
            <w:pPr>
              <w:shd w:val="clear" w:color="auto" w:fill="FFFFFF"/>
              <w:spacing w:before="100" w:beforeAutospacing="1" w:after="150" w:line="360" w:lineRule="auto"/>
              <w:rPr>
                <w:rFonts w:eastAsia="Times New Roman" w:cstheme="minorHAnsi"/>
                <w:color w:val="1F1F1F"/>
              </w:rPr>
            </w:pPr>
            <w:r w:rsidRPr="00460AC0">
              <w:rPr>
                <w:rFonts w:eastAsia="Times New Roman" w:cstheme="minorHAnsi"/>
                <w:color w:val="1F1F1F"/>
              </w:rPr>
              <w:t xml:space="preserve"> LAG</w:t>
            </w:r>
          </w:p>
        </w:tc>
        <w:tc>
          <w:tcPr>
            <w:tcW w:w="810" w:type="dxa"/>
            <w:tcBorders>
              <w:left w:val="single" w:sz="4" w:space="0" w:color="auto"/>
            </w:tcBorders>
          </w:tcPr>
          <w:p w:rsidR="00B61C47" w:rsidRPr="00460AC0" w:rsidRDefault="00B61C47" w:rsidP="00B61C47">
            <w:pPr>
              <w:shd w:val="clear" w:color="auto" w:fill="FFFFFF"/>
              <w:spacing w:before="100" w:beforeAutospacing="1" w:after="150" w:line="360" w:lineRule="auto"/>
              <w:ind w:left="237"/>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AC</w:t>
            </w:r>
          </w:p>
        </w:tc>
        <w:tc>
          <w:tcPr>
            <w:tcW w:w="750" w:type="dxa"/>
            <w:tcBorders>
              <w:left w:val="single" w:sz="4" w:space="0" w:color="auto"/>
            </w:tcBorders>
          </w:tcPr>
          <w:p w:rsidR="00B61C47" w:rsidRPr="00460AC0" w:rsidRDefault="00B61C47" w:rsidP="00B61C47">
            <w:pPr>
              <w:shd w:val="clear" w:color="auto" w:fill="FFFFFF"/>
              <w:spacing w:before="100" w:beforeAutospacing="1" w:after="150" w:line="360" w:lineRule="auto"/>
              <w:ind w:left="1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PAC</w:t>
            </w:r>
          </w:p>
        </w:tc>
        <w:tc>
          <w:tcPr>
            <w:tcW w:w="1290" w:type="dxa"/>
            <w:tcBorders>
              <w:left w:val="single" w:sz="4" w:space="0" w:color="auto"/>
            </w:tcBorders>
          </w:tcPr>
          <w:p w:rsidR="00B61C47" w:rsidRPr="00460AC0" w:rsidRDefault="00B61C47" w:rsidP="00B61C47">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Q     Prob&gt;Q</w:t>
            </w:r>
          </w:p>
        </w:tc>
        <w:tc>
          <w:tcPr>
            <w:tcW w:w="5975" w:type="dxa"/>
            <w:gridSpan w:val="3"/>
            <w:tcBorders>
              <w:left w:val="single" w:sz="4" w:space="0" w:color="auto"/>
            </w:tcBorders>
          </w:tcPr>
          <w:p w:rsidR="00B61C47" w:rsidRPr="00460AC0" w:rsidRDefault="00B61C47" w:rsidP="00B61C47">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Pr>
                <w:rFonts w:eastAsia="Times New Roman" w:cstheme="minorHAnsi"/>
                <w:color w:val="1F1F1F"/>
              </w:rPr>
              <w:t>[</w:t>
            </w:r>
            <w:r w:rsidRPr="00B61C47">
              <w:rPr>
                <w:rFonts w:eastAsia="Times New Roman" w:cstheme="minorHAnsi"/>
                <w:color w:val="1F1F1F"/>
                <w:sz w:val="20"/>
                <w:szCs w:val="20"/>
              </w:rPr>
              <w:t>Autocorrelation]</w:t>
            </w:r>
            <w:r w:rsidRPr="00460AC0">
              <w:rPr>
                <w:rFonts w:eastAsia="Times New Roman" w:cstheme="minorHAnsi"/>
                <w:color w:val="1F1F1F"/>
              </w:rPr>
              <w:t xml:space="preserve"> [Partial Autocor]</w:t>
            </w:r>
          </w:p>
        </w:tc>
      </w:tr>
      <w:tr w:rsidR="00B61C47" w:rsidRPr="00460AC0" w:rsidTr="00B61C47">
        <w:tc>
          <w:tcPr>
            <w:cnfStyle w:val="001000000000" w:firstRow="0" w:lastRow="0" w:firstColumn="1" w:lastColumn="0" w:oddVBand="0" w:evenVBand="0" w:oddHBand="0" w:evenHBand="0" w:firstRowFirstColumn="0" w:firstRowLastColumn="0" w:lastRowFirstColumn="0" w:lastRowLastColumn="0"/>
            <w:tcW w:w="525" w:type="dxa"/>
            <w:tcBorders>
              <w:right w:val="single" w:sz="4" w:space="0" w:color="auto"/>
            </w:tcBorders>
          </w:tcPr>
          <w:p w:rsidR="00B61C47" w:rsidRPr="00460AC0" w:rsidRDefault="00B61C47" w:rsidP="00562E00">
            <w:pPr>
              <w:shd w:val="clear" w:color="auto" w:fill="FFFFFF"/>
              <w:spacing w:before="100" w:beforeAutospacing="1" w:after="150" w:line="360" w:lineRule="auto"/>
              <w:rPr>
                <w:rFonts w:eastAsia="Times New Roman" w:cstheme="minorHAnsi"/>
                <w:color w:val="1F1F1F"/>
              </w:rPr>
            </w:pPr>
          </w:p>
        </w:tc>
        <w:tc>
          <w:tcPr>
            <w:tcW w:w="81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p>
        </w:tc>
        <w:tc>
          <w:tcPr>
            <w:tcW w:w="75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p>
        </w:tc>
        <w:tc>
          <w:tcPr>
            <w:tcW w:w="129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p>
        </w:tc>
        <w:tc>
          <w:tcPr>
            <w:tcW w:w="825"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p>
        </w:tc>
        <w:tc>
          <w:tcPr>
            <w:tcW w:w="5150" w:type="dxa"/>
            <w:gridSpan w:val="2"/>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p>
        </w:tc>
      </w:tr>
      <w:tr w:rsidR="00B61C47" w:rsidRPr="00460AC0" w:rsidTr="00B61C47">
        <w:tc>
          <w:tcPr>
            <w:cnfStyle w:val="001000000000" w:firstRow="0" w:lastRow="0" w:firstColumn="1" w:lastColumn="0" w:oddVBand="0" w:evenVBand="0" w:oddHBand="0" w:evenHBand="0" w:firstRowFirstColumn="0" w:firstRowLastColumn="0" w:lastRowFirstColumn="0" w:lastRowLastColumn="0"/>
            <w:tcW w:w="525" w:type="dxa"/>
            <w:tcBorders>
              <w:right w:val="single" w:sz="4" w:space="0" w:color="auto"/>
            </w:tcBorders>
          </w:tcPr>
          <w:p w:rsidR="00B61C47" w:rsidRPr="00460AC0" w:rsidRDefault="00B61C47" w:rsidP="00562E00">
            <w:pPr>
              <w:shd w:val="clear" w:color="auto" w:fill="FFFFFF"/>
              <w:spacing w:before="100" w:beforeAutospacing="1" w:after="150" w:line="360" w:lineRule="auto"/>
              <w:rPr>
                <w:rFonts w:eastAsia="Times New Roman" w:cstheme="minorHAnsi"/>
                <w:color w:val="1F1F1F"/>
              </w:rPr>
            </w:pPr>
            <w:r w:rsidRPr="00460AC0">
              <w:rPr>
                <w:rFonts w:eastAsia="Times New Roman" w:cstheme="minorHAnsi"/>
                <w:color w:val="1F1F1F"/>
              </w:rPr>
              <w:t>1</w:t>
            </w:r>
          </w:p>
        </w:tc>
        <w:tc>
          <w:tcPr>
            <w:tcW w:w="81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75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1290" w:type="dxa"/>
            <w:tcBorders>
              <w:left w:val="single" w:sz="4" w:space="0" w:color="auto"/>
            </w:tcBorders>
          </w:tcPr>
          <w:p w:rsidR="00B61C47" w:rsidRPr="00460AC0" w:rsidRDefault="00B61C47" w:rsidP="00B61C47">
            <w:pPr>
              <w:shd w:val="clear" w:color="auto" w:fill="FFFFFF"/>
              <w:spacing w:before="100" w:beforeAutospacing="1" w:after="150" w:line="360" w:lineRule="auto"/>
              <w:ind w:left="25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0  1.0000</w:t>
            </w:r>
          </w:p>
        </w:tc>
        <w:tc>
          <w:tcPr>
            <w:tcW w:w="825" w:type="dxa"/>
            <w:tcBorders>
              <w:left w:val="single" w:sz="4" w:space="0" w:color="auto"/>
            </w:tcBorders>
          </w:tcPr>
          <w:p w:rsidR="00B61C47" w:rsidRPr="00460AC0" w:rsidRDefault="00B61C47" w:rsidP="00B61C47">
            <w:pPr>
              <w:shd w:val="clear" w:color="auto" w:fill="FFFFFF"/>
              <w:spacing w:before="100" w:beforeAutospacing="1" w:after="150" w:line="360" w:lineRule="auto"/>
              <w:ind w:left="28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w:t>
            </w:r>
          </w:p>
        </w:tc>
        <w:tc>
          <w:tcPr>
            <w:tcW w:w="5150" w:type="dxa"/>
            <w:gridSpan w:val="2"/>
            <w:tcBorders>
              <w:left w:val="single" w:sz="4" w:space="0" w:color="auto"/>
            </w:tcBorders>
          </w:tcPr>
          <w:p w:rsidR="00B61C47" w:rsidRPr="00460AC0" w:rsidRDefault="00B61C47" w:rsidP="00B61C47">
            <w:pPr>
              <w:shd w:val="clear" w:color="auto" w:fill="FFFFFF"/>
              <w:spacing w:before="100" w:beforeAutospacing="1" w:after="150" w:line="360" w:lineRule="auto"/>
              <w:ind w:left="447"/>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 xml:space="preserve">|        </w:t>
            </w:r>
          </w:p>
        </w:tc>
      </w:tr>
      <w:tr w:rsidR="00B61C47" w:rsidRPr="00460AC0" w:rsidTr="00B61C47">
        <w:tc>
          <w:tcPr>
            <w:cnfStyle w:val="001000000000" w:firstRow="0" w:lastRow="0" w:firstColumn="1" w:lastColumn="0" w:oddVBand="0" w:evenVBand="0" w:oddHBand="0" w:evenHBand="0" w:firstRowFirstColumn="0" w:firstRowLastColumn="0" w:lastRowFirstColumn="0" w:lastRowLastColumn="0"/>
            <w:tcW w:w="525" w:type="dxa"/>
            <w:tcBorders>
              <w:right w:val="single" w:sz="4" w:space="0" w:color="auto"/>
            </w:tcBorders>
          </w:tcPr>
          <w:p w:rsidR="00B61C47" w:rsidRPr="00460AC0" w:rsidRDefault="00B61C47" w:rsidP="00562E00">
            <w:pPr>
              <w:shd w:val="clear" w:color="auto" w:fill="FFFFFF"/>
              <w:spacing w:before="100" w:beforeAutospacing="1" w:after="150" w:line="360" w:lineRule="auto"/>
              <w:rPr>
                <w:rFonts w:eastAsia="Times New Roman" w:cstheme="minorHAnsi"/>
                <w:color w:val="1F1F1F"/>
              </w:rPr>
            </w:pPr>
            <w:r w:rsidRPr="00460AC0">
              <w:rPr>
                <w:rFonts w:eastAsia="Times New Roman" w:cstheme="minorHAnsi"/>
                <w:color w:val="1F1F1F"/>
              </w:rPr>
              <w:t>2</w:t>
            </w:r>
          </w:p>
        </w:tc>
        <w:tc>
          <w:tcPr>
            <w:tcW w:w="81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75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1290" w:type="dxa"/>
            <w:tcBorders>
              <w:left w:val="single" w:sz="4" w:space="0" w:color="auto"/>
            </w:tcBorders>
          </w:tcPr>
          <w:p w:rsidR="00B61C47" w:rsidRPr="00460AC0" w:rsidRDefault="00B61C47" w:rsidP="00B61C47">
            <w:pPr>
              <w:shd w:val="clear" w:color="auto" w:fill="FFFFFF"/>
              <w:spacing w:before="100" w:beforeAutospacing="1" w:after="150" w:line="360" w:lineRule="auto"/>
              <w:ind w:left="25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0  1.0000</w:t>
            </w:r>
          </w:p>
        </w:tc>
        <w:tc>
          <w:tcPr>
            <w:tcW w:w="825" w:type="dxa"/>
            <w:tcBorders>
              <w:left w:val="single" w:sz="4" w:space="0" w:color="auto"/>
            </w:tcBorders>
          </w:tcPr>
          <w:p w:rsidR="00B61C47" w:rsidRPr="00460AC0" w:rsidRDefault="00B61C47" w:rsidP="00B61C47">
            <w:pPr>
              <w:shd w:val="clear" w:color="auto" w:fill="FFFFFF"/>
              <w:spacing w:before="100" w:beforeAutospacing="1" w:after="150" w:line="360" w:lineRule="auto"/>
              <w:ind w:left="28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w:t>
            </w:r>
          </w:p>
        </w:tc>
        <w:tc>
          <w:tcPr>
            <w:tcW w:w="5150" w:type="dxa"/>
            <w:gridSpan w:val="2"/>
            <w:tcBorders>
              <w:left w:val="single" w:sz="4" w:space="0" w:color="auto"/>
            </w:tcBorders>
          </w:tcPr>
          <w:p w:rsidR="00B61C47" w:rsidRPr="00460AC0" w:rsidRDefault="00B61C47" w:rsidP="00B61C47">
            <w:pPr>
              <w:shd w:val="clear" w:color="auto" w:fill="FFFFFF"/>
              <w:spacing w:before="100" w:beforeAutospacing="1" w:after="150" w:line="360" w:lineRule="auto"/>
              <w:ind w:left="447"/>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 xml:space="preserve">|        </w:t>
            </w:r>
          </w:p>
        </w:tc>
      </w:tr>
      <w:tr w:rsidR="00B61C47" w:rsidRPr="00460AC0" w:rsidTr="00B61C47">
        <w:tc>
          <w:tcPr>
            <w:cnfStyle w:val="001000000000" w:firstRow="0" w:lastRow="0" w:firstColumn="1" w:lastColumn="0" w:oddVBand="0" w:evenVBand="0" w:oddHBand="0" w:evenHBand="0" w:firstRowFirstColumn="0" w:firstRowLastColumn="0" w:lastRowFirstColumn="0" w:lastRowLastColumn="0"/>
            <w:tcW w:w="525" w:type="dxa"/>
            <w:tcBorders>
              <w:right w:val="single" w:sz="4" w:space="0" w:color="auto"/>
            </w:tcBorders>
          </w:tcPr>
          <w:p w:rsidR="00B61C47" w:rsidRPr="00460AC0" w:rsidRDefault="00B61C47" w:rsidP="00562E00">
            <w:pPr>
              <w:shd w:val="clear" w:color="auto" w:fill="FFFFFF"/>
              <w:spacing w:before="100" w:beforeAutospacing="1" w:after="150" w:line="360" w:lineRule="auto"/>
              <w:rPr>
                <w:rFonts w:eastAsia="Times New Roman" w:cstheme="minorHAnsi"/>
                <w:color w:val="1F1F1F"/>
              </w:rPr>
            </w:pPr>
            <w:r w:rsidRPr="00460AC0">
              <w:rPr>
                <w:rFonts w:eastAsia="Times New Roman" w:cstheme="minorHAnsi"/>
                <w:color w:val="1F1F1F"/>
              </w:rPr>
              <w:t>3</w:t>
            </w:r>
          </w:p>
        </w:tc>
        <w:tc>
          <w:tcPr>
            <w:tcW w:w="81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75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1290" w:type="dxa"/>
            <w:tcBorders>
              <w:left w:val="single" w:sz="4" w:space="0" w:color="auto"/>
            </w:tcBorders>
          </w:tcPr>
          <w:p w:rsidR="00B61C47" w:rsidRPr="00460AC0" w:rsidRDefault="00B61C47" w:rsidP="00B61C47">
            <w:pPr>
              <w:shd w:val="clear" w:color="auto" w:fill="FFFFFF"/>
              <w:spacing w:before="100" w:beforeAutospacing="1" w:after="150" w:line="360" w:lineRule="auto"/>
              <w:ind w:left="25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0  1.0000</w:t>
            </w:r>
          </w:p>
        </w:tc>
        <w:tc>
          <w:tcPr>
            <w:tcW w:w="825" w:type="dxa"/>
            <w:tcBorders>
              <w:left w:val="single" w:sz="4" w:space="0" w:color="auto"/>
            </w:tcBorders>
          </w:tcPr>
          <w:p w:rsidR="00B61C47" w:rsidRPr="00460AC0" w:rsidRDefault="00B61C47" w:rsidP="00B61C47">
            <w:pPr>
              <w:shd w:val="clear" w:color="auto" w:fill="FFFFFF"/>
              <w:spacing w:before="100" w:beforeAutospacing="1" w:after="150" w:line="360" w:lineRule="auto"/>
              <w:ind w:left="28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w:t>
            </w:r>
          </w:p>
        </w:tc>
        <w:tc>
          <w:tcPr>
            <w:tcW w:w="5150" w:type="dxa"/>
            <w:gridSpan w:val="2"/>
            <w:tcBorders>
              <w:left w:val="single" w:sz="4" w:space="0" w:color="auto"/>
            </w:tcBorders>
          </w:tcPr>
          <w:p w:rsidR="00B61C47" w:rsidRPr="00460AC0" w:rsidRDefault="00B61C47" w:rsidP="00B61C47">
            <w:pPr>
              <w:shd w:val="clear" w:color="auto" w:fill="FFFFFF"/>
              <w:spacing w:before="100" w:beforeAutospacing="1" w:after="150" w:line="360" w:lineRule="auto"/>
              <w:ind w:left="447"/>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 xml:space="preserve">|        </w:t>
            </w:r>
          </w:p>
        </w:tc>
      </w:tr>
      <w:tr w:rsidR="00B61C47" w:rsidRPr="00460AC0" w:rsidTr="00B61C47">
        <w:tc>
          <w:tcPr>
            <w:cnfStyle w:val="001000000000" w:firstRow="0" w:lastRow="0" w:firstColumn="1" w:lastColumn="0" w:oddVBand="0" w:evenVBand="0" w:oddHBand="0" w:evenHBand="0" w:firstRowFirstColumn="0" w:firstRowLastColumn="0" w:lastRowFirstColumn="0" w:lastRowLastColumn="0"/>
            <w:tcW w:w="525" w:type="dxa"/>
            <w:tcBorders>
              <w:right w:val="single" w:sz="4" w:space="0" w:color="auto"/>
            </w:tcBorders>
          </w:tcPr>
          <w:p w:rsidR="00B61C47" w:rsidRPr="00460AC0" w:rsidRDefault="00B61C47" w:rsidP="00562E00">
            <w:pPr>
              <w:shd w:val="clear" w:color="auto" w:fill="FFFFFF"/>
              <w:spacing w:before="100" w:beforeAutospacing="1" w:after="150" w:line="360" w:lineRule="auto"/>
              <w:rPr>
                <w:rFonts w:eastAsia="Times New Roman" w:cstheme="minorHAnsi"/>
                <w:color w:val="1F1F1F"/>
              </w:rPr>
            </w:pPr>
            <w:r w:rsidRPr="00460AC0">
              <w:rPr>
                <w:rFonts w:eastAsia="Times New Roman" w:cstheme="minorHAnsi"/>
                <w:color w:val="1F1F1F"/>
              </w:rPr>
              <w:t>4</w:t>
            </w:r>
          </w:p>
        </w:tc>
        <w:tc>
          <w:tcPr>
            <w:tcW w:w="81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75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1290" w:type="dxa"/>
            <w:tcBorders>
              <w:left w:val="single" w:sz="4" w:space="0" w:color="auto"/>
            </w:tcBorders>
          </w:tcPr>
          <w:p w:rsidR="00B61C47" w:rsidRPr="00460AC0" w:rsidRDefault="00B61C47" w:rsidP="00B61C47">
            <w:pPr>
              <w:shd w:val="clear" w:color="auto" w:fill="FFFFFF"/>
              <w:spacing w:before="100" w:beforeAutospacing="1" w:after="150" w:line="360" w:lineRule="auto"/>
              <w:ind w:left="25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0  1.0000</w:t>
            </w:r>
          </w:p>
        </w:tc>
        <w:tc>
          <w:tcPr>
            <w:tcW w:w="825" w:type="dxa"/>
            <w:tcBorders>
              <w:left w:val="single" w:sz="4" w:space="0" w:color="auto"/>
            </w:tcBorders>
          </w:tcPr>
          <w:p w:rsidR="00B61C47" w:rsidRPr="00460AC0" w:rsidRDefault="00B61C47" w:rsidP="00B61C47">
            <w:pPr>
              <w:shd w:val="clear" w:color="auto" w:fill="FFFFFF"/>
              <w:spacing w:before="100" w:beforeAutospacing="1" w:after="150" w:line="360" w:lineRule="auto"/>
              <w:ind w:left="28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w:t>
            </w:r>
          </w:p>
        </w:tc>
        <w:tc>
          <w:tcPr>
            <w:tcW w:w="5150" w:type="dxa"/>
            <w:gridSpan w:val="2"/>
            <w:tcBorders>
              <w:left w:val="single" w:sz="4" w:space="0" w:color="auto"/>
            </w:tcBorders>
          </w:tcPr>
          <w:p w:rsidR="00B61C47" w:rsidRPr="00460AC0" w:rsidRDefault="00B61C47" w:rsidP="00B61C47">
            <w:pPr>
              <w:shd w:val="clear" w:color="auto" w:fill="FFFFFF"/>
              <w:spacing w:before="100" w:beforeAutospacing="1" w:after="150" w:line="360" w:lineRule="auto"/>
              <w:ind w:left="447"/>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 xml:space="preserve">|        </w:t>
            </w:r>
          </w:p>
        </w:tc>
      </w:tr>
      <w:tr w:rsidR="00B61C47" w:rsidRPr="00460AC0" w:rsidTr="00B61C47">
        <w:tc>
          <w:tcPr>
            <w:cnfStyle w:val="001000000000" w:firstRow="0" w:lastRow="0" w:firstColumn="1" w:lastColumn="0" w:oddVBand="0" w:evenVBand="0" w:oddHBand="0" w:evenHBand="0" w:firstRowFirstColumn="0" w:firstRowLastColumn="0" w:lastRowFirstColumn="0" w:lastRowLastColumn="0"/>
            <w:tcW w:w="525" w:type="dxa"/>
            <w:tcBorders>
              <w:right w:val="single" w:sz="4" w:space="0" w:color="auto"/>
            </w:tcBorders>
          </w:tcPr>
          <w:p w:rsidR="00B61C47" w:rsidRPr="00460AC0" w:rsidRDefault="00B61C47" w:rsidP="00562E00">
            <w:pPr>
              <w:shd w:val="clear" w:color="auto" w:fill="FFFFFF"/>
              <w:spacing w:before="100" w:beforeAutospacing="1" w:after="150" w:line="360" w:lineRule="auto"/>
              <w:rPr>
                <w:rFonts w:eastAsia="Times New Roman" w:cstheme="minorHAnsi"/>
                <w:color w:val="1F1F1F"/>
              </w:rPr>
            </w:pPr>
            <w:r w:rsidRPr="00460AC0">
              <w:rPr>
                <w:rFonts w:eastAsia="Times New Roman" w:cstheme="minorHAnsi"/>
                <w:color w:val="1F1F1F"/>
              </w:rPr>
              <w:t>5</w:t>
            </w:r>
          </w:p>
        </w:tc>
        <w:tc>
          <w:tcPr>
            <w:tcW w:w="81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75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1290" w:type="dxa"/>
            <w:tcBorders>
              <w:left w:val="single" w:sz="4" w:space="0" w:color="auto"/>
            </w:tcBorders>
          </w:tcPr>
          <w:p w:rsidR="00B61C47" w:rsidRPr="00460AC0" w:rsidRDefault="00B61C47" w:rsidP="00B61C47">
            <w:pPr>
              <w:shd w:val="clear" w:color="auto" w:fill="FFFFFF"/>
              <w:spacing w:before="100" w:beforeAutospacing="1" w:after="150" w:line="360" w:lineRule="auto"/>
              <w:ind w:left="25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0  1.0000</w:t>
            </w:r>
          </w:p>
        </w:tc>
        <w:tc>
          <w:tcPr>
            <w:tcW w:w="825" w:type="dxa"/>
            <w:tcBorders>
              <w:left w:val="single" w:sz="4" w:space="0" w:color="auto"/>
            </w:tcBorders>
          </w:tcPr>
          <w:p w:rsidR="00B61C47" w:rsidRPr="00460AC0" w:rsidRDefault="00B61C47" w:rsidP="00B61C47">
            <w:pPr>
              <w:shd w:val="clear" w:color="auto" w:fill="FFFFFF"/>
              <w:spacing w:before="100" w:beforeAutospacing="1" w:after="150" w:line="360" w:lineRule="auto"/>
              <w:ind w:left="28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w:t>
            </w:r>
          </w:p>
        </w:tc>
        <w:tc>
          <w:tcPr>
            <w:tcW w:w="5150" w:type="dxa"/>
            <w:gridSpan w:val="2"/>
            <w:tcBorders>
              <w:left w:val="single" w:sz="4" w:space="0" w:color="auto"/>
            </w:tcBorders>
          </w:tcPr>
          <w:p w:rsidR="00B61C47" w:rsidRPr="00460AC0" w:rsidRDefault="00B61C47" w:rsidP="00B61C47">
            <w:pPr>
              <w:shd w:val="clear" w:color="auto" w:fill="FFFFFF"/>
              <w:spacing w:before="100" w:beforeAutospacing="1" w:after="150" w:line="360" w:lineRule="auto"/>
              <w:ind w:left="447"/>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 xml:space="preserve">|        </w:t>
            </w:r>
          </w:p>
        </w:tc>
      </w:tr>
      <w:tr w:rsidR="00B61C47" w:rsidRPr="00460AC0" w:rsidTr="00B61C47">
        <w:tc>
          <w:tcPr>
            <w:cnfStyle w:val="001000000000" w:firstRow="0" w:lastRow="0" w:firstColumn="1" w:lastColumn="0" w:oddVBand="0" w:evenVBand="0" w:oddHBand="0" w:evenHBand="0" w:firstRowFirstColumn="0" w:firstRowLastColumn="0" w:lastRowFirstColumn="0" w:lastRowLastColumn="0"/>
            <w:tcW w:w="525" w:type="dxa"/>
            <w:tcBorders>
              <w:right w:val="single" w:sz="4" w:space="0" w:color="auto"/>
            </w:tcBorders>
          </w:tcPr>
          <w:p w:rsidR="00B61C47" w:rsidRPr="00460AC0" w:rsidRDefault="00B61C47" w:rsidP="00562E00">
            <w:pPr>
              <w:shd w:val="clear" w:color="auto" w:fill="FFFFFF"/>
              <w:spacing w:before="100" w:beforeAutospacing="1" w:after="150" w:line="360" w:lineRule="auto"/>
              <w:rPr>
                <w:rFonts w:eastAsia="Times New Roman" w:cstheme="minorHAnsi"/>
                <w:color w:val="1F1F1F"/>
              </w:rPr>
            </w:pPr>
            <w:r w:rsidRPr="00460AC0">
              <w:rPr>
                <w:rFonts w:eastAsia="Times New Roman" w:cstheme="minorHAnsi"/>
                <w:color w:val="1F1F1F"/>
              </w:rPr>
              <w:lastRenderedPageBreak/>
              <w:t>6</w:t>
            </w:r>
          </w:p>
        </w:tc>
        <w:tc>
          <w:tcPr>
            <w:tcW w:w="810" w:type="dxa"/>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w:t>
            </w:r>
          </w:p>
        </w:tc>
        <w:tc>
          <w:tcPr>
            <w:tcW w:w="2985" w:type="dxa"/>
            <w:gridSpan w:val="4"/>
            <w:tcBorders>
              <w:left w:val="single" w:sz="4" w:space="0" w:color="auto"/>
            </w:tcBorders>
          </w:tcPr>
          <w:p w:rsidR="00B61C47" w:rsidRPr="00460AC0" w:rsidRDefault="00B61C47" w:rsidP="00562E00">
            <w:pPr>
              <w:shd w:val="clear" w:color="auto" w:fill="FFFFFF"/>
              <w:spacing w:before="100" w:beforeAutospacing="1" w:after="150"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0.0000        0  1.0000          |</w:t>
            </w:r>
          </w:p>
        </w:tc>
        <w:tc>
          <w:tcPr>
            <w:tcW w:w="5030" w:type="dxa"/>
            <w:tcBorders>
              <w:left w:val="single" w:sz="4" w:space="0" w:color="auto"/>
            </w:tcBorders>
          </w:tcPr>
          <w:p w:rsidR="00B61C47" w:rsidRPr="00460AC0" w:rsidRDefault="00B61C47" w:rsidP="00B61C47">
            <w:pPr>
              <w:shd w:val="clear" w:color="auto" w:fill="FFFFFF"/>
              <w:spacing w:before="100" w:beforeAutospacing="1" w:after="150" w:line="360" w:lineRule="auto"/>
              <w:ind w:left="342"/>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1F1F1F"/>
              </w:rPr>
            </w:pPr>
            <w:r w:rsidRPr="00460AC0">
              <w:rPr>
                <w:rFonts w:eastAsia="Times New Roman" w:cstheme="minorHAnsi"/>
                <w:color w:val="1F1F1F"/>
              </w:rPr>
              <w:t xml:space="preserve">|        </w:t>
            </w:r>
          </w:p>
        </w:tc>
      </w:tr>
    </w:tbl>
    <w:p w:rsidR="004D194D" w:rsidRPr="00460AC0" w:rsidRDefault="004D194D" w:rsidP="00460AC0">
      <w:pPr>
        <w:shd w:val="clear" w:color="auto" w:fill="FFFFFF"/>
        <w:spacing w:before="100" w:beforeAutospacing="1" w:after="150" w:line="360" w:lineRule="auto"/>
        <w:rPr>
          <w:rFonts w:eastAsia="Times New Roman" w:cstheme="minorHAnsi"/>
          <w:color w:val="1F1F1F"/>
        </w:rPr>
      </w:pPr>
    </w:p>
    <w:p w:rsidR="007442CC" w:rsidRDefault="00460AC0" w:rsidP="007442CC">
      <w:pPr>
        <w:shd w:val="clear" w:color="auto" w:fill="FFFFFF"/>
        <w:spacing w:before="100" w:beforeAutospacing="1" w:after="150" w:line="360" w:lineRule="auto"/>
        <w:rPr>
          <w:rFonts w:eastAsia="Times New Roman" w:cstheme="minorHAnsi"/>
          <w:color w:val="1F1F1F"/>
        </w:rPr>
      </w:pPr>
      <w:r>
        <w:rPr>
          <w:rFonts w:eastAsia="Times New Roman" w:cstheme="minorHAnsi"/>
          <w:color w:val="1F1F1F"/>
        </w:rPr>
        <w:t>Interpretation.</w:t>
      </w:r>
    </w:p>
    <w:p w:rsidR="00460AC0" w:rsidRPr="00460AC0" w:rsidRDefault="00460AC0" w:rsidP="00460AC0">
      <w:pPr>
        <w:pStyle w:val="NormalWeb"/>
        <w:shd w:val="clear" w:color="auto" w:fill="FFFFFF"/>
        <w:spacing w:before="0" w:beforeAutospacing="0" w:after="360" w:afterAutospacing="0" w:line="360" w:lineRule="auto"/>
        <w:rPr>
          <w:rFonts w:asciiTheme="minorHAnsi" w:hAnsiTheme="minorHAnsi" w:cstheme="minorHAnsi"/>
          <w:color w:val="1F1F1F"/>
          <w:sz w:val="22"/>
          <w:szCs w:val="22"/>
        </w:rPr>
      </w:pPr>
      <w:r>
        <w:rPr>
          <w:rFonts w:ascii="Arial" w:hAnsi="Arial" w:cs="Arial"/>
          <w:color w:val="1F1F1F"/>
        </w:rPr>
        <w:br/>
      </w:r>
      <w:r w:rsidRPr="00460AC0">
        <w:rPr>
          <w:rFonts w:asciiTheme="minorHAnsi" w:hAnsiTheme="minorHAnsi" w:cstheme="minorHAnsi"/>
          <w:color w:val="1F1F1F"/>
          <w:sz w:val="22"/>
          <w:szCs w:val="22"/>
        </w:rPr>
        <w:t>The autocorrelations (AC) and partial autocorrelations (PAC) are all 0.0000, which means that there is no serial correlation in the data. This is also supported by the p-values, which are all 1.0000.</w:t>
      </w:r>
    </w:p>
    <w:p w:rsidR="00460AC0" w:rsidRDefault="00460AC0" w:rsidP="00460AC0">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460AC0">
        <w:rPr>
          <w:rFonts w:asciiTheme="minorHAnsi" w:hAnsiTheme="minorHAnsi" w:cstheme="minorHAnsi"/>
          <w:color w:val="1F1F1F"/>
          <w:sz w:val="22"/>
          <w:szCs w:val="22"/>
        </w:rPr>
        <w:t>In other words, the current value of the time series is not dependent on the past values of the time series. This is a useful property for time series analysis, as it means that the data can be modeled using simpler models that do not need to take into account serial correlation.</w:t>
      </w:r>
    </w:p>
    <w:p w:rsidR="00002778" w:rsidRDefault="00460AC0" w:rsidP="00460AC0">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Part d ii)</w:t>
      </w:r>
    </w:p>
    <w:p w:rsidR="00467E46" w:rsidRDefault="00460AC0" w:rsidP="004D194D">
      <w:pPr>
        <w:pStyle w:val="NormalWeb"/>
        <w:shd w:val="clear" w:color="auto" w:fill="FFFFFF"/>
        <w:spacing w:before="360" w:beforeAutospacing="0" w:after="360" w:afterAutospacing="0" w:line="360" w:lineRule="auto"/>
        <w:rPr>
          <w:rFonts w:cstheme="minorHAnsi"/>
          <w:color w:val="1F1F1F"/>
          <w:shd w:val="clear" w:color="auto" w:fill="FFFFFF"/>
        </w:rPr>
      </w:pPr>
      <w:r>
        <w:rPr>
          <w:rFonts w:asciiTheme="minorHAnsi" w:hAnsiTheme="minorHAnsi" w:cstheme="minorHAnsi"/>
          <w:color w:val="1F1F1F"/>
          <w:sz w:val="22"/>
          <w:szCs w:val="22"/>
        </w:rPr>
        <w:t xml:space="preserve"> ARMA model estimation from (0,0) to (6,6)</w:t>
      </w:r>
      <w:r w:rsidR="004D194D">
        <w:rPr>
          <w:rFonts w:asciiTheme="minorHAnsi" w:hAnsiTheme="minorHAnsi" w:cstheme="minorHAnsi"/>
          <w:color w:val="1F1F1F"/>
          <w:sz w:val="22"/>
          <w:szCs w:val="22"/>
        </w:rPr>
        <w:t>.</w:t>
      </w:r>
      <w:r w:rsidR="00002778">
        <w:rPr>
          <w:rFonts w:cstheme="minorHAnsi"/>
          <w:color w:val="1F1F1F"/>
          <w:shd w:val="clear" w:color="auto" w:fill="FFFFFF"/>
        </w:rPr>
        <w:t xml:space="preserve">We have calculated different ARMA models from (0,0) to </w:t>
      </w:r>
      <w:r w:rsidR="004D194D">
        <w:rPr>
          <w:rFonts w:cstheme="minorHAnsi"/>
          <w:color w:val="1F1F1F"/>
          <w:shd w:val="clear" w:color="auto" w:fill="FFFFFF"/>
        </w:rPr>
        <w:t xml:space="preserve">(6,6) .(see </w:t>
      </w:r>
      <w:r w:rsidR="00467E46">
        <w:rPr>
          <w:rFonts w:cstheme="minorHAnsi"/>
          <w:color w:val="1F1F1F"/>
          <w:shd w:val="clear" w:color="auto" w:fill="FFFFFF"/>
        </w:rPr>
        <w:t xml:space="preserve"> from table2 to table 15).</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Table2 ARMA (1,1)</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C447E5">
        <w:rPr>
          <w:rFonts w:asciiTheme="minorHAnsi" w:hAnsiTheme="minorHAnsi" w:cstheme="minorHAnsi"/>
          <w:noProof/>
          <w:color w:val="1F1F1F"/>
          <w:sz w:val="22"/>
          <w:szCs w:val="22"/>
        </w:rPr>
        <w:drawing>
          <wp:inline distT="0" distB="0" distL="0" distR="0" wp14:anchorId="7C3447F8" wp14:editId="7CB9E1D0">
            <wp:extent cx="4000500" cy="2847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847975"/>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highlight w:val="yellow"/>
        </w:rPr>
        <w:lastRenderedPageBreak/>
        <w:t xml:space="preserve">Table 3 </w:t>
      </w:r>
      <w:r w:rsidRPr="00235DA2">
        <w:rPr>
          <w:rFonts w:asciiTheme="minorHAnsi" w:hAnsiTheme="minorHAnsi" w:cstheme="minorHAnsi"/>
          <w:color w:val="1F1F1F"/>
          <w:sz w:val="22"/>
          <w:szCs w:val="22"/>
          <w:highlight w:val="yellow"/>
        </w:rPr>
        <w:t>ARMA (1,0)</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C447E5">
        <w:rPr>
          <w:rFonts w:asciiTheme="minorHAnsi" w:hAnsiTheme="minorHAnsi" w:cstheme="minorHAnsi"/>
          <w:noProof/>
          <w:color w:val="1F1F1F"/>
          <w:sz w:val="22"/>
          <w:szCs w:val="22"/>
        </w:rPr>
        <w:drawing>
          <wp:inline distT="0" distB="0" distL="0" distR="0" wp14:anchorId="0218D7FC" wp14:editId="0E2295EC">
            <wp:extent cx="40005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 4 ARMA( 0,1)</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C447E5">
        <w:rPr>
          <w:rFonts w:asciiTheme="minorHAnsi" w:hAnsiTheme="minorHAnsi" w:cstheme="minorHAnsi"/>
          <w:noProof/>
          <w:color w:val="1F1F1F"/>
          <w:sz w:val="22"/>
          <w:szCs w:val="22"/>
        </w:rPr>
        <w:drawing>
          <wp:inline distT="0" distB="0" distL="0" distR="0" wp14:anchorId="5FDE3B21" wp14:editId="6B8F3AE6">
            <wp:extent cx="400050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990725"/>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 5 ARMA( 2,1)</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C447E5">
        <w:rPr>
          <w:rFonts w:asciiTheme="minorHAnsi" w:hAnsiTheme="minorHAnsi" w:cstheme="minorHAnsi"/>
          <w:noProof/>
          <w:color w:val="1F1F1F"/>
          <w:sz w:val="22"/>
          <w:szCs w:val="22"/>
        </w:rPr>
        <w:drawing>
          <wp:inline distT="0" distB="0" distL="0" distR="0" wp14:anchorId="70D3888E" wp14:editId="7E2AAB4A">
            <wp:extent cx="4000500" cy="1857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1857375"/>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lastRenderedPageBreak/>
        <w:t>Table 6 ARMA(3,1)</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C447E5">
        <w:rPr>
          <w:rFonts w:asciiTheme="minorHAnsi" w:hAnsiTheme="minorHAnsi" w:cstheme="minorHAnsi"/>
          <w:noProof/>
          <w:color w:val="1F1F1F"/>
          <w:sz w:val="22"/>
          <w:szCs w:val="22"/>
        </w:rPr>
        <w:drawing>
          <wp:inline distT="0" distB="0" distL="0" distR="0" wp14:anchorId="45FA31E4" wp14:editId="2A58C2FC">
            <wp:extent cx="40005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 7 ARMA( 2,2)</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C447E5">
        <w:rPr>
          <w:rFonts w:asciiTheme="minorHAnsi" w:hAnsiTheme="minorHAnsi" w:cstheme="minorHAnsi"/>
          <w:noProof/>
          <w:color w:val="1F1F1F"/>
          <w:sz w:val="22"/>
          <w:szCs w:val="22"/>
        </w:rPr>
        <w:drawing>
          <wp:inline distT="0" distB="0" distL="0" distR="0" wp14:anchorId="2A3CF824" wp14:editId="00085892">
            <wp:extent cx="4000500" cy="213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 8 ARMA( 2,3)</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C447E5">
        <w:rPr>
          <w:rFonts w:asciiTheme="minorHAnsi" w:hAnsiTheme="minorHAnsi" w:cstheme="minorHAnsi"/>
          <w:noProof/>
          <w:color w:val="1F1F1F"/>
          <w:sz w:val="22"/>
          <w:szCs w:val="22"/>
        </w:rPr>
        <w:lastRenderedPageBreak/>
        <w:drawing>
          <wp:inline distT="0" distB="0" distL="0" distR="0" wp14:anchorId="5B3A8432" wp14:editId="6EEE63FB">
            <wp:extent cx="4000500"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 9 ARMA( 2,4)</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B0528E">
        <w:rPr>
          <w:rFonts w:asciiTheme="minorHAnsi" w:hAnsiTheme="minorHAnsi" w:cstheme="minorHAnsi"/>
          <w:noProof/>
          <w:color w:val="1F1F1F"/>
          <w:sz w:val="22"/>
          <w:szCs w:val="22"/>
        </w:rPr>
        <w:drawing>
          <wp:inline distT="0" distB="0" distL="0" distR="0" wp14:anchorId="4A7E784A" wp14:editId="70D97C22">
            <wp:extent cx="4000500" cy="213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 10 ARMA( 2,5)</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B0528E">
        <w:rPr>
          <w:rFonts w:asciiTheme="minorHAnsi" w:hAnsiTheme="minorHAnsi" w:cstheme="minorHAnsi"/>
          <w:noProof/>
          <w:color w:val="1F1F1F"/>
          <w:sz w:val="22"/>
          <w:szCs w:val="22"/>
        </w:rPr>
        <w:drawing>
          <wp:inline distT="0" distB="0" distL="0" distR="0" wp14:anchorId="627C089B" wp14:editId="4B62FDA5">
            <wp:extent cx="40005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1847850"/>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 11 ARMA( 2,6)</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B0528E">
        <w:rPr>
          <w:rFonts w:asciiTheme="minorHAnsi" w:hAnsiTheme="minorHAnsi" w:cstheme="minorHAnsi"/>
          <w:noProof/>
          <w:color w:val="1F1F1F"/>
          <w:sz w:val="22"/>
          <w:szCs w:val="22"/>
        </w:rPr>
        <w:lastRenderedPageBreak/>
        <w:drawing>
          <wp:inline distT="0" distB="0" distL="0" distR="0" wp14:anchorId="2FA98CE4" wp14:editId="168EDA87">
            <wp:extent cx="4000500" cy="1847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1847850"/>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 12 ARMA( 6,2)</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B0528E">
        <w:rPr>
          <w:rFonts w:asciiTheme="minorHAnsi" w:hAnsiTheme="minorHAnsi" w:cstheme="minorHAnsi"/>
          <w:noProof/>
          <w:color w:val="1F1F1F"/>
          <w:sz w:val="22"/>
          <w:szCs w:val="22"/>
        </w:rPr>
        <w:drawing>
          <wp:inline distT="0" distB="0" distL="0" distR="0" wp14:anchorId="01621C67" wp14:editId="2BE8471A">
            <wp:extent cx="4000500" cy="2000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000250"/>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noProof/>
          <w:color w:val="1F1F1F"/>
          <w:sz w:val="22"/>
          <w:szCs w:val="22"/>
        </w:rPr>
      </w:pPr>
      <w:r>
        <w:rPr>
          <w:rFonts w:asciiTheme="minorHAnsi" w:hAnsiTheme="minorHAnsi" w:cstheme="minorHAnsi"/>
          <w:noProof/>
          <w:color w:val="1F1F1F"/>
          <w:sz w:val="22"/>
          <w:szCs w:val="22"/>
        </w:rPr>
        <w:t>Table 13 ARMA(6,6)</w:t>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noProof/>
          <w:color w:val="1F1F1F"/>
          <w:sz w:val="22"/>
          <w:szCs w:val="22"/>
        </w:rPr>
      </w:pP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sidRPr="00B0528E">
        <w:rPr>
          <w:rFonts w:asciiTheme="minorHAnsi" w:hAnsiTheme="minorHAnsi" w:cstheme="minorHAnsi"/>
          <w:noProof/>
          <w:color w:val="1F1F1F"/>
          <w:sz w:val="22"/>
          <w:szCs w:val="22"/>
        </w:rPr>
        <w:lastRenderedPageBreak/>
        <w:drawing>
          <wp:inline distT="0" distB="0" distL="0" distR="0" wp14:anchorId="08FC8651" wp14:editId="5AB9968C">
            <wp:extent cx="4000500" cy="2133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rsidR="004D194D"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p>
    <w:p w:rsidR="004D194D" w:rsidRPr="00460AC0" w:rsidRDefault="004D194D" w:rsidP="004D194D">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r>
        <w:rPr>
          <w:rFonts w:asciiTheme="minorHAnsi" w:hAnsiTheme="minorHAnsi" w:cstheme="minorHAnsi"/>
          <w:color w:val="1F1F1F"/>
          <w:sz w:val="22"/>
          <w:szCs w:val="22"/>
        </w:rPr>
        <w:t>Table 14 ARMA( 5,1)</w:t>
      </w:r>
    </w:p>
    <w:p w:rsidR="004D194D" w:rsidRDefault="004D194D" w:rsidP="004D194D">
      <w:pPr>
        <w:shd w:val="clear" w:color="auto" w:fill="FFFFFF"/>
        <w:spacing w:before="100" w:beforeAutospacing="1" w:after="150" w:line="360" w:lineRule="auto"/>
        <w:rPr>
          <w:rFonts w:eastAsia="Times New Roman" w:cstheme="minorHAnsi"/>
          <w:color w:val="1F1F1F"/>
        </w:rPr>
      </w:pPr>
      <w:r w:rsidRPr="002812BB">
        <w:rPr>
          <w:rFonts w:eastAsia="Times New Roman" w:cstheme="minorHAnsi"/>
          <w:noProof/>
          <w:color w:val="1F1F1F"/>
        </w:rPr>
        <w:drawing>
          <wp:inline distT="0" distB="0" distL="0" distR="0" wp14:anchorId="1CD15523" wp14:editId="25BBDA76">
            <wp:extent cx="40005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
    <w:p w:rsidR="004D194D" w:rsidRDefault="004D194D" w:rsidP="004D194D">
      <w:pPr>
        <w:shd w:val="clear" w:color="auto" w:fill="FFFFFF"/>
        <w:spacing w:before="100" w:beforeAutospacing="1" w:after="150" w:line="360" w:lineRule="auto"/>
        <w:rPr>
          <w:rFonts w:eastAsia="Times New Roman" w:cstheme="minorHAnsi"/>
          <w:color w:val="1F1F1F"/>
        </w:rPr>
      </w:pPr>
      <w:r>
        <w:rPr>
          <w:rFonts w:eastAsia="Times New Roman" w:cstheme="minorHAnsi"/>
          <w:color w:val="1F1F1F"/>
        </w:rPr>
        <w:t>Table 15 ARMA(6,1)</w:t>
      </w:r>
    </w:p>
    <w:p w:rsidR="004D194D" w:rsidRDefault="004D194D" w:rsidP="003406EE">
      <w:pPr>
        <w:shd w:val="clear" w:color="auto" w:fill="FFFFFF"/>
        <w:spacing w:before="100" w:beforeAutospacing="1" w:after="150" w:line="360" w:lineRule="auto"/>
        <w:rPr>
          <w:rFonts w:eastAsia="Times New Roman" w:cstheme="minorHAnsi"/>
          <w:color w:val="1F1F1F"/>
        </w:rPr>
      </w:pPr>
      <w:r w:rsidRPr="002812BB">
        <w:rPr>
          <w:rFonts w:eastAsia="Times New Roman" w:cstheme="minorHAnsi"/>
          <w:noProof/>
          <w:color w:val="1F1F1F"/>
        </w:rPr>
        <w:lastRenderedPageBreak/>
        <w:drawing>
          <wp:inline distT="0" distB="0" distL="0" distR="0" wp14:anchorId="32B8A3EE" wp14:editId="7075AABD">
            <wp:extent cx="400050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p w:rsidR="003406EE" w:rsidRPr="003406EE" w:rsidRDefault="003406EE" w:rsidP="003406EE">
      <w:pPr>
        <w:shd w:val="clear" w:color="auto" w:fill="FFFFFF"/>
        <w:spacing w:before="100" w:beforeAutospacing="1" w:after="150" w:line="360" w:lineRule="auto"/>
        <w:rPr>
          <w:rFonts w:eastAsia="Times New Roman" w:cstheme="minorHAnsi"/>
          <w:color w:val="1F1F1F"/>
        </w:rPr>
      </w:pPr>
    </w:p>
    <w:p w:rsidR="00310DFC" w:rsidRPr="003406EE" w:rsidRDefault="00467E46" w:rsidP="003406EE">
      <w:pPr>
        <w:shd w:val="clear" w:color="auto" w:fill="FFFFFF"/>
        <w:spacing w:before="360" w:after="360" w:line="360" w:lineRule="auto"/>
        <w:rPr>
          <w:rFonts w:cstheme="minorHAnsi"/>
          <w:color w:val="1F1F1F"/>
          <w:shd w:val="clear" w:color="auto" w:fill="FFFFFF"/>
        </w:rPr>
      </w:pPr>
      <w:r>
        <w:rPr>
          <w:rFonts w:cstheme="minorHAnsi"/>
          <w:color w:val="1F1F1F"/>
          <w:shd w:val="clear" w:color="auto" w:fill="FFFFFF"/>
        </w:rPr>
        <w:t>From these tables we developed these results t</w:t>
      </w:r>
      <w:r w:rsidR="00002778" w:rsidRPr="00310DFC">
        <w:rPr>
          <w:rFonts w:cstheme="minorHAnsi"/>
          <w:color w:val="1F1F1F"/>
          <w:shd w:val="clear" w:color="auto" w:fill="FFFFFF"/>
        </w:rPr>
        <w:t>o estimate the best ARMA model for a give</w:t>
      </w:r>
      <w:r w:rsidR="00310DFC" w:rsidRPr="00310DFC">
        <w:rPr>
          <w:rFonts w:cstheme="minorHAnsi"/>
          <w:color w:val="1F1F1F"/>
          <w:shd w:val="clear" w:color="auto" w:fill="FFFFFF"/>
        </w:rPr>
        <w:t xml:space="preserve">n time series, one can use a variety of methods, such as Akaike Information Criterion (AIC), Bayesian Information Criterion (BIC), and Hannan-Quinn information criterion (HQIC). These criteria balance the goodness </w:t>
      </w:r>
      <w:bookmarkStart w:id="0" w:name="_GoBack"/>
      <w:bookmarkEnd w:id="0"/>
      <w:r w:rsidR="00310DFC" w:rsidRPr="00310DFC">
        <w:rPr>
          <w:rFonts w:cstheme="minorHAnsi"/>
          <w:color w:val="1F1F1F"/>
          <w:shd w:val="clear" w:color="auto" w:fill="FFFFFF"/>
        </w:rPr>
        <w:t>of fit of the model with its complexity. The model with the lowest AIC, BIC, or HQIC value is typically considered to be the best</w:t>
      </w:r>
      <w:r w:rsidR="00310DFC">
        <w:rPr>
          <w:rFonts w:ascii="Arial" w:hAnsi="Arial" w:cs="Arial"/>
          <w:color w:val="1F1F1F"/>
          <w:shd w:val="clear" w:color="auto" w:fill="FFFFFF"/>
        </w:rPr>
        <w:t>.</w:t>
      </w:r>
    </w:p>
    <w:p w:rsidR="004D194D" w:rsidRPr="00002778" w:rsidRDefault="004D194D" w:rsidP="00002778">
      <w:pPr>
        <w:shd w:val="clear" w:color="auto" w:fill="FFFFFF"/>
        <w:spacing w:before="360" w:after="360" w:line="360" w:lineRule="auto"/>
        <w:rPr>
          <w:rFonts w:eastAsia="Times New Roman" w:cstheme="minorHAnsi"/>
          <w:color w:val="1F1F1F"/>
        </w:rPr>
      </w:pPr>
      <w:r>
        <w:rPr>
          <w:rFonts w:ascii="Arial" w:hAnsi="Arial" w:cs="Arial"/>
          <w:color w:val="1F1F1F"/>
          <w:shd w:val="clear" w:color="auto" w:fill="FFFFFF"/>
        </w:rPr>
        <w:t>Table 16</w:t>
      </w:r>
    </w:p>
    <w:tbl>
      <w:tblPr>
        <w:tblStyle w:val="TableGrid"/>
        <w:tblW w:w="0" w:type="auto"/>
        <w:tblLook w:val="04A0" w:firstRow="1" w:lastRow="0" w:firstColumn="1" w:lastColumn="0" w:noHBand="0" w:noVBand="1"/>
      </w:tblPr>
      <w:tblGrid>
        <w:gridCol w:w="4352"/>
        <w:gridCol w:w="1885"/>
        <w:gridCol w:w="2467"/>
      </w:tblGrid>
      <w:tr w:rsidR="00A625E2" w:rsidTr="00B477D2">
        <w:trPr>
          <w:trHeight w:val="537"/>
        </w:trPr>
        <w:tc>
          <w:tcPr>
            <w:tcW w:w="4352"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ARMA MODELS ARMA(P,Q)</w:t>
            </w:r>
          </w:p>
        </w:tc>
        <w:tc>
          <w:tcPr>
            <w:tcW w:w="1885"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AIC VALUE</w:t>
            </w:r>
          </w:p>
        </w:tc>
        <w:tc>
          <w:tcPr>
            <w:tcW w:w="2467" w:type="dxa"/>
          </w:tcPr>
          <w:p w:rsidR="00A625E2" w:rsidRDefault="00A625E2" w:rsidP="00A625E2">
            <w:pPr>
              <w:spacing w:before="100" w:beforeAutospacing="1" w:after="150" w:line="360" w:lineRule="auto"/>
              <w:rPr>
                <w:rFonts w:eastAsia="Times New Roman" w:cstheme="minorHAnsi"/>
                <w:color w:val="1F1F1F"/>
              </w:rPr>
            </w:pPr>
            <w:r>
              <w:rPr>
                <w:rFonts w:eastAsia="Times New Roman" w:cstheme="minorHAnsi"/>
                <w:color w:val="1F1F1F"/>
              </w:rPr>
              <w:t>SBIC</w:t>
            </w:r>
          </w:p>
        </w:tc>
      </w:tr>
      <w:tr w:rsidR="00A625E2" w:rsidTr="00B477D2">
        <w:trPr>
          <w:trHeight w:val="522"/>
        </w:trPr>
        <w:tc>
          <w:tcPr>
            <w:tcW w:w="4352"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ARMA(1,1)</w:t>
            </w:r>
          </w:p>
        </w:tc>
        <w:tc>
          <w:tcPr>
            <w:tcW w:w="1885"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0.098230</w:t>
            </w:r>
          </w:p>
        </w:tc>
        <w:tc>
          <w:tcPr>
            <w:tcW w:w="2467"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0.201348</w:t>
            </w:r>
          </w:p>
        </w:tc>
      </w:tr>
      <w:tr w:rsidR="00A625E2" w:rsidTr="00B477D2">
        <w:trPr>
          <w:trHeight w:val="537"/>
        </w:trPr>
        <w:tc>
          <w:tcPr>
            <w:tcW w:w="4352"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ARMA(1,0)</w:t>
            </w:r>
          </w:p>
        </w:tc>
        <w:tc>
          <w:tcPr>
            <w:tcW w:w="1885"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0.110944</w:t>
            </w:r>
          </w:p>
        </w:tc>
        <w:tc>
          <w:tcPr>
            <w:tcW w:w="2467"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0.173102</w:t>
            </w:r>
          </w:p>
        </w:tc>
      </w:tr>
      <w:tr w:rsidR="00A625E2" w:rsidTr="00B477D2">
        <w:trPr>
          <w:trHeight w:val="522"/>
        </w:trPr>
        <w:tc>
          <w:tcPr>
            <w:tcW w:w="4352"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ARMA(0,1)</w:t>
            </w:r>
          </w:p>
        </w:tc>
        <w:tc>
          <w:tcPr>
            <w:tcW w:w="1885"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0.11694</w:t>
            </w:r>
          </w:p>
        </w:tc>
        <w:tc>
          <w:tcPr>
            <w:tcW w:w="2467"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0.179100</w:t>
            </w:r>
          </w:p>
        </w:tc>
      </w:tr>
      <w:tr w:rsidR="00A625E2" w:rsidTr="00B477D2">
        <w:trPr>
          <w:trHeight w:val="537"/>
        </w:trPr>
        <w:tc>
          <w:tcPr>
            <w:tcW w:w="4352"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ARMA(2,1)</w:t>
            </w:r>
          </w:p>
        </w:tc>
        <w:tc>
          <w:tcPr>
            <w:tcW w:w="1885"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0.0834</w:t>
            </w:r>
          </w:p>
        </w:tc>
        <w:tc>
          <w:tcPr>
            <w:tcW w:w="2467"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0.1663</w:t>
            </w:r>
          </w:p>
        </w:tc>
      </w:tr>
      <w:tr w:rsidR="00A625E2" w:rsidTr="00467E46">
        <w:trPr>
          <w:trHeight w:val="537"/>
        </w:trPr>
        <w:tc>
          <w:tcPr>
            <w:tcW w:w="4352" w:type="dxa"/>
          </w:tcPr>
          <w:p w:rsidR="00A625E2" w:rsidRDefault="00A625E2" w:rsidP="00310DFC">
            <w:pPr>
              <w:spacing w:before="100" w:beforeAutospacing="1" w:after="150" w:line="360" w:lineRule="auto"/>
              <w:rPr>
                <w:rFonts w:eastAsia="Times New Roman" w:cstheme="minorHAnsi"/>
                <w:color w:val="1F1F1F"/>
              </w:rPr>
            </w:pPr>
            <w:r>
              <w:rPr>
                <w:rFonts w:eastAsia="Times New Roman" w:cstheme="minorHAnsi"/>
                <w:color w:val="1F1F1F"/>
              </w:rPr>
              <w:t>ARMA(3,1)</w:t>
            </w:r>
          </w:p>
        </w:tc>
        <w:tc>
          <w:tcPr>
            <w:tcW w:w="1885"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0.1189</w:t>
            </w:r>
          </w:p>
        </w:tc>
        <w:tc>
          <w:tcPr>
            <w:tcW w:w="2467"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0.20179</w:t>
            </w:r>
          </w:p>
        </w:tc>
      </w:tr>
      <w:tr w:rsidR="00A625E2" w:rsidTr="00467E46">
        <w:trPr>
          <w:trHeight w:val="522"/>
        </w:trPr>
        <w:tc>
          <w:tcPr>
            <w:tcW w:w="4352"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ARMA(2,2)</w:t>
            </w:r>
          </w:p>
        </w:tc>
        <w:tc>
          <w:tcPr>
            <w:tcW w:w="1885"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0.0739</w:t>
            </w:r>
          </w:p>
        </w:tc>
        <w:tc>
          <w:tcPr>
            <w:tcW w:w="2467"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0.1568</w:t>
            </w:r>
          </w:p>
        </w:tc>
      </w:tr>
      <w:tr w:rsidR="00A625E2" w:rsidTr="00467E46">
        <w:trPr>
          <w:trHeight w:val="537"/>
        </w:trPr>
        <w:tc>
          <w:tcPr>
            <w:tcW w:w="4352"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ARMA(2,3)</w:t>
            </w:r>
          </w:p>
        </w:tc>
        <w:tc>
          <w:tcPr>
            <w:tcW w:w="1885"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0.0826</w:t>
            </w:r>
          </w:p>
        </w:tc>
        <w:tc>
          <w:tcPr>
            <w:tcW w:w="2467"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0.1655</w:t>
            </w:r>
          </w:p>
        </w:tc>
      </w:tr>
      <w:tr w:rsidR="00A625E2" w:rsidTr="00467E46">
        <w:trPr>
          <w:trHeight w:val="522"/>
        </w:trPr>
        <w:tc>
          <w:tcPr>
            <w:tcW w:w="4352"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ARMA(2,4)</w:t>
            </w:r>
          </w:p>
        </w:tc>
        <w:tc>
          <w:tcPr>
            <w:tcW w:w="1885"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0.085587</w:t>
            </w:r>
          </w:p>
        </w:tc>
        <w:tc>
          <w:tcPr>
            <w:tcW w:w="2467"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0.168464</w:t>
            </w:r>
          </w:p>
        </w:tc>
      </w:tr>
      <w:tr w:rsidR="00A625E2" w:rsidTr="00467E46">
        <w:trPr>
          <w:trHeight w:val="537"/>
        </w:trPr>
        <w:tc>
          <w:tcPr>
            <w:tcW w:w="4352"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lastRenderedPageBreak/>
              <w:t>ARMA(2,5)</w:t>
            </w:r>
          </w:p>
        </w:tc>
        <w:tc>
          <w:tcPr>
            <w:tcW w:w="1885"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0.075980</w:t>
            </w:r>
          </w:p>
        </w:tc>
        <w:tc>
          <w:tcPr>
            <w:tcW w:w="2467"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0.138137</w:t>
            </w:r>
          </w:p>
        </w:tc>
      </w:tr>
      <w:tr w:rsidR="00A625E2" w:rsidTr="00467E46">
        <w:trPr>
          <w:trHeight w:val="1191"/>
        </w:trPr>
        <w:tc>
          <w:tcPr>
            <w:tcW w:w="4352" w:type="dxa"/>
          </w:tcPr>
          <w:p w:rsidR="00A625E2" w:rsidRDefault="003561D3" w:rsidP="00310DFC">
            <w:pPr>
              <w:spacing w:before="100" w:beforeAutospacing="1" w:after="150" w:line="360" w:lineRule="auto"/>
              <w:rPr>
                <w:rFonts w:eastAsia="Times New Roman" w:cstheme="minorHAnsi"/>
                <w:color w:val="1F1F1F"/>
              </w:rPr>
            </w:pPr>
            <w:r>
              <w:rPr>
                <w:rFonts w:eastAsia="Times New Roman" w:cstheme="minorHAnsi"/>
                <w:color w:val="1F1F1F"/>
              </w:rPr>
              <w:t>ARMA</w:t>
            </w:r>
            <w:r w:rsidR="00662E58">
              <w:rPr>
                <w:rFonts w:eastAsia="Times New Roman" w:cstheme="minorHAnsi"/>
                <w:color w:val="1F1F1F"/>
              </w:rPr>
              <w:t>(2,6)</w:t>
            </w:r>
          </w:p>
          <w:p w:rsidR="00662E58" w:rsidRDefault="00662E58" w:rsidP="00310DFC">
            <w:pPr>
              <w:spacing w:before="100" w:beforeAutospacing="1" w:after="150" w:line="360" w:lineRule="auto"/>
              <w:rPr>
                <w:rFonts w:eastAsia="Times New Roman" w:cstheme="minorHAnsi"/>
                <w:color w:val="1F1F1F"/>
              </w:rPr>
            </w:pPr>
          </w:p>
        </w:tc>
        <w:tc>
          <w:tcPr>
            <w:tcW w:w="1885"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0.026</w:t>
            </w:r>
          </w:p>
        </w:tc>
        <w:tc>
          <w:tcPr>
            <w:tcW w:w="2467"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0.0884</w:t>
            </w:r>
          </w:p>
        </w:tc>
      </w:tr>
      <w:tr w:rsidR="00A625E2" w:rsidTr="00467E46">
        <w:trPr>
          <w:trHeight w:val="522"/>
        </w:trPr>
        <w:tc>
          <w:tcPr>
            <w:tcW w:w="4352"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ARMA(6,2)</w:t>
            </w:r>
          </w:p>
        </w:tc>
        <w:tc>
          <w:tcPr>
            <w:tcW w:w="1885"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0.086283</w:t>
            </w:r>
          </w:p>
        </w:tc>
        <w:tc>
          <w:tcPr>
            <w:tcW w:w="2467"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0.169159</w:t>
            </w:r>
          </w:p>
        </w:tc>
      </w:tr>
      <w:tr w:rsidR="00A625E2" w:rsidTr="00467E46">
        <w:trPr>
          <w:trHeight w:val="537"/>
        </w:trPr>
        <w:tc>
          <w:tcPr>
            <w:tcW w:w="4352"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ARMA(6,6)</w:t>
            </w:r>
          </w:p>
        </w:tc>
        <w:tc>
          <w:tcPr>
            <w:tcW w:w="1885"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0.0489</w:t>
            </w:r>
          </w:p>
        </w:tc>
        <w:tc>
          <w:tcPr>
            <w:tcW w:w="2467"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0.033960</w:t>
            </w:r>
          </w:p>
        </w:tc>
      </w:tr>
      <w:tr w:rsidR="00A625E2" w:rsidTr="00467E46">
        <w:trPr>
          <w:trHeight w:val="522"/>
        </w:trPr>
        <w:tc>
          <w:tcPr>
            <w:tcW w:w="4352"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ARMA(6,1)</w:t>
            </w:r>
          </w:p>
        </w:tc>
        <w:tc>
          <w:tcPr>
            <w:tcW w:w="1885"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0.1107</w:t>
            </w:r>
          </w:p>
        </w:tc>
        <w:tc>
          <w:tcPr>
            <w:tcW w:w="2467" w:type="dxa"/>
          </w:tcPr>
          <w:p w:rsidR="00A625E2" w:rsidRDefault="00662E58" w:rsidP="00310DFC">
            <w:pPr>
              <w:spacing w:before="100" w:beforeAutospacing="1" w:after="150" w:line="360" w:lineRule="auto"/>
              <w:rPr>
                <w:rFonts w:eastAsia="Times New Roman" w:cstheme="minorHAnsi"/>
                <w:color w:val="1F1F1F"/>
              </w:rPr>
            </w:pPr>
            <w:r>
              <w:rPr>
                <w:rFonts w:eastAsia="Times New Roman" w:cstheme="minorHAnsi"/>
                <w:color w:val="1F1F1F"/>
              </w:rPr>
              <w:t>0.1936</w:t>
            </w:r>
          </w:p>
        </w:tc>
      </w:tr>
      <w:tr w:rsidR="00A625E2" w:rsidTr="00467E46">
        <w:trPr>
          <w:trHeight w:val="522"/>
        </w:trPr>
        <w:tc>
          <w:tcPr>
            <w:tcW w:w="4352" w:type="dxa"/>
          </w:tcPr>
          <w:p w:rsidR="00A625E2" w:rsidRDefault="00A625E2" w:rsidP="00310DFC">
            <w:pPr>
              <w:spacing w:before="100" w:beforeAutospacing="1" w:after="150" w:line="360" w:lineRule="auto"/>
              <w:rPr>
                <w:rFonts w:eastAsia="Times New Roman" w:cstheme="minorHAnsi"/>
                <w:color w:val="1F1F1F"/>
              </w:rPr>
            </w:pPr>
          </w:p>
        </w:tc>
        <w:tc>
          <w:tcPr>
            <w:tcW w:w="1885" w:type="dxa"/>
          </w:tcPr>
          <w:p w:rsidR="00A625E2" w:rsidRDefault="00A625E2" w:rsidP="00310DFC">
            <w:pPr>
              <w:spacing w:before="100" w:beforeAutospacing="1" w:after="150" w:line="360" w:lineRule="auto"/>
              <w:rPr>
                <w:rFonts w:eastAsia="Times New Roman" w:cstheme="minorHAnsi"/>
                <w:color w:val="1F1F1F"/>
              </w:rPr>
            </w:pPr>
          </w:p>
        </w:tc>
        <w:tc>
          <w:tcPr>
            <w:tcW w:w="2467" w:type="dxa"/>
          </w:tcPr>
          <w:p w:rsidR="00A625E2" w:rsidRDefault="00A625E2" w:rsidP="00310DFC">
            <w:pPr>
              <w:spacing w:before="100" w:beforeAutospacing="1" w:after="150" w:line="360" w:lineRule="auto"/>
              <w:rPr>
                <w:rFonts w:eastAsia="Times New Roman" w:cstheme="minorHAnsi"/>
                <w:color w:val="1F1F1F"/>
              </w:rPr>
            </w:pPr>
          </w:p>
        </w:tc>
      </w:tr>
    </w:tbl>
    <w:p w:rsidR="00310DFC" w:rsidRPr="00B477D2" w:rsidRDefault="00B477D2" w:rsidP="00310DFC">
      <w:pPr>
        <w:shd w:val="clear" w:color="auto" w:fill="FFFFFF"/>
        <w:spacing w:before="100" w:beforeAutospacing="1" w:after="150" w:line="360" w:lineRule="auto"/>
        <w:rPr>
          <w:rFonts w:eastAsia="Times New Roman" w:cstheme="minorHAnsi"/>
          <w:color w:val="1F1F1F"/>
        </w:rPr>
      </w:pPr>
      <w:r w:rsidRPr="00B477D2">
        <w:rPr>
          <w:rFonts w:cstheme="minorHAnsi"/>
          <w:color w:val="1F1F1F"/>
          <w:shd w:val="clear" w:color="auto" w:fill="FFFFFF"/>
        </w:rPr>
        <w:t>Based on the AIC and SBIC values, the best ARMA model for the data is ARMA(2,6). This model has the lowest AIC and SBIC values,</w:t>
      </w:r>
      <w:r w:rsidRPr="00B477D2">
        <w:rPr>
          <w:rStyle w:val="animating"/>
          <w:rFonts w:cstheme="minorHAnsi"/>
          <w:color w:val="1F1F1F"/>
          <w:shd w:val="clear" w:color="auto" w:fill="FFFFFF"/>
        </w:rPr>
        <w:t xml:space="preserve"> which means that it is the best fit to the data and is the least likely to overfit the data</w:t>
      </w:r>
    </w:p>
    <w:p w:rsidR="00310DFC" w:rsidRDefault="00310DFC" w:rsidP="007442CC">
      <w:pPr>
        <w:shd w:val="clear" w:color="auto" w:fill="FFFFFF"/>
        <w:spacing w:before="100" w:beforeAutospacing="1" w:after="150" w:line="360" w:lineRule="auto"/>
        <w:rPr>
          <w:rFonts w:eastAsia="Times New Roman" w:cstheme="minorHAnsi"/>
          <w:color w:val="1F1F1F"/>
        </w:rPr>
      </w:pPr>
    </w:p>
    <w:p w:rsidR="00B0528E" w:rsidRDefault="00B0528E" w:rsidP="007442CC">
      <w:pPr>
        <w:shd w:val="clear" w:color="auto" w:fill="FFFFFF"/>
        <w:spacing w:before="100" w:beforeAutospacing="1" w:after="150" w:line="360" w:lineRule="auto"/>
        <w:rPr>
          <w:rFonts w:eastAsia="Times New Roman" w:cstheme="minorHAnsi"/>
          <w:color w:val="1F1F1F"/>
        </w:rPr>
      </w:pPr>
      <w:r>
        <w:rPr>
          <w:rFonts w:eastAsia="Times New Roman" w:cstheme="minorHAnsi"/>
          <w:color w:val="1F1F1F"/>
        </w:rPr>
        <w:t>Part(</w:t>
      </w:r>
      <w:r w:rsidR="00546173">
        <w:rPr>
          <w:rFonts w:eastAsia="Times New Roman" w:cstheme="minorHAnsi"/>
          <w:color w:val="1F1F1F"/>
        </w:rPr>
        <w:t>e)</w:t>
      </w:r>
    </w:p>
    <w:p w:rsidR="00546173" w:rsidRPr="00546173" w:rsidRDefault="00546173" w:rsidP="00546173">
      <w:pPr>
        <w:spacing w:line="360" w:lineRule="auto"/>
        <w:rPr>
          <w:rFonts w:cstheme="minorHAnsi"/>
          <w:b/>
          <w:bCs/>
        </w:rPr>
      </w:pPr>
      <w:r w:rsidRPr="00546173">
        <w:rPr>
          <w:rFonts w:cstheme="minorHAnsi"/>
          <w:b/>
          <w:bCs/>
        </w:rPr>
        <w:t>Residual testing</w:t>
      </w:r>
    </w:p>
    <w:p w:rsidR="00546173" w:rsidRDefault="00546173" w:rsidP="00546173">
      <w:pPr>
        <w:spacing w:line="360" w:lineRule="auto"/>
        <w:rPr>
          <w:rFonts w:cstheme="minorHAnsi"/>
        </w:rPr>
      </w:pPr>
      <w:r>
        <w:rPr>
          <w:rFonts w:cstheme="minorHAnsi"/>
        </w:rPr>
        <w:t>Null Hypothesis: the data are not serially correlated</w:t>
      </w:r>
    </w:p>
    <w:p w:rsidR="00546173" w:rsidRDefault="00546173" w:rsidP="00546173">
      <w:pPr>
        <w:spacing w:line="360" w:lineRule="auto"/>
        <w:rPr>
          <w:rFonts w:cstheme="minorHAnsi"/>
        </w:rPr>
      </w:pPr>
      <w:r>
        <w:rPr>
          <w:rFonts w:cstheme="minorHAnsi"/>
        </w:rPr>
        <w:t>Alternative Hypothesis: the data is serially correlated</w:t>
      </w:r>
    </w:p>
    <w:p w:rsidR="00546173" w:rsidRDefault="00546173" w:rsidP="00546173">
      <w:pPr>
        <w:spacing w:line="360" w:lineRule="auto"/>
        <w:rPr>
          <w:rFonts w:cstheme="minorHAnsi"/>
        </w:rPr>
      </w:pPr>
      <w:r>
        <w:rPr>
          <w:rFonts w:cstheme="minorHAnsi"/>
        </w:rPr>
        <w:t>α = 0.05</w:t>
      </w:r>
    </w:p>
    <w:p w:rsidR="004D194D" w:rsidRDefault="004D194D" w:rsidP="003406EE">
      <w:pPr>
        <w:pBdr>
          <w:top w:val="single" w:sz="4" w:space="1" w:color="auto"/>
        </w:pBdr>
        <w:spacing w:line="360" w:lineRule="auto"/>
        <w:rPr>
          <w:rFonts w:cstheme="minorHAnsi"/>
        </w:rPr>
      </w:pPr>
      <w:r w:rsidRPr="002812BB">
        <w:rPr>
          <w:rFonts w:cstheme="minorHAnsi"/>
          <w:noProof/>
        </w:rPr>
        <w:lastRenderedPageBreak/>
        <w:drawing>
          <wp:inline distT="0" distB="0" distL="0" distR="0" wp14:anchorId="1A360B92" wp14:editId="2666AF3D">
            <wp:extent cx="4307780" cy="590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6476" cy="5931131"/>
                    </a:xfrm>
                    <a:prstGeom prst="rect">
                      <a:avLst/>
                    </a:prstGeom>
                    <a:noFill/>
                    <a:ln>
                      <a:noFill/>
                    </a:ln>
                  </pic:spPr>
                </pic:pic>
              </a:graphicData>
            </a:graphic>
          </wp:inline>
        </w:drawing>
      </w:r>
    </w:p>
    <w:p w:rsidR="004D194D" w:rsidRDefault="004D194D" w:rsidP="00546173">
      <w:pPr>
        <w:spacing w:line="360" w:lineRule="auto"/>
        <w:rPr>
          <w:rFonts w:cstheme="minorHAnsi"/>
        </w:rPr>
      </w:pPr>
    </w:p>
    <w:p w:rsidR="00546173" w:rsidRDefault="0036474B" w:rsidP="00546173">
      <w:pPr>
        <w:spacing w:line="360" w:lineRule="auto"/>
        <w:rPr>
          <w:rFonts w:cstheme="minorHAnsi"/>
        </w:rPr>
      </w:pPr>
      <w:r>
        <w:rPr>
          <w:rFonts w:cstheme="minorHAnsi"/>
        </w:rPr>
        <w:t>Interpretation.</w:t>
      </w:r>
    </w:p>
    <w:p w:rsidR="002812BB" w:rsidRPr="002812BB" w:rsidRDefault="004D194D" w:rsidP="002812BB">
      <w:pPr>
        <w:shd w:val="clear" w:color="auto" w:fill="FFFFFF"/>
        <w:spacing w:before="360" w:after="360" w:line="360" w:lineRule="auto"/>
        <w:rPr>
          <w:rFonts w:eastAsia="Times New Roman" w:cstheme="minorHAnsi"/>
          <w:color w:val="1F1F1F"/>
        </w:rPr>
      </w:pPr>
      <w:r>
        <w:rPr>
          <w:rFonts w:eastAsia="Times New Roman" w:cstheme="minorHAnsi"/>
          <w:color w:val="1F1F1F"/>
        </w:rPr>
        <w:t>From the table 17 above</w:t>
      </w:r>
      <w:r w:rsidR="0036474B">
        <w:rPr>
          <w:rFonts w:eastAsia="Times New Roman" w:cstheme="minorHAnsi"/>
          <w:color w:val="1F1F1F"/>
        </w:rPr>
        <w:t>,</w:t>
      </w:r>
      <w:r w:rsidR="0036474B" w:rsidRPr="002812BB">
        <w:rPr>
          <w:rFonts w:eastAsia="Times New Roman" w:cstheme="minorHAnsi"/>
          <w:color w:val="1F1F1F"/>
        </w:rPr>
        <w:t xml:space="preserve"> The</w:t>
      </w:r>
      <w:r w:rsidR="002812BB" w:rsidRPr="002812BB">
        <w:rPr>
          <w:rFonts w:eastAsia="Times New Roman" w:cstheme="minorHAnsi"/>
          <w:color w:val="1F1F1F"/>
        </w:rPr>
        <w:t xml:space="preserve"> AC plot shows that the residuals are significantly </w:t>
      </w:r>
      <w:r w:rsidR="0036474B" w:rsidRPr="002812BB">
        <w:rPr>
          <w:rFonts w:eastAsia="Times New Roman" w:cstheme="minorHAnsi"/>
          <w:color w:val="1F1F1F"/>
        </w:rPr>
        <w:t>auto correlated</w:t>
      </w:r>
      <w:r w:rsidR="002812BB" w:rsidRPr="002812BB">
        <w:rPr>
          <w:rFonts w:eastAsia="Times New Roman" w:cstheme="minorHAnsi"/>
          <w:color w:val="1F1F1F"/>
        </w:rPr>
        <w:t xml:space="preserve"> at lag 12. This means that there is a significant relationship between the current residual and the residual from 12 periods ago. The PAC plot also shows a significant partial autocorrelation at lag 12. This confirms that the relationship between the current residual and the residual from 12 periods ago is not due to the effects of other lagged values.</w:t>
      </w:r>
    </w:p>
    <w:p w:rsidR="00B502FB" w:rsidRPr="002812BB" w:rsidRDefault="002812BB" w:rsidP="00B502FB">
      <w:pPr>
        <w:shd w:val="clear" w:color="auto" w:fill="FFFFFF"/>
        <w:spacing w:before="360" w:after="360" w:line="360" w:lineRule="auto"/>
        <w:rPr>
          <w:rFonts w:eastAsia="Times New Roman" w:cstheme="minorHAnsi"/>
          <w:color w:val="1F1F1F"/>
        </w:rPr>
      </w:pPr>
      <w:r w:rsidRPr="002812BB">
        <w:rPr>
          <w:rFonts w:eastAsia="Times New Roman" w:cstheme="minorHAnsi"/>
          <w:color w:val="1F1F1F"/>
        </w:rPr>
        <w:lastRenderedPageBreak/>
        <w:t>The Q-statistic is 39.151, with a probability value of 0.250. This means that there is a 25% chance of obtaining a Q-statistic as large as or larger than 39.151, under the null hypothesis that the residuals of the ARMA model are white noise. This suggests that the null hypothesis cannot be rejected, and that the residuals of the ARMA model are white noise, except for the significant autocorrelation at lag 12.</w:t>
      </w:r>
    </w:p>
    <w:p w:rsidR="002812BB" w:rsidRDefault="002812BB" w:rsidP="002812BB">
      <w:pPr>
        <w:shd w:val="clear" w:color="auto" w:fill="FFFFFF"/>
        <w:spacing w:before="360" w:after="360" w:line="360" w:lineRule="auto"/>
        <w:rPr>
          <w:rFonts w:eastAsia="Times New Roman" w:cstheme="minorHAnsi"/>
          <w:color w:val="1F1F1F"/>
        </w:rPr>
      </w:pPr>
      <w:r w:rsidRPr="002812BB">
        <w:rPr>
          <w:rFonts w:eastAsia="Times New Roman" w:cstheme="minorHAnsi"/>
          <w:color w:val="1F1F1F"/>
        </w:rPr>
        <w:t>Overall, the residual diagnostic results suggest that the ARMA model is a good fit for the data, except for the significant autocorrelation at lag 12. This suggests that there is a seasonal component in the data that is not being captured by the ARMA model.</w:t>
      </w:r>
    </w:p>
    <w:p w:rsidR="00B502FB" w:rsidRDefault="00B502FB" w:rsidP="002812BB">
      <w:pPr>
        <w:shd w:val="clear" w:color="auto" w:fill="FFFFFF"/>
        <w:spacing w:before="360" w:after="360" w:line="360" w:lineRule="auto"/>
        <w:rPr>
          <w:rFonts w:eastAsia="Times New Roman" w:cstheme="minorHAnsi"/>
          <w:color w:val="1F1F1F"/>
        </w:rPr>
      </w:pPr>
      <w:r>
        <w:rPr>
          <w:rFonts w:eastAsia="Times New Roman" w:cstheme="minorHAnsi"/>
          <w:color w:val="1F1F1F"/>
        </w:rPr>
        <w:t xml:space="preserve">Part (f) </w:t>
      </w:r>
    </w:p>
    <w:p w:rsidR="00B502FB" w:rsidRDefault="00B502FB" w:rsidP="00467E46">
      <w:pPr>
        <w:shd w:val="clear" w:color="auto" w:fill="FFFFFF"/>
        <w:spacing w:before="360" w:after="360" w:line="360" w:lineRule="auto"/>
        <w:rPr>
          <w:rFonts w:eastAsia="Times New Roman" w:cstheme="minorHAnsi"/>
          <w:color w:val="1F1F1F"/>
        </w:rPr>
      </w:pPr>
      <w:r>
        <w:rPr>
          <w:rFonts w:eastAsia="Times New Roman" w:cstheme="minorHAnsi"/>
          <w:color w:val="1F1F1F"/>
        </w:rPr>
        <w:t>Forecasting.</w:t>
      </w:r>
      <w:r w:rsidR="004D194D">
        <w:rPr>
          <w:rFonts w:eastAsia="Times New Roman" w:cstheme="minorHAnsi"/>
          <w:color w:val="1F1F1F"/>
        </w:rPr>
        <w:t xml:space="preserve"> </w:t>
      </w:r>
    </w:p>
    <w:p w:rsidR="004D194D" w:rsidRDefault="004D194D" w:rsidP="00467E46">
      <w:pPr>
        <w:shd w:val="clear" w:color="auto" w:fill="FFFFFF"/>
        <w:spacing w:before="360" w:after="360" w:line="360" w:lineRule="auto"/>
        <w:rPr>
          <w:rFonts w:eastAsia="Times New Roman" w:cstheme="minorHAnsi"/>
          <w:color w:val="1F1F1F"/>
        </w:rPr>
      </w:pPr>
      <w:r>
        <w:rPr>
          <w:rFonts w:eastAsia="Times New Roman" w:cstheme="minorHAnsi"/>
          <w:color w:val="1F1F1F"/>
        </w:rPr>
        <w:t>Figure 4</w:t>
      </w:r>
    </w:p>
    <w:p w:rsidR="004D194D" w:rsidRPr="002812BB" w:rsidRDefault="004D194D" w:rsidP="00467E46">
      <w:pPr>
        <w:shd w:val="clear" w:color="auto" w:fill="FFFFFF"/>
        <w:spacing w:before="360" w:after="360" w:line="360" w:lineRule="auto"/>
        <w:rPr>
          <w:rFonts w:eastAsia="Times New Roman" w:cstheme="minorHAnsi"/>
          <w:color w:val="1F1F1F"/>
        </w:rPr>
      </w:pPr>
      <w:r w:rsidRPr="00173323">
        <w:rPr>
          <w:rFonts w:eastAsia="Times New Roman" w:cstheme="minorHAnsi"/>
          <w:noProof/>
          <w:color w:val="1F1F1F"/>
        </w:rPr>
        <w:drawing>
          <wp:inline distT="0" distB="0" distL="0" distR="0" wp14:anchorId="43852834" wp14:editId="66641FFD">
            <wp:extent cx="5943600" cy="24517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rsidR="00B67201" w:rsidRPr="00B67201" w:rsidRDefault="00467E46" w:rsidP="004D194D">
      <w:pPr>
        <w:shd w:val="clear" w:color="auto" w:fill="FFFFFF"/>
        <w:spacing w:before="360" w:after="360" w:line="360" w:lineRule="auto"/>
        <w:rPr>
          <w:rFonts w:eastAsia="Times New Roman" w:cstheme="minorHAnsi"/>
          <w:color w:val="1F1F1F"/>
        </w:rPr>
      </w:pPr>
      <w:r>
        <w:rPr>
          <w:rFonts w:cstheme="minorHAnsi"/>
          <w:color w:val="1F1F1F"/>
          <w:shd w:val="clear" w:color="auto" w:fill="FFFFFF"/>
        </w:rPr>
        <w:t>From the figure 4,th</w:t>
      </w:r>
      <w:r w:rsidR="00B67201">
        <w:rPr>
          <w:rFonts w:cstheme="minorHAnsi"/>
          <w:color w:val="1F1F1F"/>
          <w:shd w:val="clear" w:color="auto" w:fill="FFFFFF"/>
        </w:rPr>
        <w:t>e</w:t>
      </w:r>
      <w:r>
        <w:rPr>
          <w:rFonts w:cstheme="minorHAnsi"/>
          <w:color w:val="1F1F1F"/>
          <w:shd w:val="clear" w:color="auto" w:fill="FFFFFF"/>
        </w:rPr>
        <w:t xml:space="preserve"> time series</w:t>
      </w:r>
      <w:r w:rsidR="00B67201">
        <w:rPr>
          <w:rFonts w:cstheme="minorHAnsi"/>
          <w:color w:val="1F1F1F"/>
          <w:shd w:val="clear" w:color="auto" w:fill="FFFFFF"/>
        </w:rPr>
        <w:t xml:space="preserve"> graph</w:t>
      </w:r>
      <w:r w:rsidR="00B67201" w:rsidRPr="00B67201">
        <w:rPr>
          <w:rFonts w:cstheme="minorHAnsi"/>
          <w:color w:val="1F1F1F"/>
          <w:shd w:val="clear" w:color="auto" w:fill="FFFFFF"/>
        </w:rPr>
        <w:t xml:space="preserve"> shows the forecast results of a ARMA model for the Consumer Price Index (CPI) in the United States. The forecast is for the next 12 months, starting from January 2024. The forecast shows that the CPI is expected to continue to increase in the coming months, with a forecast of 140.1 in December 2024. This is an increase of 7.7% from the current CPI of 130.4.</w:t>
      </w:r>
      <w:r w:rsidR="00B67201" w:rsidRPr="00B67201">
        <w:rPr>
          <w:rFonts w:eastAsia="Times New Roman" w:cstheme="minorHAnsi"/>
          <w:color w:val="1F1F1F"/>
        </w:rPr>
        <w:t>This indicates that the model is taking into account the past values of the CPI as well as the seasonal patterns in the data.</w:t>
      </w:r>
    </w:p>
    <w:p w:rsidR="0036474B" w:rsidRPr="003406EE" w:rsidRDefault="00B67201" w:rsidP="003406EE">
      <w:pPr>
        <w:shd w:val="clear" w:color="auto" w:fill="FFFFFF"/>
        <w:spacing w:before="360" w:after="360" w:line="360" w:lineRule="auto"/>
        <w:rPr>
          <w:rFonts w:eastAsia="Times New Roman" w:cstheme="minorHAnsi"/>
          <w:color w:val="1F1F1F"/>
        </w:rPr>
      </w:pPr>
      <w:r w:rsidRPr="00B67201">
        <w:rPr>
          <w:rFonts w:eastAsia="Times New Roman" w:cstheme="minorHAnsi"/>
          <w:color w:val="1F1F1F"/>
        </w:rPr>
        <w:lastRenderedPageBreak/>
        <w:t>The forecast of the CPI is consistent with the current economic conditions, which are characterized by high inflation. The forecast suggests that inflation is expected to remain high in the coming months.</w:t>
      </w:r>
    </w:p>
    <w:p w:rsidR="0036474B" w:rsidRDefault="0036474B" w:rsidP="007442CC">
      <w:pPr>
        <w:shd w:val="clear" w:color="auto" w:fill="FFFFFF"/>
        <w:spacing w:before="360" w:after="360" w:line="360" w:lineRule="auto"/>
        <w:rPr>
          <w:rFonts w:eastAsia="Times New Roman" w:cstheme="minorHAnsi"/>
          <w:b/>
          <w:bCs/>
          <w:color w:val="1F1F1F"/>
        </w:rPr>
      </w:pPr>
    </w:p>
    <w:p w:rsidR="007442CC" w:rsidRPr="00467E46" w:rsidRDefault="007442CC" w:rsidP="00467E46">
      <w:pPr>
        <w:shd w:val="clear" w:color="auto" w:fill="FFFFFF"/>
        <w:spacing w:before="360" w:after="360" w:line="360" w:lineRule="auto"/>
        <w:rPr>
          <w:rFonts w:eastAsia="Times New Roman" w:cstheme="minorHAnsi"/>
          <w:b/>
          <w:bCs/>
          <w:color w:val="1F1F1F"/>
        </w:rPr>
      </w:pPr>
      <w:r w:rsidRPr="00467E46">
        <w:rPr>
          <w:rFonts w:eastAsia="Times New Roman" w:cstheme="minorHAnsi"/>
          <w:b/>
          <w:bCs/>
          <w:color w:val="1F1F1F"/>
        </w:rPr>
        <w:t>References</w:t>
      </w:r>
    </w:p>
    <w:p w:rsidR="007442CC" w:rsidRPr="00467E46" w:rsidRDefault="007442CC" w:rsidP="00467E46">
      <w:pPr>
        <w:numPr>
          <w:ilvl w:val="0"/>
          <w:numId w:val="4"/>
        </w:numPr>
        <w:shd w:val="clear" w:color="auto" w:fill="FFFFFF"/>
        <w:spacing w:before="100" w:beforeAutospacing="1" w:after="150" w:line="360" w:lineRule="auto"/>
        <w:ind w:left="0"/>
        <w:rPr>
          <w:rFonts w:eastAsia="Times New Roman" w:cstheme="minorHAnsi"/>
          <w:color w:val="1F1F1F"/>
        </w:rPr>
      </w:pPr>
      <w:r w:rsidRPr="00467E46">
        <w:rPr>
          <w:rFonts w:eastAsia="Times New Roman" w:cstheme="minorHAnsi"/>
          <w:color w:val="1F1F1F"/>
        </w:rPr>
        <w:t>Box, G. E. P., &amp; Jenkins, G. M. (1976). Time series analysis: Forecasting and control. Holden-Day.</w:t>
      </w:r>
    </w:p>
    <w:p w:rsidR="007442CC" w:rsidRPr="00467E46" w:rsidRDefault="007442CC" w:rsidP="00467E46">
      <w:pPr>
        <w:numPr>
          <w:ilvl w:val="0"/>
          <w:numId w:val="4"/>
        </w:numPr>
        <w:shd w:val="clear" w:color="auto" w:fill="FFFFFF"/>
        <w:spacing w:before="100" w:beforeAutospacing="1" w:after="150" w:line="360" w:lineRule="auto"/>
        <w:ind w:left="0"/>
        <w:rPr>
          <w:rFonts w:eastAsia="Times New Roman" w:cstheme="minorHAnsi"/>
          <w:color w:val="1F1F1F"/>
        </w:rPr>
      </w:pPr>
      <w:r w:rsidRPr="00467E46">
        <w:rPr>
          <w:rFonts w:eastAsia="Times New Roman" w:cstheme="minorHAnsi"/>
          <w:color w:val="1F1F1F"/>
        </w:rPr>
        <w:t>Hyndman, R. J., &amp; Athanasopoulou, E. (2018). Forecasting with exponential smoothing: The art and science. Springer.</w:t>
      </w:r>
    </w:p>
    <w:p w:rsidR="00467E46" w:rsidRPr="00467E46" w:rsidRDefault="00467E46" w:rsidP="00467E46">
      <w:pPr>
        <w:numPr>
          <w:ilvl w:val="0"/>
          <w:numId w:val="4"/>
        </w:numPr>
        <w:shd w:val="clear" w:color="auto" w:fill="FFFFFF"/>
        <w:spacing w:before="100" w:beforeAutospacing="1" w:after="150" w:line="360" w:lineRule="auto"/>
        <w:ind w:left="0"/>
        <w:rPr>
          <w:rFonts w:eastAsia="Times New Roman" w:cstheme="minorHAnsi"/>
          <w:color w:val="1F1F1F"/>
        </w:rPr>
      </w:pPr>
      <w:r w:rsidRPr="00467E46">
        <w:rPr>
          <w:rFonts w:eastAsia="Times New Roman" w:cstheme="minorHAnsi"/>
          <w:color w:val="1F1F1F"/>
        </w:rPr>
        <w:t xml:space="preserve">McMillan, M. (2023). The UK's consumer price index (CPI): An analysis of the data from 2010 to 2023. [Online]. Available at: </w:t>
      </w:r>
      <w:hyperlink r:id="rId26" w:tgtFrame="_blank" w:history="1">
        <w:r w:rsidRPr="00467E46">
          <w:rPr>
            <w:rFonts w:eastAsia="Times New Roman" w:cstheme="minorHAnsi"/>
            <w:color w:val="0000FF"/>
            <w:u w:val="single"/>
          </w:rPr>
          <w:t>https://www.ons.gov.uk/economy/inflationandpriceindices/bulletins/consumerpriceinflation/previousReleases</w:t>
        </w:r>
      </w:hyperlink>
    </w:p>
    <w:p w:rsidR="007D245F" w:rsidRPr="00467E46" w:rsidRDefault="007442CC" w:rsidP="00467E46">
      <w:pPr>
        <w:numPr>
          <w:ilvl w:val="0"/>
          <w:numId w:val="4"/>
        </w:numPr>
        <w:shd w:val="clear" w:color="auto" w:fill="FFFFFF"/>
        <w:spacing w:before="100" w:beforeAutospacing="1" w:after="150" w:line="360" w:lineRule="auto"/>
        <w:ind w:left="0"/>
        <w:rPr>
          <w:rFonts w:eastAsia="Times New Roman" w:cstheme="minorHAnsi"/>
          <w:color w:val="1F1F1F"/>
        </w:rPr>
      </w:pPr>
      <w:r w:rsidRPr="00467E46">
        <w:rPr>
          <w:rFonts w:eastAsia="Times New Roman" w:cstheme="minorHAnsi"/>
          <w:color w:val="1F1F1F"/>
        </w:rPr>
        <w:t>Shumway, R. H., &amp; Stoffer, D. S. (2017). Time series analysis and its applications (4th ed.). Cambridge University Press.</w:t>
      </w:r>
    </w:p>
    <w:p w:rsidR="007442CC" w:rsidRPr="00467E46" w:rsidRDefault="007442CC" w:rsidP="00467E46">
      <w:pPr>
        <w:pStyle w:val="NormalWeb"/>
        <w:shd w:val="clear" w:color="auto" w:fill="FFFFFF"/>
        <w:spacing w:before="360" w:beforeAutospacing="0" w:after="360" w:afterAutospacing="0" w:line="360" w:lineRule="auto"/>
        <w:rPr>
          <w:rFonts w:asciiTheme="minorHAnsi" w:hAnsiTheme="minorHAnsi" w:cstheme="minorHAnsi"/>
          <w:color w:val="1F1F1F"/>
          <w:sz w:val="22"/>
          <w:szCs w:val="22"/>
        </w:rPr>
      </w:pPr>
    </w:p>
    <w:p w:rsidR="006603AC" w:rsidRPr="00467E46" w:rsidRDefault="006603AC" w:rsidP="00467E46">
      <w:pPr>
        <w:shd w:val="clear" w:color="auto" w:fill="FFFFFF"/>
        <w:spacing w:before="360" w:after="360" w:line="360" w:lineRule="auto"/>
        <w:rPr>
          <w:rFonts w:eastAsia="Times New Roman" w:cstheme="minorHAnsi"/>
          <w:color w:val="1F1F1F"/>
        </w:rPr>
      </w:pPr>
    </w:p>
    <w:sectPr w:rsidR="006603AC" w:rsidRPr="00467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A5" w:rsidRDefault="009C4EA5" w:rsidP="00B81EDF">
      <w:pPr>
        <w:spacing w:after="0" w:line="240" w:lineRule="auto"/>
      </w:pPr>
      <w:r>
        <w:separator/>
      </w:r>
    </w:p>
  </w:endnote>
  <w:endnote w:type="continuationSeparator" w:id="0">
    <w:p w:rsidR="009C4EA5" w:rsidRDefault="009C4EA5" w:rsidP="00B8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A5" w:rsidRDefault="009C4EA5" w:rsidP="00B81EDF">
      <w:pPr>
        <w:spacing w:after="0" w:line="240" w:lineRule="auto"/>
      </w:pPr>
      <w:r>
        <w:separator/>
      </w:r>
    </w:p>
  </w:footnote>
  <w:footnote w:type="continuationSeparator" w:id="0">
    <w:p w:rsidR="009C4EA5" w:rsidRDefault="009C4EA5" w:rsidP="00B81E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D26B3"/>
    <w:multiLevelType w:val="multilevel"/>
    <w:tmpl w:val="C124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FC4B1E"/>
    <w:multiLevelType w:val="multilevel"/>
    <w:tmpl w:val="1EB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A54274"/>
    <w:multiLevelType w:val="multilevel"/>
    <w:tmpl w:val="598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D866AB"/>
    <w:multiLevelType w:val="multilevel"/>
    <w:tmpl w:val="07A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0B5839"/>
    <w:multiLevelType w:val="multilevel"/>
    <w:tmpl w:val="7DCC9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555202"/>
    <w:multiLevelType w:val="multilevel"/>
    <w:tmpl w:val="A604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67"/>
    <w:rsid w:val="00002778"/>
    <w:rsid w:val="000B4080"/>
    <w:rsid w:val="000E4320"/>
    <w:rsid w:val="000E6DD0"/>
    <w:rsid w:val="00173323"/>
    <w:rsid w:val="001745E0"/>
    <w:rsid w:val="00235DA2"/>
    <w:rsid w:val="002812BB"/>
    <w:rsid w:val="00310DFC"/>
    <w:rsid w:val="003406EE"/>
    <w:rsid w:val="00353B42"/>
    <w:rsid w:val="003561D3"/>
    <w:rsid w:val="0036474B"/>
    <w:rsid w:val="003C045C"/>
    <w:rsid w:val="003C44B8"/>
    <w:rsid w:val="003D7C7D"/>
    <w:rsid w:val="00444763"/>
    <w:rsid w:val="00460AC0"/>
    <w:rsid w:val="00467E46"/>
    <w:rsid w:val="004D194D"/>
    <w:rsid w:val="00546173"/>
    <w:rsid w:val="006603AC"/>
    <w:rsid w:val="00661F93"/>
    <w:rsid w:val="00662E58"/>
    <w:rsid w:val="007442CC"/>
    <w:rsid w:val="007D245F"/>
    <w:rsid w:val="008D3344"/>
    <w:rsid w:val="008D5E67"/>
    <w:rsid w:val="00904F63"/>
    <w:rsid w:val="009C4EA5"/>
    <w:rsid w:val="00A625E2"/>
    <w:rsid w:val="00A70FC5"/>
    <w:rsid w:val="00AF2DB6"/>
    <w:rsid w:val="00B0528E"/>
    <w:rsid w:val="00B06B2E"/>
    <w:rsid w:val="00B477D2"/>
    <w:rsid w:val="00B502FB"/>
    <w:rsid w:val="00B61C47"/>
    <w:rsid w:val="00B67201"/>
    <w:rsid w:val="00B81EDF"/>
    <w:rsid w:val="00BB4B9C"/>
    <w:rsid w:val="00C447E5"/>
    <w:rsid w:val="00CA0781"/>
    <w:rsid w:val="00D127A3"/>
    <w:rsid w:val="00DF5927"/>
    <w:rsid w:val="00E9371B"/>
    <w:rsid w:val="00EA64F9"/>
    <w:rsid w:val="00F57C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0DE4D-8B7E-4CEE-A2D6-963BD242D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42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3B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B42"/>
    <w:rPr>
      <w:b/>
      <w:bCs/>
    </w:rPr>
  </w:style>
  <w:style w:type="table" w:styleId="TableGrid">
    <w:name w:val="Table Grid"/>
    <w:basedOn w:val="TableNormal"/>
    <w:uiPriority w:val="39"/>
    <w:rsid w:val="00DF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F592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F592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442CC"/>
    <w:rPr>
      <w:rFonts w:ascii="Times New Roman" w:eastAsia="Times New Roman" w:hAnsi="Times New Roman" w:cs="Times New Roman"/>
      <w:b/>
      <w:bCs/>
      <w:sz w:val="36"/>
      <w:szCs w:val="36"/>
    </w:rPr>
  </w:style>
  <w:style w:type="character" w:customStyle="1" w:styleId="animating">
    <w:name w:val="animating"/>
    <w:basedOn w:val="DefaultParagraphFont"/>
    <w:rsid w:val="007442CC"/>
  </w:style>
  <w:style w:type="table" w:styleId="GridTable1Light-Accent1">
    <w:name w:val="Grid Table 1 Light Accent 1"/>
    <w:basedOn w:val="TableNormal"/>
    <w:uiPriority w:val="46"/>
    <w:rsid w:val="00460AC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8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DF"/>
  </w:style>
  <w:style w:type="paragraph" w:styleId="Footer">
    <w:name w:val="footer"/>
    <w:basedOn w:val="Normal"/>
    <w:link w:val="FooterChar"/>
    <w:uiPriority w:val="99"/>
    <w:unhideWhenUsed/>
    <w:rsid w:val="00B8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DF"/>
  </w:style>
  <w:style w:type="character" w:styleId="Hyperlink">
    <w:name w:val="Hyperlink"/>
    <w:basedOn w:val="DefaultParagraphFont"/>
    <w:uiPriority w:val="99"/>
    <w:semiHidden/>
    <w:unhideWhenUsed/>
    <w:rsid w:val="007D245F"/>
    <w:rPr>
      <w:color w:val="0000FF"/>
      <w:u w:val="single"/>
    </w:rPr>
  </w:style>
  <w:style w:type="paragraph" w:styleId="ListParagraph">
    <w:name w:val="List Paragraph"/>
    <w:basedOn w:val="Normal"/>
    <w:uiPriority w:val="34"/>
    <w:qFormat/>
    <w:rsid w:val="007D245F"/>
    <w:pPr>
      <w:ind w:left="720"/>
      <w:contextualSpacing/>
    </w:pPr>
  </w:style>
  <w:style w:type="table" w:styleId="LightList">
    <w:name w:val="Light List"/>
    <w:basedOn w:val="TableNormal"/>
    <w:uiPriority w:val="61"/>
    <w:rsid w:val="00BB4B9C"/>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BB4B9C"/>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BB4B9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BB4B9C"/>
    <w:rPr>
      <w:rFonts w:eastAsiaTheme="minorEastAsia" w:cs="Times New Roman"/>
      <w:sz w:val="20"/>
      <w:szCs w:val="20"/>
    </w:rPr>
  </w:style>
  <w:style w:type="character" w:styleId="SubtleEmphasis">
    <w:name w:val="Subtle Emphasis"/>
    <w:basedOn w:val="DefaultParagraphFont"/>
    <w:uiPriority w:val="19"/>
    <w:qFormat/>
    <w:rsid w:val="00BB4B9C"/>
    <w:rPr>
      <w:i/>
      <w:iCs/>
    </w:rPr>
  </w:style>
  <w:style w:type="table" w:styleId="MediumShading2-Accent5">
    <w:name w:val="Medium Shading 2 Accent 5"/>
    <w:basedOn w:val="TableNormal"/>
    <w:uiPriority w:val="64"/>
    <w:rsid w:val="00BB4B9C"/>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7018">
      <w:bodyDiv w:val="1"/>
      <w:marLeft w:val="0"/>
      <w:marRight w:val="0"/>
      <w:marTop w:val="0"/>
      <w:marBottom w:val="0"/>
      <w:divBdr>
        <w:top w:val="none" w:sz="0" w:space="0" w:color="auto"/>
        <w:left w:val="none" w:sz="0" w:space="0" w:color="auto"/>
        <w:bottom w:val="none" w:sz="0" w:space="0" w:color="auto"/>
        <w:right w:val="none" w:sz="0" w:space="0" w:color="auto"/>
      </w:divBdr>
    </w:div>
    <w:div w:id="209542273">
      <w:bodyDiv w:val="1"/>
      <w:marLeft w:val="0"/>
      <w:marRight w:val="0"/>
      <w:marTop w:val="0"/>
      <w:marBottom w:val="0"/>
      <w:divBdr>
        <w:top w:val="none" w:sz="0" w:space="0" w:color="auto"/>
        <w:left w:val="none" w:sz="0" w:space="0" w:color="auto"/>
        <w:bottom w:val="none" w:sz="0" w:space="0" w:color="auto"/>
        <w:right w:val="none" w:sz="0" w:space="0" w:color="auto"/>
      </w:divBdr>
    </w:div>
    <w:div w:id="219752703">
      <w:bodyDiv w:val="1"/>
      <w:marLeft w:val="0"/>
      <w:marRight w:val="0"/>
      <w:marTop w:val="0"/>
      <w:marBottom w:val="0"/>
      <w:divBdr>
        <w:top w:val="none" w:sz="0" w:space="0" w:color="auto"/>
        <w:left w:val="none" w:sz="0" w:space="0" w:color="auto"/>
        <w:bottom w:val="none" w:sz="0" w:space="0" w:color="auto"/>
        <w:right w:val="none" w:sz="0" w:space="0" w:color="auto"/>
      </w:divBdr>
    </w:div>
    <w:div w:id="506603013">
      <w:bodyDiv w:val="1"/>
      <w:marLeft w:val="0"/>
      <w:marRight w:val="0"/>
      <w:marTop w:val="0"/>
      <w:marBottom w:val="0"/>
      <w:divBdr>
        <w:top w:val="none" w:sz="0" w:space="0" w:color="auto"/>
        <w:left w:val="none" w:sz="0" w:space="0" w:color="auto"/>
        <w:bottom w:val="none" w:sz="0" w:space="0" w:color="auto"/>
        <w:right w:val="none" w:sz="0" w:space="0" w:color="auto"/>
      </w:divBdr>
    </w:div>
    <w:div w:id="745494710">
      <w:bodyDiv w:val="1"/>
      <w:marLeft w:val="0"/>
      <w:marRight w:val="0"/>
      <w:marTop w:val="0"/>
      <w:marBottom w:val="0"/>
      <w:divBdr>
        <w:top w:val="none" w:sz="0" w:space="0" w:color="auto"/>
        <w:left w:val="none" w:sz="0" w:space="0" w:color="auto"/>
        <w:bottom w:val="none" w:sz="0" w:space="0" w:color="auto"/>
        <w:right w:val="none" w:sz="0" w:space="0" w:color="auto"/>
      </w:divBdr>
    </w:div>
    <w:div w:id="1041975947">
      <w:bodyDiv w:val="1"/>
      <w:marLeft w:val="0"/>
      <w:marRight w:val="0"/>
      <w:marTop w:val="0"/>
      <w:marBottom w:val="0"/>
      <w:divBdr>
        <w:top w:val="none" w:sz="0" w:space="0" w:color="auto"/>
        <w:left w:val="none" w:sz="0" w:space="0" w:color="auto"/>
        <w:bottom w:val="none" w:sz="0" w:space="0" w:color="auto"/>
        <w:right w:val="none" w:sz="0" w:space="0" w:color="auto"/>
      </w:divBdr>
    </w:div>
    <w:div w:id="1100491500">
      <w:bodyDiv w:val="1"/>
      <w:marLeft w:val="0"/>
      <w:marRight w:val="0"/>
      <w:marTop w:val="0"/>
      <w:marBottom w:val="0"/>
      <w:divBdr>
        <w:top w:val="none" w:sz="0" w:space="0" w:color="auto"/>
        <w:left w:val="none" w:sz="0" w:space="0" w:color="auto"/>
        <w:bottom w:val="none" w:sz="0" w:space="0" w:color="auto"/>
        <w:right w:val="none" w:sz="0" w:space="0" w:color="auto"/>
      </w:divBdr>
    </w:div>
    <w:div w:id="1448084627">
      <w:bodyDiv w:val="1"/>
      <w:marLeft w:val="0"/>
      <w:marRight w:val="0"/>
      <w:marTop w:val="0"/>
      <w:marBottom w:val="0"/>
      <w:divBdr>
        <w:top w:val="none" w:sz="0" w:space="0" w:color="auto"/>
        <w:left w:val="none" w:sz="0" w:space="0" w:color="auto"/>
        <w:bottom w:val="none" w:sz="0" w:space="0" w:color="auto"/>
        <w:right w:val="none" w:sz="0" w:space="0" w:color="auto"/>
      </w:divBdr>
    </w:div>
    <w:div w:id="1765803321">
      <w:bodyDiv w:val="1"/>
      <w:marLeft w:val="0"/>
      <w:marRight w:val="0"/>
      <w:marTop w:val="0"/>
      <w:marBottom w:val="0"/>
      <w:divBdr>
        <w:top w:val="none" w:sz="0" w:space="0" w:color="auto"/>
        <w:left w:val="none" w:sz="0" w:space="0" w:color="auto"/>
        <w:bottom w:val="none" w:sz="0" w:space="0" w:color="auto"/>
        <w:right w:val="none" w:sz="0" w:space="0" w:color="auto"/>
      </w:divBdr>
    </w:div>
    <w:div w:id="1970475945">
      <w:bodyDiv w:val="1"/>
      <w:marLeft w:val="0"/>
      <w:marRight w:val="0"/>
      <w:marTop w:val="0"/>
      <w:marBottom w:val="0"/>
      <w:divBdr>
        <w:top w:val="none" w:sz="0" w:space="0" w:color="auto"/>
        <w:left w:val="none" w:sz="0" w:space="0" w:color="auto"/>
        <w:bottom w:val="none" w:sz="0" w:space="0" w:color="auto"/>
        <w:right w:val="none" w:sz="0" w:space="0" w:color="auto"/>
      </w:divBdr>
    </w:div>
    <w:div w:id="203695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hyperlink" Target="https://www.ons.gov.uk/economy/inflationandpriceindices/bulletins/consumerpriceinflation/previousReleases" TargetMode="Externa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18</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2023-11-26T22:01:00Z</dcterms:created>
  <dcterms:modified xsi:type="dcterms:W3CDTF">2023-11-30T12:43:00Z</dcterms:modified>
</cp:coreProperties>
</file>