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D582B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Year-Wise CBE-positive Screening Results in Bangladesh:</w:t>
      </w:r>
    </w:p>
    <w:tbl>
      <w:tblPr>
        <w:tblStyle w:val="4"/>
        <w:tblW w:w="98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3272"/>
        <w:gridCol w:w="3272"/>
      </w:tblGrid>
      <w:tr w14:paraId="520A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271" w:type="dxa"/>
          </w:tcPr>
          <w:p w14:paraId="33BFA3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Year</w:t>
            </w:r>
          </w:p>
        </w:tc>
        <w:tc>
          <w:tcPr>
            <w:tcW w:w="3272" w:type="dxa"/>
          </w:tcPr>
          <w:p w14:paraId="09B77A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Case-Based</w:t>
            </w:r>
          </w:p>
        </w:tc>
        <w:tc>
          <w:tcPr>
            <w:tcW w:w="3272" w:type="dxa"/>
          </w:tcPr>
          <w:p w14:paraId="6DF15A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Aggregated</w:t>
            </w:r>
          </w:p>
        </w:tc>
      </w:tr>
      <w:tr w14:paraId="297B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271" w:type="dxa"/>
          </w:tcPr>
          <w:p w14:paraId="41A708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3272" w:type="dxa"/>
          </w:tcPr>
          <w:p w14:paraId="2F1C27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1280</w:t>
            </w:r>
          </w:p>
        </w:tc>
        <w:tc>
          <w:tcPr>
            <w:tcW w:w="3272" w:type="dxa"/>
          </w:tcPr>
          <w:p w14:paraId="314858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6783</w:t>
            </w:r>
          </w:p>
        </w:tc>
      </w:tr>
      <w:tr w14:paraId="7C86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271" w:type="dxa"/>
          </w:tcPr>
          <w:p w14:paraId="00A34B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3272" w:type="dxa"/>
          </w:tcPr>
          <w:p w14:paraId="6AF051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1382</w:t>
            </w:r>
          </w:p>
        </w:tc>
        <w:tc>
          <w:tcPr>
            <w:tcW w:w="3272" w:type="dxa"/>
          </w:tcPr>
          <w:p w14:paraId="5D71F1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3599</w:t>
            </w:r>
          </w:p>
        </w:tc>
      </w:tr>
      <w:tr w14:paraId="0942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271" w:type="dxa"/>
          </w:tcPr>
          <w:p w14:paraId="116DF7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3272" w:type="dxa"/>
          </w:tcPr>
          <w:p w14:paraId="60155E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2563</w:t>
            </w:r>
          </w:p>
        </w:tc>
        <w:tc>
          <w:tcPr>
            <w:tcW w:w="3272" w:type="dxa"/>
          </w:tcPr>
          <w:p w14:paraId="591E7C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4698</w:t>
            </w:r>
          </w:p>
        </w:tc>
      </w:tr>
      <w:tr w14:paraId="539D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271" w:type="dxa"/>
          </w:tcPr>
          <w:p w14:paraId="436DF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3272" w:type="dxa"/>
          </w:tcPr>
          <w:p w14:paraId="23294C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4516</w:t>
            </w:r>
          </w:p>
        </w:tc>
        <w:tc>
          <w:tcPr>
            <w:tcW w:w="3272" w:type="dxa"/>
          </w:tcPr>
          <w:p w14:paraId="69270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6293</w:t>
            </w:r>
          </w:p>
        </w:tc>
      </w:tr>
      <w:tr w14:paraId="1044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271" w:type="dxa"/>
          </w:tcPr>
          <w:p w14:paraId="4C926A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  <w:tc>
          <w:tcPr>
            <w:tcW w:w="3272" w:type="dxa"/>
          </w:tcPr>
          <w:p w14:paraId="4B4922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7855</w:t>
            </w:r>
          </w:p>
        </w:tc>
        <w:tc>
          <w:tcPr>
            <w:tcW w:w="3272" w:type="dxa"/>
          </w:tcPr>
          <w:p w14:paraId="0DD05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10694</w:t>
            </w:r>
          </w:p>
        </w:tc>
      </w:tr>
      <w:tr w14:paraId="7196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271" w:type="dxa"/>
          </w:tcPr>
          <w:p w14:paraId="215852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2024</w:t>
            </w:r>
          </w:p>
        </w:tc>
        <w:tc>
          <w:tcPr>
            <w:tcW w:w="3272" w:type="dxa"/>
          </w:tcPr>
          <w:p w14:paraId="28E6B9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7597</w:t>
            </w:r>
          </w:p>
        </w:tc>
        <w:tc>
          <w:tcPr>
            <w:tcW w:w="3272" w:type="dxa"/>
          </w:tcPr>
          <w:p w14:paraId="0E5EA5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10991</w:t>
            </w:r>
          </w:p>
        </w:tc>
      </w:tr>
      <w:tr w14:paraId="1ADF7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271" w:type="dxa"/>
          </w:tcPr>
          <w:p w14:paraId="4F89EF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  <w:tc>
          <w:tcPr>
            <w:tcW w:w="3272" w:type="dxa"/>
          </w:tcPr>
          <w:p w14:paraId="713C7D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6779</w:t>
            </w:r>
          </w:p>
        </w:tc>
        <w:tc>
          <w:tcPr>
            <w:tcW w:w="3272" w:type="dxa"/>
          </w:tcPr>
          <w:p w14:paraId="76F380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12593</w:t>
            </w:r>
          </w:p>
        </w:tc>
      </w:tr>
      <w:tr w14:paraId="4B3D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271" w:type="dxa"/>
          </w:tcPr>
          <w:p w14:paraId="17D332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2026*</w:t>
            </w:r>
          </w:p>
        </w:tc>
        <w:tc>
          <w:tcPr>
            <w:tcW w:w="3272" w:type="dxa"/>
          </w:tcPr>
          <w:p w14:paraId="1D4356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4762</w:t>
            </w:r>
          </w:p>
        </w:tc>
        <w:tc>
          <w:tcPr>
            <w:tcW w:w="3272" w:type="dxa"/>
          </w:tcPr>
          <w:p w14:paraId="04CB12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9564</w:t>
            </w:r>
          </w:p>
        </w:tc>
      </w:tr>
    </w:tbl>
    <w:p w14:paraId="5829884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*Data for 2026 are reported for January-August only.</w:t>
      </w:r>
    </w:p>
    <w:p w14:paraId="69E3FA8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Source:</w:t>
      </w:r>
      <w:r>
        <w:rPr>
          <w:rFonts w:ascii="Times New Roman" w:hAnsi="Times New Roman" w:cs="Times New Roman"/>
          <w:sz w:val="22"/>
          <w:szCs w:val="22"/>
        </w:rPr>
        <w:t xml:space="preserve"> National Center for Cervical &amp; Breast Cancer Screening &amp; Training.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url: {https://cancer-dashboard.mohfw.gov.bd}.</w:t>
      </w:r>
    </w:p>
    <w:p w14:paraId="4BDB056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Cancer Cases in Bangladesh 2025:</w:t>
      </w:r>
    </w:p>
    <w:tbl>
      <w:tblPr>
        <w:tblStyle w:val="4"/>
        <w:tblW w:w="98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1550"/>
        <w:gridCol w:w="5467"/>
      </w:tblGrid>
      <w:tr w14:paraId="2EAD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804" w:type="dxa"/>
          </w:tcPr>
          <w:p w14:paraId="3D424B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Type</w:t>
            </w:r>
          </w:p>
        </w:tc>
        <w:tc>
          <w:tcPr>
            <w:tcW w:w="1550" w:type="dxa"/>
          </w:tcPr>
          <w:p w14:paraId="650BEB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Cases (%)</w:t>
            </w:r>
          </w:p>
        </w:tc>
        <w:tc>
          <w:tcPr>
            <w:tcW w:w="5467" w:type="dxa"/>
          </w:tcPr>
          <w:p w14:paraId="59959A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val="en-US"/>
              </w:rPr>
              <w:t>Source</w:t>
            </w:r>
          </w:p>
        </w:tc>
      </w:tr>
      <w:tr w14:paraId="35D2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804" w:type="dxa"/>
          </w:tcPr>
          <w:p w14:paraId="5591B5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Breast</w:t>
            </w:r>
          </w:p>
        </w:tc>
        <w:tc>
          <w:tcPr>
            <w:tcW w:w="1550" w:type="dxa"/>
          </w:tcPr>
          <w:p w14:paraId="7AD034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16.8</w:t>
            </w:r>
          </w:p>
        </w:tc>
        <w:tc>
          <w:tcPr>
            <w:tcW w:w="5467" w:type="dxa"/>
            <w:vMerge w:val="restart"/>
          </w:tcPr>
          <w:p w14:paraId="03C20CBE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BSMMU Publishes Results of Extensive Research on the Cancer Situation in Bangladesh Based on Population Data, Bangladesh Medical University. \url{https://www.bmu.ac.bd/news-event/bsmmu-publishes-results-of-extensive-research-on-the-cancer-situation-in-bangladesh-based-on-population-data-188}</w:t>
            </w:r>
          </w:p>
          <w:p w14:paraId="0F8CB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21E1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804" w:type="dxa"/>
          </w:tcPr>
          <w:p w14:paraId="086825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Cervical</w:t>
            </w:r>
          </w:p>
        </w:tc>
        <w:tc>
          <w:tcPr>
            <w:tcW w:w="1550" w:type="dxa"/>
          </w:tcPr>
          <w:p w14:paraId="7FA3AC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5.1</w:t>
            </w:r>
          </w:p>
        </w:tc>
        <w:tc>
          <w:tcPr>
            <w:tcW w:w="5467" w:type="dxa"/>
            <w:vMerge w:val="continue"/>
            <w:tcBorders/>
          </w:tcPr>
          <w:p w14:paraId="4D8E4A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28826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804" w:type="dxa"/>
          </w:tcPr>
          <w:p w14:paraId="67871E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Stomach</w:t>
            </w:r>
          </w:p>
        </w:tc>
        <w:tc>
          <w:tcPr>
            <w:tcW w:w="1550" w:type="dxa"/>
          </w:tcPr>
          <w:p w14:paraId="1BCA32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5467" w:type="dxa"/>
            <w:vMerge w:val="continue"/>
            <w:tcBorders/>
          </w:tcPr>
          <w:p w14:paraId="3B305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6C87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804" w:type="dxa"/>
          </w:tcPr>
          <w:p w14:paraId="3B4D06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Throat</w:t>
            </w:r>
          </w:p>
        </w:tc>
        <w:tc>
          <w:tcPr>
            <w:tcW w:w="1550" w:type="dxa"/>
          </w:tcPr>
          <w:p w14:paraId="655BDC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5467" w:type="dxa"/>
            <w:vMerge w:val="continue"/>
            <w:tcBorders/>
          </w:tcPr>
          <w:p w14:paraId="787716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250E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804" w:type="dxa"/>
          </w:tcPr>
          <w:p w14:paraId="4473D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Lips and oral cavity</w:t>
            </w:r>
          </w:p>
        </w:tc>
        <w:tc>
          <w:tcPr>
            <w:tcW w:w="1550" w:type="dxa"/>
          </w:tcPr>
          <w:p w14:paraId="6A5CDA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8.4</w:t>
            </w:r>
          </w:p>
        </w:tc>
        <w:tc>
          <w:tcPr>
            <w:tcW w:w="5467" w:type="dxa"/>
            <w:vMerge w:val="continue"/>
            <w:tcBorders/>
          </w:tcPr>
          <w:p w14:paraId="5C1F5C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4069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804" w:type="dxa"/>
          </w:tcPr>
          <w:p w14:paraId="3B4457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Others</w:t>
            </w:r>
          </w:p>
        </w:tc>
        <w:tc>
          <w:tcPr>
            <w:tcW w:w="1550" w:type="dxa"/>
          </w:tcPr>
          <w:p w14:paraId="4EACB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55.7</w:t>
            </w:r>
          </w:p>
        </w:tc>
        <w:tc>
          <w:tcPr>
            <w:tcW w:w="5467" w:type="dxa"/>
            <w:vMerge w:val="continue"/>
            <w:tcBorders/>
          </w:tcPr>
          <w:p w14:paraId="53C10C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3407A6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Cancer Cases (Female) in Bangladesh 2025:</w:t>
      </w:r>
    </w:p>
    <w:tbl>
      <w:tblPr>
        <w:tblStyle w:val="4"/>
        <w:tblW w:w="98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1583"/>
        <w:gridCol w:w="5467"/>
      </w:tblGrid>
      <w:tr w14:paraId="12E3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32D671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Type</w:t>
            </w:r>
          </w:p>
        </w:tc>
        <w:tc>
          <w:tcPr>
            <w:tcW w:w="1583" w:type="dxa"/>
          </w:tcPr>
          <w:p w14:paraId="3F4696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Cases (%)</w:t>
            </w:r>
          </w:p>
        </w:tc>
        <w:tc>
          <w:tcPr>
            <w:tcW w:w="5467" w:type="dxa"/>
          </w:tcPr>
          <w:p w14:paraId="7FBAB9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val="en-US"/>
              </w:rPr>
              <w:t>Source</w:t>
            </w:r>
          </w:p>
        </w:tc>
      </w:tr>
      <w:tr w14:paraId="0585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20462E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Breast</w:t>
            </w:r>
          </w:p>
        </w:tc>
        <w:tc>
          <w:tcPr>
            <w:tcW w:w="1583" w:type="dxa"/>
          </w:tcPr>
          <w:p w14:paraId="1FE96E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36.4</w:t>
            </w:r>
          </w:p>
        </w:tc>
        <w:tc>
          <w:tcPr>
            <w:tcW w:w="5467" w:type="dxa"/>
            <w:vMerge w:val="restart"/>
          </w:tcPr>
          <w:p w14:paraId="2F2850FB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BSMMU Publishes Results of Extensive Research on the Cancer Situation in Bangladesh Based on Population Data, Bangladesh Medical University. \url{https://www.bmu.ac.bd/news-event/bsmmu-publishes-results-of-extensive-research-on-the-cancer-situation-in-bangladesh-based-on-population-data-188}</w:t>
            </w:r>
          </w:p>
          <w:p w14:paraId="453D1E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3265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796" w:type="dxa"/>
          </w:tcPr>
          <w:p w14:paraId="2A2B15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Cervical</w:t>
            </w:r>
          </w:p>
        </w:tc>
        <w:tc>
          <w:tcPr>
            <w:tcW w:w="1583" w:type="dxa"/>
          </w:tcPr>
          <w:p w14:paraId="543B53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11.1</w:t>
            </w:r>
          </w:p>
        </w:tc>
        <w:tc>
          <w:tcPr>
            <w:tcW w:w="5467" w:type="dxa"/>
            <w:vMerge w:val="continue"/>
            <w:tcBorders/>
          </w:tcPr>
          <w:p w14:paraId="2930E3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5F0A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155CB3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Uterine</w:t>
            </w:r>
          </w:p>
        </w:tc>
        <w:tc>
          <w:tcPr>
            <w:tcW w:w="1583" w:type="dxa"/>
          </w:tcPr>
          <w:p w14:paraId="2B0C44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467" w:type="dxa"/>
            <w:vMerge w:val="continue"/>
            <w:tcBorders/>
          </w:tcPr>
          <w:p w14:paraId="4A153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4644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0FE139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Overian</w:t>
            </w:r>
          </w:p>
        </w:tc>
        <w:tc>
          <w:tcPr>
            <w:tcW w:w="1583" w:type="dxa"/>
          </w:tcPr>
          <w:p w14:paraId="7F4A63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5.1</w:t>
            </w:r>
          </w:p>
        </w:tc>
        <w:tc>
          <w:tcPr>
            <w:tcW w:w="5467" w:type="dxa"/>
            <w:vMerge w:val="continue"/>
            <w:tcBorders/>
          </w:tcPr>
          <w:p w14:paraId="2F7785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1E80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5C90D3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Thyroid</w:t>
            </w:r>
          </w:p>
        </w:tc>
        <w:tc>
          <w:tcPr>
            <w:tcW w:w="1583" w:type="dxa"/>
          </w:tcPr>
          <w:p w14:paraId="42ED8C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7.1</w:t>
            </w:r>
          </w:p>
        </w:tc>
        <w:tc>
          <w:tcPr>
            <w:tcW w:w="5467" w:type="dxa"/>
            <w:vMerge w:val="continue"/>
            <w:tcBorders/>
          </w:tcPr>
          <w:p w14:paraId="062146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32C7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329441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Lips and Oral Cavity</w:t>
            </w:r>
          </w:p>
        </w:tc>
        <w:tc>
          <w:tcPr>
            <w:tcW w:w="1583" w:type="dxa"/>
          </w:tcPr>
          <w:p w14:paraId="7E6E80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10.1</w:t>
            </w:r>
          </w:p>
        </w:tc>
        <w:tc>
          <w:tcPr>
            <w:tcW w:w="5467" w:type="dxa"/>
            <w:vMerge w:val="continue"/>
            <w:tcBorders/>
          </w:tcPr>
          <w:p w14:paraId="2694BB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68F1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796" w:type="dxa"/>
          </w:tcPr>
          <w:p w14:paraId="1A9D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Others</w:t>
            </w:r>
          </w:p>
        </w:tc>
        <w:tc>
          <w:tcPr>
            <w:tcW w:w="1583" w:type="dxa"/>
          </w:tcPr>
          <w:p w14:paraId="29D1DC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27.2</w:t>
            </w:r>
          </w:p>
        </w:tc>
        <w:tc>
          <w:tcPr>
            <w:tcW w:w="5467" w:type="dxa"/>
            <w:vMerge w:val="continue"/>
            <w:tcBorders/>
          </w:tcPr>
          <w:p w14:paraId="4E2723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65F5D28">
      <w:pPr>
        <w:rPr>
          <w:rFonts w:ascii="Times New Roman" w:hAnsi="Times New Roman" w:cs="Times New Roman"/>
          <w:sz w:val="21"/>
          <w:szCs w:val="21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A9F"/>
    <w:rsid w:val="00014A9F"/>
    <w:rsid w:val="0020596C"/>
    <w:rsid w:val="003C5763"/>
    <w:rsid w:val="004015B1"/>
    <w:rsid w:val="00465D6B"/>
    <w:rsid w:val="00A84D2F"/>
    <w:rsid w:val="00BF1A79"/>
    <w:rsid w:val="00E637BC"/>
    <w:rsid w:val="33CC6306"/>
    <w:rsid w:val="71B7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124</Words>
  <Characters>842</Characters>
  <Lines>7</Lines>
  <Paragraphs>1</Paragraphs>
  <TotalTime>14</TotalTime>
  <ScaleCrop>false</ScaleCrop>
  <LinksUpToDate>false</LinksUpToDate>
  <CharactersWithSpaces>903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2026-10-05T16:40:00Z</dcterms:created>
  <dc:creator>MAYEDA</dc:creator>
  <cp:lastModifiedBy>Sadia Akter Lima</cp:lastModifiedBy>
  <dcterms:modified xsi:type="dcterms:W3CDTF">2026-10-05T18:53:31Z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6ca20fb9b57fcc98e2d690f13511cbe97dba4824973ef579b52880818b662bdc</vt:lpwstr>
  </property>
  <property fmtid="{D5CDD505-2E9C-101B-9397-08002B2CF9AE}" pid="3" name="KSOTemplateDocerSaveRecord">
    <vt:lpwstr>eyJoZGlkIjoiNTU0ZmIwYTQ3NzlmZGUxZmU3Zjk0M2IyZTNmM2IxNjAiLCJ1c2VySWQiOiI4ODEzNzkzNzE2MTgxIn0=</vt:lpwstr>
  </property>
  <property fmtid="{D5CDD505-2E9C-101B-9397-08002B2CF9AE}" pid="4" name="KSOProductBuildVer">
    <vt:lpwstr>1033-12.1.0.28485</vt:lpwstr>
  </property>
  <property fmtid="{D5CDD505-2E9C-101B-9397-08002B2CF9AE}" pid="5" name="ICV">
    <vt:lpwstr>D1ABBB03EC234CFBA6C3A1BFD909AD81_13</vt:lpwstr>
  </property>
</Properties>
</file>