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243E" w:rsidRDefault="004F7506">
      <w:pPr>
        <w:spacing w:after="120" w:line="257" w:lineRule="auto"/>
        <w:jc w:val="center"/>
      </w:pPr>
      <w:r>
        <w:rPr>
          <w:b/>
          <w:color w:val="1F4E79"/>
          <w:sz w:val="48"/>
        </w:rPr>
        <w:br/>
      </w:r>
      <w:r>
        <w:rPr>
          <w:b/>
          <w:color w:val="1F4E79"/>
          <w:sz w:val="48"/>
        </w:rPr>
        <w:br/>
        <w:t>TECHNICAL PROPOSAL</w:t>
      </w:r>
    </w:p>
    <w:p w:rsidR="00B0243E" w:rsidRDefault="004F7506">
      <w:pPr>
        <w:spacing w:after="120" w:line="257" w:lineRule="auto"/>
        <w:jc w:val="center"/>
      </w:pPr>
      <w:r>
        <w:rPr>
          <w:b/>
          <w:color w:val="243447"/>
          <w:sz w:val="32"/>
        </w:rPr>
        <w:t>AWS Hybrid Self-Managed Infrastructure for the EFF Foundation Educational Platform</w:t>
      </w:r>
    </w:p>
    <w:p w:rsidR="00B0243E" w:rsidRDefault="004F7506">
      <w:pPr>
        <w:spacing w:after="120" w:line="257" w:lineRule="auto"/>
        <w:jc w:val="center"/>
      </w:pPr>
      <w:r>
        <w:rPr>
          <w:i/>
          <w:color w:val="4F6F8F"/>
          <w:sz w:val="22"/>
        </w:rPr>
        <w:t>Designed for scalable K-12 educational services, multi-region resiliency, and future bare-metal migration</w:t>
      </w:r>
    </w:p>
    <w:p w:rsidR="00B0243E" w:rsidRDefault="004F7506">
      <w:pPr>
        <w:jc w:val="center"/>
      </w:pPr>
      <w:r>
        <w:rPr>
          <w:color w:val="667085"/>
          <w:sz w:val="22"/>
        </w:rPr>
        <w:t>Prepared by: Riseup Labs</w:t>
      </w:r>
    </w:p>
    <w:p w:rsidR="00B0243E" w:rsidRDefault="004F7506">
      <w:pPr>
        <w:jc w:val="center"/>
      </w:pPr>
      <w:r>
        <w:rPr>
          <w:noProof/>
        </w:rPr>
        <w:drawing>
          <wp:inline distT="0" distB="0" distL="0" distR="0">
            <wp:extent cx="1135380" cy="948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1135380" cy="948690"/>
                    </a:xfrm>
                    <a:prstGeom prst="rect">
                      <a:avLst/>
                    </a:prstGeom>
                    <a:noFill/>
                  </pic:spPr>
                </pic:pic>
              </a:graphicData>
            </a:graphic>
          </wp:inline>
        </w:drawing>
      </w:r>
    </w:p>
    <w:p w:rsidR="00B0243E" w:rsidRDefault="004F7506">
      <w:pPr>
        <w:spacing w:after="120" w:line="257" w:lineRule="auto"/>
      </w:pPr>
      <w:r>
        <w:br/>
      </w:r>
    </w:p>
    <w:p w:rsidR="00B0243E" w:rsidRDefault="004F7506">
      <w:pPr>
        <w:spacing w:after="120" w:line="257" w:lineRule="auto"/>
      </w:pPr>
      <w:r>
        <w:br/>
      </w:r>
    </w:p>
    <w:p w:rsidR="00B0243E" w:rsidRDefault="00B0243E">
      <w:pPr>
        <w:spacing w:after="120" w:line="257" w:lineRule="auto"/>
      </w:pPr>
    </w:p>
    <w:sdt>
      <w:sdtPr>
        <w:rPr>
          <w:rFonts w:eastAsia="Calibri" w:cs="Calibri"/>
          <w:b w:val="0"/>
          <w:bCs w:val="0"/>
          <w:color w:val="auto"/>
          <w:sz w:val="20"/>
          <w:szCs w:val="22"/>
        </w:rPr>
        <w:id w:val="-277180486"/>
        <w:docPartObj>
          <w:docPartGallery w:val="Table of Contents"/>
          <w:docPartUnique/>
        </w:docPartObj>
      </w:sdtPr>
      <w:sdtEndPr/>
      <w:sdtContent>
        <w:p w:rsidR="00B0243E" w:rsidRDefault="004F7506">
          <w:pPr>
            <w:pStyle w:val="TOCHeading"/>
            <w:tabs>
              <w:tab w:val="right" w:leader="dot" w:pos="9360"/>
            </w:tabs>
            <w:outlineLvl w:val="9"/>
          </w:pPr>
          <w:r>
            <w:br w:type="page"/>
          </w:r>
          <w:r>
            <w:lastRenderedPageBreak/>
            <w:fldChar w:fldCharType="begin"/>
          </w:r>
          <w:r>
            <w:instrText xml:space="preserve"> TOC \o "1-3" \h</w:instrText>
          </w:r>
          <w:r>
            <w:fldChar w:fldCharType="separate"/>
          </w:r>
          <w:r>
            <w:t>Table of Contents</w:t>
          </w:r>
        </w:p>
        <w:p w:rsidR="00B0243E" w:rsidRDefault="005847BA">
          <w:pPr>
            <w:pStyle w:val="TOC1"/>
            <w:tabs>
              <w:tab w:val="right" w:leader="dot" w:pos="10358"/>
            </w:tabs>
          </w:pPr>
          <w:hyperlink w:anchor="_Toc231986241" w:tgtFrame="_top">
            <w:r w:rsidR="004F7506">
              <w:rPr>
                <w:rStyle w:val="Hyperlink"/>
              </w:rPr>
              <w:t>1. Executive Summary</w:t>
            </w:r>
          </w:hyperlink>
          <w:hyperlink w:anchor="_Toc231986241" w:tgtFrame="_top">
            <w:r w:rsidR="004F7506">
              <w:rPr>
                <w:webHidden/>
              </w:rPr>
              <w:fldChar w:fldCharType="begin"/>
            </w:r>
            <w:r w:rsidR="004F7506">
              <w:rPr>
                <w:webHidden/>
              </w:rPr>
              <w:instrText>PAGEREF _Toc231986241 \h</w:instrText>
            </w:r>
            <w:r w:rsidR="004F7506">
              <w:rPr>
                <w:webHidden/>
              </w:rPr>
            </w:r>
            <w:r w:rsidR="004F7506">
              <w:rPr>
                <w:webHidden/>
              </w:rPr>
              <w:fldChar w:fldCharType="separate"/>
            </w:r>
            <w:r w:rsidR="004F7506">
              <w:rPr>
                <w:rStyle w:val="Hyperlink"/>
              </w:rPr>
              <w:tab/>
              <w:t>3</w:t>
            </w:r>
            <w:r w:rsidR="004F7506">
              <w:rPr>
                <w:webHidden/>
              </w:rPr>
              <w:fldChar w:fldCharType="end"/>
            </w:r>
          </w:hyperlink>
        </w:p>
        <w:p w:rsidR="00B0243E" w:rsidRDefault="005847BA">
          <w:pPr>
            <w:pStyle w:val="TOC2"/>
            <w:tabs>
              <w:tab w:val="right" w:leader="dot" w:pos="10558"/>
            </w:tabs>
          </w:pPr>
          <w:hyperlink w:anchor="_Toc231986242" w:tgtFrame="_top">
            <w:r w:rsidR="004F7506">
              <w:rPr>
                <w:rStyle w:val="Hyperlink"/>
              </w:rPr>
              <w:t>Proposal Objectives</w:t>
            </w:r>
          </w:hyperlink>
          <w:hyperlink w:anchor="_Toc231986242" w:tgtFrame="_top">
            <w:r w:rsidR="004F7506">
              <w:rPr>
                <w:webHidden/>
              </w:rPr>
              <w:fldChar w:fldCharType="begin"/>
            </w:r>
            <w:r w:rsidR="004F7506">
              <w:rPr>
                <w:webHidden/>
              </w:rPr>
              <w:instrText>PAGEREF _Toc231986242 \h</w:instrText>
            </w:r>
            <w:r w:rsidR="004F7506">
              <w:rPr>
                <w:webHidden/>
              </w:rPr>
            </w:r>
            <w:r w:rsidR="004F7506">
              <w:rPr>
                <w:webHidden/>
              </w:rPr>
              <w:fldChar w:fldCharType="separate"/>
            </w:r>
            <w:r w:rsidR="004F7506">
              <w:rPr>
                <w:rStyle w:val="Hyperlink"/>
              </w:rPr>
              <w:tab/>
              <w:t>3</w:t>
            </w:r>
            <w:r w:rsidR="004F7506">
              <w:rPr>
                <w:webHidden/>
              </w:rPr>
              <w:fldChar w:fldCharType="end"/>
            </w:r>
          </w:hyperlink>
        </w:p>
        <w:p w:rsidR="00B0243E" w:rsidRDefault="005847BA">
          <w:pPr>
            <w:pStyle w:val="TOC1"/>
            <w:tabs>
              <w:tab w:val="right" w:leader="dot" w:pos="10358"/>
            </w:tabs>
          </w:pPr>
          <w:hyperlink w:anchor="_Toc231986243" w:tgtFrame="_top">
            <w:r w:rsidR="004F7506">
              <w:rPr>
                <w:rStyle w:val="Hyperlink"/>
              </w:rPr>
              <w:t>2. Understanding of the Requirement</w:t>
            </w:r>
          </w:hyperlink>
          <w:hyperlink w:anchor="_Toc231986243" w:tgtFrame="_top">
            <w:r w:rsidR="004F7506">
              <w:rPr>
                <w:webHidden/>
              </w:rPr>
              <w:fldChar w:fldCharType="begin"/>
            </w:r>
            <w:r w:rsidR="004F7506">
              <w:rPr>
                <w:webHidden/>
              </w:rPr>
              <w:instrText>PAGEREF _Toc231986243 \h</w:instrText>
            </w:r>
            <w:r w:rsidR="004F7506">
              <w:rPr>
                <w:webHidden/>
              </w:rPr>
            </w:r>
            <w:r w:rsidR="004F7506">
              <w:rPr>
                <w:webHidden/>
              </w:rPr>
              <w:fldChar w:fldCharType="separate"/>
            </w:r>
            <w:r w:rsidR="004F7506">
              <w:rPr>
                <w:rStyle w:val="Hyperlink"/>
              </w:rPr>
              <w:tab/>
              <w:t>3</w:t>
            </w:r>
            <w:r w:rsidR="004F7506">
              <w:rPr>
                <w:webHidden/>
              </w:rPr>
              <w:fldChar w:fldCharType="end"/>
            </w:r>
          </w:hyperlink>
        </w:p>
        <w:p w:rsidR="00B0243E" w:rsidRDefault="005847BA">
          <w:pPr>
            <w:pStyle w:val="TOC2"/>
            <w:tabs>
              <w:tab w:val="right" w:leader="dot" w:pos="10558"/>
            </w:tabs>
          </w:pPr>
          <w:hyperlink w:anchor="_Toc231986244" w:tgtFrame="_top">
            <w:r w:rsidR="004F7506">
              <w:rPr>
                <w:rStyle w:val="Hyperlink"/>
              </w:rPr>
              <w:t>2.1 Project Context</w:t>
            </w:r>
          </w:hyperlink>
          <w:hyperlink w:anchor="_Toc231986244" w:tgtFrame="_top">
            <w:r w:rsidR="004F7506">
              <w:rPr>
                <w:webHidden/>
              </w:rPr>
              <w:fldChar w:fldCharType="begin"/>
            </w:r>
            <w:r w:rsidR="004F7506">
              <w:rPr>
                <w:webHidden/>
              </w:rPr>
              <w:instrText>PAGEREF _Toc231986244 \h</w:instrText>
            </w:r>
            <w:r w:rsidR="004F7506">
              <w:rPr>
                <w:webHidden/>
              </w:rPr>
            </w:r>
            <w:r w:rsidR="004F7506">
              <w:rPr>
                <w:webHidden/>
              </w:rPr>
              <w:fldChar w:fldCharType="separate"/>
            </w:r>
            <w:r w:rsidR="004F7506">
              <w:rPr>
                <w:rStyle w:val="Hyperlink"/>
              </w:rPr>
              <w:tab/>
              <w:t>3</w:t>
            </w:r>
            <w:r w:rsidR="004F7506">
              <w:rPr>
                <w:webHidden/>
              </w:rPr>
              <w:fldChar w:fldCharType="end"/>
            </w:r>
          </w:hyperlink>
        </w:p>
        <w:p w:rsidR="00B0243E" w:rsidRDefault="005847BA">
          <w:pPr>
            <w:pStyle w:val="TOC2"/>
            <w:tabs>
              <w:tab w:val="right" w:leader="dot" w:pos="10558"/>
            </w:tabs>
          </w:pPr>
          <w:hyperlink w:anchor="_Toc231986245" w:tgtFrame="_top">
            <w:r w:rsidR="004F7506">
              <w:rPr>
                <w:rStyle w:val="Hyperlink"/>
              </w:rPr>
              <w:t>2.2 Phase 1 Scope Included</w:t>
            </w:r>
          </w:hyperlink>
          <w:hyperlink w:anchor="_Toc231986245" w:tgtFrame="_top">
            <w:r w:rsidR="004F7506">
              <w:rPr>
                <w:webHidden/>
              </w:rPr>
              <w:fldChar w:fldCharType="begin"/>
            </w:r>
            <w:r w:rsidR="004F7506">
              <w:rPr>
                <w:webHidden/>
              </w:rPr>
              <w:instrText>PAGEREF _Toc231986245 \h</w:instrText>
            </w:r>
            <w:r w:rsidR="004F7506">
              <w:rPr>
                <w:webHidden/>
              </w:rPr>
            </w:r>
            <w:r w:rsidR="004F7506">
              <w:rPr>
                <w:webHidden/>
              </w:rPr>
              <w:fldChar w:fldCharType="separate"/>
            </w:r>
            <w:r w:rsidR="004F7506">
              <w:rPr>
                <w:rStyle w:val="Hyperlink"/>
              </w:rPr>
              <w:tab/>
              <w:t>3</w:t>
            </w:r>
            <w:r w:rsidR="004F7506">
              <w:rPr>
                <w:webHidden/>
              </w:rPr>
              <w:fldChar w:fldCharType="end"/>
            </w:r>
          </w:hyperlink>
        </w:p>
        <w:p w:rsidR="00B0243E" w:rsidRDefault="005847BA">
          <w:pPr>
            <w:pStyle w:val="TOC2"/>
            <w:tabs>
              <w:tab w:val="right" w:leader="dot" w:pos="10558"/>
            </w:tabs>
          </w:pPr>
          <w:hyperlink w:anchor="_Toc231986246" w:tgtFrame="_top">
            <w:r w:rsidR="004F7506">
              <w:rPr>
                <w:rStyle w:val="Hyperlink"/>
              </w:rPr>
              <w:t>2.3 Phase 1 Scope Excluded</w:t>
            </w:r>
          </w:hyperlink>
          <w:hyperlink w:anchor="_Toc231986246" w:tgtFrame="_top">
            <w:r w:rsidR="004F7506">
              <w:rPr>
                <w:webHidden/>
              </w:rPr>
              <w:fldChar w:fldCharType="begin"/>
            </w:r>
            <w:r w:rsidR="004F7506">
              <w:rPr>
                <w:webHidden/>
              </w:rPr>
              <w:instrText>PAGEREF _Toc231986246 \h</w:instrText>
            </w:r>
            <w:r w:rsidR="004F7506">
              <w:rPr>
                <w:webHidden/>
              </w:rPr>
            </w:r>
            <w:r w:rsidR="004F7506">
              <w:rPr>
                <w:webHidden/>
              </w:rPr>
              <w:fldChar w:fldCharType="separate"/>
            </w:r>
            <w:r w:rsidR="004F7506">
              <w:rPr>
                <w:rStyle w:val="Hyperlink"/>
              </w:rPr>
              <w:tab/>
              <w:t>4</w:t>
            </w:r>
            <w:r w:rsidR="004F7506">
              <w:rPr>
                <w:webHidden/>
              </w:rPr>
              <w:fldChar w:fldCharType="end"/>
            </w:r>
          </w:hyperlink>
        </w:p>
        <w:p w:rsidR="00B0243E" w:rsidRDefault="005847BA">
          <w:pPr>
            <w:pStyle w:val="TOC1"/>
            <w:tabs>
              <w:tab w:val="right" w:leader="dot" w:pos="10358"/>
            </w:tabs>
          </w:pPr>
          <w:hyperlink w:anchor="_Toc231986247" w:tgtFrame="_top">
            <w:r w:rsidR="004F7506">
              <w:rPr>
                <w:rStyle w:val="Hyperlink"/>
              </w:rPr>
              <w:t>3. Proposed Technical Approach</w:t>
            </w:r>
          </w:hyperlink>
          <w:hyperlink w:anchor="_Toc231986247" w:tgtFrame="_top">
            <w:r w:rsidR="004F7506">
              <w:rPr>
                <w:webHidden/>
              </w:rPr>
              <w:fldChar w:fldCharType="begin"/>
            </w:r>
            <w:r w:rsidR="004F7506">
              <w:rPr>
                <w:webHidden/>
              </w:rPr>
              <w:instrText>PAGEREF _Toc231986247 \h</w:instrText>
            </w:r>
            <w:r w:rsidR="004F7506">
              <w:rPr>
                <w:webHidden/>
              </w:rPr>
            </w:r>
            <w:r w:rsidR="004F7506">
              <w:rPr>
                <w:webHidden/>
              </w:rPr>
              <w:fldChar w:fldCharType="separate"/>
            </w:r>
            <w:r w:rsidR="004F7506">
              <w:rPr>
                <w:rStyle w:val="Hyperlink"/>
              </w:rPr>
              <w:tab/>
              <w:t>4</w:t>
            </w:r>
            <w:r w:rsidR="004F7506">
              <w:rPr>
                <w:webHidden/>
              </w:rPr>
              <w:fldChar w:fldCharType="end"/>
            </w:r>
          </w:hyperlink>
        </w:p>
        <w:p w:rsidR="00B0243E" w:rsidRDefault="005847BA">
          <w:pPr>
            <w:pStyle w:val="TOC2"/>
            <w:tabs>
              <w:tab w:val="right" w:leader="dot" w:pos="10558"/>
            </w:tabs>
          </w:pPr>
          <w:hyperlink w:anchor="_Toc231986248" w:tgtFrame="_top">
            <w:r w:rsidR="004F7506">
              <w:rPr>
                <w:rStyle w:val="Hyperlink"/>
              </w:rPr>
              <w:t>3.1 Architecture Principles</w:t>
            </w:r>
          </w:hyperlink>
          <w:hyperlink w:anchor="_Toc231986248" w:tgtFrame="_top">
            <w:r w:rsidR="004F7506">
              <w:rPr>
                <w:webHidden/>
              </w:rPr>
              <w:fldChar w:fldCharType="begin"/>
            </w:r>
            <w:r w:rsidR="004F7506">
              <w:rPr>
                <w:webHidden/>
              </w:rPr>
              <w:instrText>PAGEREF _Toc231986248 \h</w:instrText>
            </w:r>
            <w:r w:rsidR="004F7506">
              <w:rPr>
                <w:webHidden/>
              </w:rPr>
            </w:r>
            <w:r w:rsidR="004F7506">
              <w:rPr>
                <w:webHidden/>
              </w:rPr>
              <w:fldChar w:fldCharType="separate"/>
            </w:r>
            <w:r w:rsidR="004F7506">
              <w:rPr>
                <w:rStyle w:val="Hyperlink"/>
              </w:rPr>
              <w:tab/>
              <w:t>4</w:t>
            </w:r>
            <w:r w:rsidR="004F7506">
              <w:rPr>
                <w:webHidden/>
              </w:rPr>
              <w:fldChar w:fldCharType="end"/>
            </w:r>
          </w:hyperlink>
        </w:p>
        <w:p w:rsidR="00B0243E" w:rsidRDefault="005847BA">
          <w:pPr>
            <w:pStyle w:val="TOC2"/>
            <w:tabs>
              <w:tab w:val="right" w:leader="dot" w:pos="10558"/>
            </w:tabs>
          </w:pPr>
          <w:hyperlink w:anchor="_Toc231986249" w:tgtFrame="_top">
            <w:r w:rsidR="004F7506">
              <w:rPr>
                <w:rStyle w:val="Hyperlink"/>
              </w:rPr>
              <w:t>3.2 Edge, Ingress, and Traffic Management</w:t>
            </w:r>
          </w:hyperlink>
          <w:hyperlink w:anchor="_Toc231986249" w:tgtFrame="_top">
            <w:r w:rsidR="004F7506">
              <w:rPr>
                <w:webHidden/>
              </w:rPr>
              <w:fldChar w:fldCharType="begin"/>
            </w:r>
            <w:r w:rsidR="004F7506">
              <w:rPr>
                <w:webHidden/>
              </w:rPr>
              <w:instrText>PAGEREF _Toc231986249 \h</w:instrText>
            </w:r>
            <w:r w:rsidR="004F7506">
              <w:rPr>
                <w:webHidden/>
              </w:rPr>
            </w:r>
            <w:r w:rsidR="004F7506">
              <w:rPr>
                <w:webHidden/>
              </w:rPr>
              <w:fldChar w:fldCharType="separate"/>
            </w:r>
            <w:r w:rsidR="004F7506">
              <w:rPr>
                <w:rStyle w:val="Hyperlink"/>
              </w:rPr>
              <w:tab/>
              <w:t>4</w:t>
            </w:r>
            <w:r w:rsidR="004F7506">
              <w:rPr>
                <w:webHidden/>
              </w:rPr>
              <w:fldChar w:fldCharType="end"/>
            </w:r>
          </w:hyperlink>
        </w:p>
        <w:p w:rsidR="00B0243E" w:rsidRDefault="005847BA">
          <w:pPr>
            <w:pStyle w:val="TOC2"/>
            <w:tabs>
              <w:tab w:val="right" w:leader="dot" w:pos="10558"/>
            </w:tabs>
          </w:pPr>
          <w:hyperlink w:anchor="_Toc231986250" w:tgtFrame="_top">
            <w:r w:rsidR="004F7506">
              <w:rPr>
                <w:rStyle w:val="Hyperlink"/>
              </w:rPr>
              <w:t>3.3 Network Segmentation</w:t>
            </w:r>
          </w:hyperlink>
          <w:hyperlink w:anchor="_Toc231986250" w:tgtFrame="_top">
            <w:r w:rsidR="004F7506">
              <w:rPr>
                <w:webHidden/>
              </w:rPr>
              <w:fldChar w:fldCharType="begin"/>
            </w:r>
            <w:r w:rsidR="004F7506">
              <w:rPr>
                <w:webHidden/>
              </w:rPr>
              <w:instrText>PAGEREF _Toc231986250 \h</w:instrText>
            </w:r>
            <w:r w:rsidR="004F7506">
              <w:rPr>
                <w:webHidden/>
              </w:rPr>
            </w:r>
            <w:r w:rsidR="004F7506">
              <w:rPr>
                <w:webHidden/>
              </w:rPr>
              <w:fldChar w:fldCharType="separate"/>
            </w:r>
            <w:r w:rsidR="004F7506">
              <w:rPr>
                <w:rStyle w:val="Hyperlink"/>
              </w:rPr>
              <w:tab/>
              <w:t>4</w:t>
            </w:r>
            <w:r w:rsidR="004F7506">
              <w:rPr>
                <w:webHidden/>
              </w:rPr>
              <w:fldChar w:fldCharType="end"/>
            </w:r>
          </w:hyperlink>
        </w:p>
        <w:p w:rsidR="00B0243E" w:rsidRDefault="005847BA">
          <w:pPr>
            <w:pStyle w:val="TOC2"/>
            <w:tabs>
              <w:tab w:val="right" w:leader="dot" w:pos="10558"/>
            </w:tabs>
          </w:pPr>
          <w:hyperlink w:anchor="_Toc231986251" w:tgtFrame="_top">
            <w:r w:rsidR="004F7506">
              <w:rPr>
                <w:rStyle w:val="Hyperlink"/>
              </w:rPr>
              <w:t>3.4 Kubernetes Platform Architecture</w:t>
            </w:r>
          </w:hyperlink>
          <w:hyperlink w:anchor="_Toc231986251" w:tgtFrame="_top">
            <w:r w:rsidR="004F7506">
              <w:rPr>
                <w:webHidden/>
              </w:rPr>
              <w:fldChar w:fldCharType="begin"/>
            </w:r>
            <w:r w:rsidR="004F7506">
              <w:rPr>
                <w:webHidden/>
              </w:rPr>
              <w:instrText>PAGEREF _Toc231986251 \h</w:instrText>
            </w:r>
            <w:r w:rsidR="004F7506">
              <w:rPr>
                <w:webHidden/>
              </w:rPr>
            </w:r>
            <w:r w:rsidR="004F7506">
              <w:rPr>
                <w:webHidden/>
              </w:rPr>
              <w:fldChar w:fldCharType="separate"/>
            </w:r>
            <w:r w:rsidR="004F7506">
              <w:rPr>
                <w:rStyle w:val="Hyperlink"/>
              </w:rPr>
              <w:tab/>
              <w:t>4</w:t>
            </w:r>
            <w:r w:rsidR="004F7506">
              <w:rPr>
                <w:webHidden/>
              </w:rPr>
              <w:fldChar w:fldCharType="end"/>
            </w:r>
          </w:hyperlink>
        </w:p>
        <w:p w:rsidR="00B0243E" w:rsidRDefault="005847BA">
          <w:pPr>
            <w:pStyle w:val="TOC2"/>
            <w:tabs>
              <w:tab w:val="right" w:leader="dot" w:pos="10558"/>
            </w:tabs>
          </w:pPr>
          <w:hyperlink w:anchor="_Toc231986252" w:tgtFrame="_top">
            <w:r w:rsidR="004F7506">
              <w:rPr>
                <w:rStyle w:val="Hyperlink"/>
              </w:rPr>
              <w:t>3.5 Data, Storage, and Reporting Architecture</w:t>
            </w:r>
          </w:hyperlink>
          <w:hyperlink w:anchor="_Toc231986252" w:tgtFrame="_top">
            <w:r w:rsidR="004F7506">
              <w:rPr>
                <w:webHidden/>
              </w:rPr>
              <w:fldChar w:fldCharType="begin"/>
            </w:r>
            <w:r w:rsidR="004F7506">
              <w:rPr>
                <w:webHidden/>
              </w:rPr>
              <w:instrText>PAGEREF _Toc231986252 \h</w:instrText>
            </w:r>
            <w:r w:rsidR="004F7506">
              <w:rPr>
                <w:webHidden/>
              </w:rPr>
            </w:r>
            <w:r w:rsidR="004F7506">
              <w:rPr>
                <w:webHidden/>
              </w:rPr>
              <w:fldChar w:fldCharType="separate"/>
            </w:r>
            <w:r w:rsidR="004F7506">
              <w:rPr>
                <w:rStyle w:val="Hyperlink"/>
              </w:rPr>
              <w:tab/>
              <w:t>5</w:t>
            </w:r>
            <w:r w:rsidR="004F7506">
              <w:rPr>
                <w:webHidden/>
              </w:rPr>
              <w:fldChar w:fldCharType="end"/>
            </w:r>
          </w:hyperlink>
        </w:p>
        <w:p w:rsidR="00B0243E" w:rsidRDefault="005847BA">
          <w:pPr>
            <w:pStyle w:val="TOC2"/>
            <w:tabs>
              <w:tab w:val="right" w:leader="dot" w:pos="10558"/>
            </w:tabs>
          </w:pPr>
          <w:hyperlink w:anchor="_Toc231986253" w:tgtFrame="_top">
            <w:r w:rsidR="004F7506">
              <w:rPr>
                <w:rStyle w:val="Hyperlink"/>
              </w:rPr>
              <w:t>3.6 Backup and Disaster Recovery Approach</w:t>
            </w:r>
          </w:hyperlink>
          <w:hyperlink w:anchor="_Toc231986253" w:tgtFrame="_top">
            <w:r w:rsidR="004F7506">
              <w:rPr>
                <w:webHidden/>
              </w:rPr>
              <w:fldChar w:fldCharType="begin"/>
            </w:r>
            <w:r w:rsidR="004F7506">
              <w:rPr>
                <w:webHidden/>
              </w:rPr>
              <w:instrText>PAGEREF _Toc231986253 \h</w:instrText>
            </w:r>
            <w:r w:rsidR="004F7506">
              <w:rPr>
                <w:webHidden/>
              </w:rPr>
            </w:r>
            <w:r w:rsidR="004F7506">
              <w:rPr>
                <w:webHidden/>
              </w:rPr>
              <w:fldChar w:fldCharType="separate"/>
            </w:r>
            <w:r w:rsidR="004F7506">
              <w:rPr>
                <w:rStyle w:val="Hyperlink"/>
              </w:rPr>
              <w:tab/>
              <w:t>5</w:t>
            </w:r>
            <w:r w:rsidR="004F7506">
              <w:rPr>
                <w:webHidden/>
              </w:rPr>
              <w:fldChar w:fldCharType="end"/>
            </w:r>
          </w:hyperlink>
        </w:p>
        <w:p w:rsidR="00B0243E" w:rsidRDefault="005847BA">
          <w:pPr>
            <w:pStyle w:val="TOC2"/>
            <w:tabs>
              <w:tab w:val="right" w:leader="dot" w:pos="10558"/>
            </w:tabs>
          </w:pPr>
          <w:hyperlink w:anchor="_Toc231986254" w:tgtFrame="_top">
            <w:r w:rsidR="004F7506">
              <w:rPr>
                <w:rStyle w:val="Hyperlink"/>
              </w:rPr>
              <w:t>3.7 Security Approach</w:t>
            </w:r>
          </w:hyperlink>
          <w:hyperlink w:anchor="_Toc231986254" w:tgtFrame="_top">
            <w:r w:rsidR="004F7506">
              <w:rPr>
                <w:webHidden/>
              </w:rPr>
              <w:fldChar w:fldCharType="begin"/>
            </w:r>
            <w:r w:rsidR="004F7506">
              <w:rPr>
                <w:webHidden/>
              </w:rPr>
              <w:instrText>PAGEREF _Toc231986254 \h</w:instrText>
            </w:r>
            <w:r w:rsidR="004F7506">
              <w:rPr>
                <w:webHidden/>
              </w:rPr>
            </w:r>
            <w:r w:rsidR="004F7506">
              <w:rPr>
                <w:webHidden/>
              </w:rPr>
              <w:fldChar w:fldCharType="separate"/>
            </w:r>
            <w:r w:rsidR="004F7506">
              <w:rPr>
                <w:rStyle w:val="Hyperlink"/>
              </w:rPr>
              <w:tab/>
              <w:t>5</w:t>
            </w:r>
            <w:r w:rsidR="004F7506">
              <w:rPr>
                <w:webHidden/>
              </w:rPr>
              <w:fldChar w:fldCharType="end"/>
            </w:r>
          </w:hyperlink>
        </w:p>
        <w:p w:rsidR="00B0243E" w:rsidRDefault="005847BA">
          <w:pPr>
            <w:pStyle w:val="TOC1"/>
            <w:tabs>
              <w:tab w:val="right" w:leader="dot" w:pos="10358"/>
            </w:tabs>
          </w:pPr>
          <w:hyperlink w:anchor="_Toc231986255" w:tgtFrame="_top">
            <w:r w:rsidR="004F7506">
              <w:rPr>
                <w:rStyle w:val="Hyperlink"/>
              </w:rPr>
              <w:t>4. Proposed Technical Stack</w:t>
            </w:r>
          </w:hyperlink>
          <w:hyperlink w:anchor="_Toc231986255" w:tgtFrame="_top">
            <w:r w:rsidR="004F7506">
              <w:rPr>
                <w:webHidden/>
              </w:rPr>
              <w:fldChar w:fldCharType="begin"/>
            </w:r>
            <w:r w:rsidR="004F7506">
              <w:rPr>
                <w:webHidden/>
              </w:rPr>
              <w:instrText>PAGEREF _Toc231986255 \h</w:instrText>
            </w:r>
            <w:r w:rsidR="004F7506">
              <w:rPr>
                <w:webHidden/>
              </w:rPr>
            </w:r>
            <w:r w:rsidR="004F7506">
              <w:rPr>
                <w:webHidden/>
              </w:rPr>
              <w:fldChar w:fldCharType="separate"/>
            </w:r>
            <w:r w:rsidR="004F7506">
              <w:rPr>
                <w:rStyle w:val="Hyperlink"/>
              </w:rPr>
              <w:tab/>
              <w:t>5</w:t>
            </w:r>
            <w:r w:rsidR="004F7506">
              <w:rPr>
                <w:webHidden/>
              </w:rPr>
              <w:fldChar w:fldCharType="end"/>
            </w:r>
          </w:hyperlink>
        </w:p>
        <w:p w:rsidR="00B0243E" w:rsidRDefault="005847BA">
          <w:pPr>
            <w:pStyle w:val="TOC1"/>
            <w:tabs>
              <w:tab w:val="right" w:leader="dot" w:pos="10358"/>
            </w:tabs>
          </w:pPr>
          <w:hyperlink w:anchor="_Toc231986256" w:tgtFrame="_top">
            <w:r w:rsidR="004F7506">
              <w:rPr>
                <w:rStyle w:val="Hyperlink"/>
              </w:rPr>
              <w:t>5. Development and Implementation Methodology</w:t>
            </w:r>
          </w:hyperlink>
          <w:hyperlink w:anchor="_Toc231986256" w:tgtFrame="_top">
            <w:r w:rsidR="004F7506">
              <w:rPr>
                <w:webHidden/>
              </w:rPr>
              <w:fldChar w:fldCharType="begin"/>
            </w:r>
            <w:r w:rsidR="004F7506">
              <w:rPr>
                <w:webHidden/>
              </w:rPr>
              <w:instrText>PAGEREF _Toc231986256 \h</w:instrText>
            </w:r>
            <w:r w:rsidR="004F7506">
              <w:rPr>
                <w:webHidden/>
              </w:rPr>
            </w:r>
            <w:r w:rsidR="004F7506">
              <w:rPr>
                <w:webHidden/>
              </w:rPr>
              <w:fldChar w:fldCharType="separate"/>
            </w:r>
            <w:r w:rsidR="004F7506">
              <w:rPr>
                <w:rStyle w:val="Hyperlink"/>
              </w:rPr>
              <w:tab/>
              <w:t>7</w:t>
            </w:r>
            <w:r w:rsidR="004F7506">
              <w:rPr>
                <w:webHidden/>
              </w:rPr>
              <w:fldChar w:fldCharType="end"/>
            </w:r>
          </w:hyperlink>
        </w:p>
        <w:p w:rsidR="00B0243E" w:rsidRDefault="005847BA">
          <w:pPr>
            <w:pStyle w:val="TOC1"/>
            <w:tabs>
              <w:tab w:val="right" w:leader="dot" w:pos="10358"/>
            </w:tabs>
          </w:pPr>
          <w:hyperlink w:anchor="_Toc231986257" w:tgtFrame="_top">
            <w:r w:rsidR="004F7506">
              <w:rPr>
                <w:rStyle w:val="Hyperlink"/>
              </w:rPr>
              <w:t>6. Technical Diagrams</w:t>
            </w:r>
          </w:hyperlink>
          <w:hyperlink w:anchor="_Toc231986257" w:tgtFrame="_top">
            <w:r w:rsidR="004F7506">
              <w:rPr>
                <w:webHidden/>
              </w:rPr>
              <w:fldChar w:fldCharType="begin"/>
            </w:r>
            <w:r w:rsidR="004F7506">
              <w:rPr>
                <w:webHidden/>
              </w:rPr>
              <w:instrText>PAGEREF _Toc231986257 \h</w:instrText>
            </w:r>
            <w:r w:rsidR="004F7506">
              <w:rPr>
                <w:webHidden/>
              </w:rPr>
            </w:r>
            <w:r w:rsidR="004F7506">
              <w:rPr>
                <w:webHidden/>
              </w:rPr>
              <w:fldChar w:fldCharType="separate"/>
            </w:r>
            <w:r w:rsidR="004F7506">
              <w:rPr>
                <w:rStyle w:val="Hyperlink"/>
              </w:rPr>
              <w:tab/>
              <w:t>8</w:t>
            </w:r>
            <w:r w:rsidR="004F7506">
              <w:rPr>
                <w:webHidden/>
              </w:rPr>
              <w:fldChar w:fldCharType="end"/>
            </w:r>
          </w:hyperlink>
        </w:p>
        <w:p w:rsidR="00B0243E" w:rsidRDefault="005847BA">
          <w:pPr>
            <w:pStyle w:val="TOC1"/>
            <w:tabs>
              <w:tab w:val="right" w:leader="dot" w:pos="10358"/>
            </w:tabs>
          </w:pPr>
          <w:hyperlink w:anchor="_Toc231986258" w:tgtFrame="_top">
            <w:r w:rsidR="004F7506">
              <w:rPr>
                <w:rStyle w:val="Hyperlink"/>
              </w:rPr>
              <w:t>7. Deliverables</w:t>
            </w:r>
          </w:hyperlink>
          <w:hyperlink w:anchor="_Toc231986258" w:tgtFrame="_top">
            <w:r w:rsidR="004F7506">
              <w:rPr>
                <w:webHidden/>
              </w:rPr>
              <w:fldChar w:fldCharType="begin"/>
            </w:r>
            <w:r w:rsidR="004F7506">
              <w:rPr>
                <w:webHidden/>
              </w:rPr>
              <w:instrText>PAGEREF _Toc231986258 \h</w:instrText>
            </w:r>
            <w:r w:rsidR="004F7506">
              <w:rPr>
                <w:webHidden/>
              </w:rPr>
            </w:r>
            <w:r w:rsidR="004F7506">
              <w:rPr>
                <w:webHidden/>
              </w:rPr>
              <w:fldChar w:fldCharType="separate"/>
            </w:r>
            <w:r w:rsidR="004F7506">
              <w:rPr>
                <w:rStyle w:val="Hyperlink"/>
              </w:rPr>
              <w:tab/>
              <w:t>10</w:t>
            </w:r>
            <w:r w:rsidR="004F7506">
              <w:rPr>
                <w:webHidden/>
              </w:rPr>
              <w:fldChar w:fldCharType="end"/>
            </w:r>
          </w:hyperlink>
        </w:p>
        <w:p w:rsidR="00B0243E" w:rsidRDefault="005847BA">
          <w:pPr>
            <w:pStyle w:val="TOC1"/>
            <w:tabs>
              <w:tab w:val="right" w:leader="dot" w:pos="10358"/>
            </w:tabs>
          </w:pPr>
          <w:hyperlink w:anchor="_Toc231986259" w:tgtFrame="_top">
            <w:r w:rsidR="004F7506">
              <w:rPr>
                <w:rStyle w:val="Hyperlink"/>
              </w:rPr>
              <w:t>8. Testing and Quality Assurance</w:t>
            </w:r>
          </w:hyperlink>
          <w:hyperlink w:anchor="_Toc231986259" w:tgtFrame="_top">
            <w:r w:rsidR="004F7506">
              <w:rPr>
                <w:webHidden/>
              </w:rPr>
              <w:fldChar w:fldCharType="begin"/>
            </w:r>
            <w:r w:rsidR="004F7506">
              <w:rPr>
                <w:webHidden/>
              </w:rPr>
              <w:instrText>PAGEREF _Toc231986259 \h</w:instrText>
            </w:r>
            <w:r w:rsidR="004F7506">
              <w:rPr>
                <w:webHidden/>
              </w:rPr>
            </w:r>
            <w:r w:rsidR="004F7506">
              <w:rPr>
                <w:webHidden/>
              </w:rPr>
              <w:fldChar w:fldCharType="separate"/>
            </w:r>
            <w:r w:rsidR="004F7506">
              <w:rPr>
                <w:rStyle w:val="Hyperlink"/>
              </w:rPr>
              <w:tab/>
              <w:t>10</w:t>
            </w:r>
            <w:r w:rsidR="004F7506">
              <w:rPr>
                <w:webHidden/>
              </w:rPr>
              <w:fldChar w:fldCharType="end"/>
            </w:r>
          </w:hyperlink>
        </w:p>
        <w:p w:rsidR="00B0243E" w:rsidRDefault="005847BA">
          <w:pPr>
            <w:pStyle w:val="TOC2"/>
            <w:tabs>
              <w:tab w:val="right" w:leader="dot" w:pos="10558"/>
            </w:tabs>
          </w:pPr>
          <w:hyperlink w:anchor="_Toc231986260" w:tgtFrame="_top">
            <w:r w:rsidR="004F7506">
              <w:rPr>
                <w:rStyle w:val="Hyperlink"/>
              </w:rPr>
              <w:t>8.1 QA Coverage Areas</w:t>
            </w:r>
          </w:hyperlink>
          <w:hyperlink w:anchor="_Toc231986260" w:tgtFrame="_top">
            <w:r w:rsidR="004F7506">
              <w:rPr>
                <w:webHidden/>
              </w:rPr>
              <w:fldChar w:fldCharType="begin"/>
            </w:r>
            <w:r w:rsidR="004F7506">
              <w:rPr>
                <w:webHidden/>
              </w:rPr>
              <w:instrText>PAGEREF _Toc231986260 \h</w:instrText>
            </w:r>
            <w:r w:rsidR="004F7506">
              <w:rPr>
                <w:webHidden/>
              </w:rPr>
            </w:r>
            <w:r w:rsidR="004F7506">
              <w:rPr>
                <w:webHidden/>
              </w:rPr>
              <w:fldChar w:fldCharType="separate"/>
            </w:r>
            <w:r w:rsidR="004F7506">
              <w:rPr>
                <w:rStyle w:val="Hyperlink"/>
              </w:rPr>
              <w:tab/>
              <w:t>10</w:t>
            </w:r>
            <w:r w:rsidR="004F7506">
              <w:rPr>
                <w:webHidden/>
              </w:rPr>
              <w:fldChar w:fldCharType="end"/>
            </w:r>
          </w:hyperlink>
        </w:p>
        <w:p w:rsidR="00B0243E" w:rsidRDefault="005847BA">
          <w:pPr>
            <w:pStyle w:val="TOC2"/>
            <w:tabs>
              <w:tab w:val="right" w:leader="dot" w:pos="10558"/>
            </w:tabs>
          </w:pPr>
          <w:hyperlink w:anchor="_Toc231986261" w:tgtFrame="_top">
            <w:r w:rsidR="004F7506">
              <w:rPr>
                <w:rStyle w:val="Hyperlink"/>
              </w:rPr>
              <w:t>8.2 Penetration Testing Scope</w:t>
            </w:r>
          </w:hyperlink>
          <w:hyperlink w:anchor="_Toc231986261" w:tgtFrame="_top">
            <w:r w:rsidR="004F7506">
              <w:rPr>
                <w:webHidden/>
              </w:rPr>
              <w:fldChar w:fldCharType="begin"/>
            </w:r>
            <w:r w:rsidR="004F7506">
              <w:rPr>
                <w:webHidden/>
              </w:rPr>
              <w:instrText>PAGEREF _Toc231986261 \h</w:instrText>
            </w:r>
            <w:r w:rsidR="004F7506">
              <w:rPr>
                <w:webHidden/>
              </w:rPr>
            </w:r>
            <w:r w:rsidR="004F7506">
              <w:rPr>
                <w:webHidden/>
              </w:rPr>
              <w:fldChar w:fldCharType="separate"/>
            </w:r>
            <w:r w:rsidR="004F7506">
              <w:rPr>
                <w:rStyle w:val="Hyperlink"/>
              </w:rPr>
              <w:tab/>
              <w:t>10</w:t>
            </w:r>
            <w:r w:rsidR="004F7506">
              <w:rPr>
                <w:webHidden/>
              </w:rPr>
              <w:fldChar w:fldCharType="end"/>
            </w:r>
          </w:hyperlink>
        </w:p>
        <w:p w:rsidR="00B0243E" w:rsidRDefault="005847BA">
          <w:pPr>
            <w:pStyle w:val="TOC1"/>
            <w:tabs>
              <w:tab w:val="right" w:leader="dot" w:pos="10358"/>
            </w:tabs>
          </w:pPr>
          <w:hyperlink w:anchor="_Toc231986262" w:tgtFrame="_top">
            <w:r w:rsidR="004F7506">
              <w:rPr>
                <w:rStyle w:val="Hyperlink"/>
              </w:rPr>
              <w:t>9. Assumptions, Dependencies, and Out of Scope</w:t>
            </w:r>
          </w:hyperlink>
          <w:hyperlink w:anchor="_Toc231986262" w:tgtFrame="_top">
            <w:r w:rsidR="004F7506">
              <w:rPr>
                <w:webHidden/>
              </w:rPr>
              <w:fldChar w:fldCharType="begin"/>
            </w:r>
            <w:r w:rsidR="004F7506">
              <w:rPr>
                <w:webHidden/>
              </w:rPr>
              <w:instrText>PAGEREF _Toc231986262 \h</w:instrText>
            </w:r>
            <w:r w:rsidR="004F7506">
              <w:rPr>
                <w:webHidden/>
              </w:rPr>
            </w:r>
            <w:r w:rsidR="004F7506">
              <w:rPr>
                <w:webHidden/>
              </w:rPr>
              <w:fldChar w:fldCharType="separate"/>
            </w:r>
            <w:r w:rsidR="004F7506">
              <w:rPr>
                <w:rStyle w:val="Hyperlink"/>
              </w:rPr>
              <w:tab/>
              <w:t>11</w:t>
            </w:r>
            <w:r w:rsidR="004F7506">
              <w:rPr>
                <w:webHidden/>
              </w:rPr>
              <w:fldChar w:fldCharType="end"/>
            </w:r>
          </w:hyperlink>
        </w:p>
        <w:p w:rsidR="00B0243E" w:rsidRDefault="005847BA">
          <w:pPr>
            <w:pStyle w:val="TOC2"/>
            <w:tabs>
              <w:tab w:val="right" w:leader="dot" w:pos="10558"/>
            </w:tabs>
          </w:pPr>
          <w:hyperlink w:anchor="_Toc231986263" w:tgtFrame="_top">
            <w:r w:rsidR="004F7506">
              <w:rPr>
                <w:rStyle w:val="Hyperlink"/>
              </w:rPr>
              <w:t>9.1 Assumptions</w:t>
            </w:r>
          </w:hyperlink>
          <w:hyperlink w:anchor="_Toc231986263" w:tgtFrame="_top">
            <w:r w:rsidR="004F7506">
              <w:rPr>
                <w:webHidden/>
              </w:rPr>
              <w:fldChar w:fldCharType="begin"/>
            </w:r>
            <w:r w:rsidR="004F7506">
              <w:rPr>
                <w:webHidden/>
              </w:rPr>
              <w:instrText>PAGEREF _Toc231986263 \h</w:instrText>
            </w:r>
            <w:r w:rsidR="004F7506">
              <w:rPr>
                <w:webHidden/>
              </w:rPr>
            </w:r>
            <w:r w:rsidR="004F7506">
              <w:rPr>
                <w:webHidden/>
              </w:rPr>
              <w:fldChar w:fldCharType="separate"/>
            </w:r>
            <w:r w:rsidR="004F7506">
              <w:rPr>
                <w:rStyle w:val="Hyperlink"/>
              </w:rPr>
              <w:tab/>
              <w:t>11</w:t>
            </w:r>
            <w:r w:rsidR="004F7506">
              <w:rPr>
                <w:webHidden/>
              </w:rPr>
              <w:fldChar w:fldCharType="end"/>
            </w:r>
          </w:hyperlink>
        </w:p>
        <w:p w:rsidR="00B0243E" w:rsidRDefault="005847BA">
          <w:pPr>
            <w:pStyle w:val="TOC2"/>
            <w:tabs>
              <w:tab w:val="right" w:leader="dot" w:pos="10558"/>
            </w:tabs>
          </w:pPr>
          <w:hyperlink w:anchor="_Toc231986264" w:tgtFrame="_top">
            <w:r w:rsidR="004F7506">
              <w:rPr>
                <w:rStyle w:val="Hyperlink"/>
              </w:rPr>
              <w:t>9.2 Key Dependencies</w:t>
            </w:r>
          </w:hyperlink>
          <w:hyperlink w:anchor="_Toc231986264" w:tgtFrame="_top">
            <w:r w:rsidR="004F7506">
              <w:rPr>
                <w:webHidden/>
              </w:rPr>
              <w:fldChar w:fldCharType="begin"/>
            </w:r>
            <w:r w:rsidR="004F7506">
              <w:rPr>
                <w:webHidden/>
              </w:rPr>
              <w:instrText>PAGEREF _Toc231986264 \h</w:instrText>
            </w:r>
            <w:r w:rsidR="004F7506">
              <w:rPr>
                <w:webHidden/>
              </w:rPr>
            </w:r>
            <w:r w:rsidR="004F7506">
              <w:rPr>
                <w:webHidden/>
              </w:rPr>
              <w:fldChar w:fldCharType="separate"/>
            </w:r>
            <w:r w:rsidR="004F7506">
              <w:rPr>
                <w:rStyle w:val="Hyperlink"/>
              </w:rPr>
              <w:tab/>
              <w:t>11</w:t>
            </w:r>
            <w:r w:rsidR="004F7506">
              <w:rPr>
                <w:webHidden/>
              </w:rPr>
              <w:fldChar w:fldCharType="end"/>
            </w:r>
          </w:hyperlink>
        </w:p>
        <w:p w:rsidR="00B0243E" w:rsidRDefault="005847BA">
          <w:pPr>
            <w:pStyle w:val="TOC2"/>
            <w:tabs>
              <w:tab w:val="right" w:leader="dot" w:pos="10558"/>
            </w:tabs>
          </w:pPr>
          <w:hyperlink w:anchor="_Toc231986265" w:tgtFrame="_top">
            <w:r w:rsidR="004F7506">
              <w:rPr>
                <w:rStyle w:val="Hyperlink"/>
              </w:rPr>
              <w:t>9.3 Out of Scope</w:t>
            </w:r>
          </w:hyperlink>
          <w:hyperlink w:anchor="_Toc231986265" w:tgtFrame="_top">
            <w:r w:rsidR="004F7506">
              <w:rPr>
                <w:webHidden/>
              </w:rPr>
              <w:fldChar w:fldCharType="begin"/>
            </w:r>
            <w:r w:rsidR="004F7506">
              <w:rPr>
                <w:webHidden/>
              </w:rPr>
              <w:instrText>PAGEREF _Toc231986265 \h</w:instrText>
            </w:r>
            <w:r w:rsidR="004F7506">
              <w:rPr>
                <w:webHidden/>
              </w:rPr>
            </w:r>
            <w:r w:rsidR="004F7506">
              <w:rPr>
                <w:webHidden/>
              </w:rPr>
              <w:fldChar w:fldCharType="separate"/>
            </w:r>
            <w:r w:rsidR="004F7506">
              <w:rPr>
                <w:rStyle w:val="Hyperlink"/>
              </w:rPr>
              <w:tab/>
              <w:t>11</w:t>
            </w:r>
            <w:r w:rsidR="004F7506">
              <w:rPr>
                <w:webHidden/>
              </w:rPr>
              <w:fldChar w:fldCharType="end"/>
            </w:r>
          </w:hyperlink>
        </w:p>
        <w:p w:rsidR="00B0243E" w:rsidRDefault="005847BA">
          <w:pPr>
            <w:pStyle w:val="TOC1"/>
            <w:tabs>
              <w:tab w:val="right" w:leader="dot" w:pos="10358"/>
            </w:tabs>
          </w:pPr>
          <w:hyperlink w:anchor="_Toc231986266" w:tgtFrame="_top">
            <w:r w:rsidR="004F7506">
              <w:rPr>
                <w:rStyle w:val="Hyperlink"/>
              </w:rPr>
              <w:t>10. Risks and Mitigation</w:t>
            </w:r>
          </w:hyperlink>
          <w:hyperlink w:anchor="_Toc231986266" w:tgtFrame="_top">
            <w:r w:rsidR="004F7506">
              <w:rPr>
                <w:webHidden/>
              </w:rPr>
              <w:fldChar w:fldCharType="begin"/>
            </w:r>
            <w:r w:rsidR="004F7506">
              <w:rPr>
                <w:webHidden/>
              </w:rPr>
              <w:instrText>PAGEREF _Toc231986266 \h</w:instrText>
            </w:r>
            <w:r w:rsidR="004F7506">
              <w:rPr>
                <w:webHidden/>
              </w:rPr>
            </w:r>
            <w:r w:rsidR="004F7506">
              <w:rPr>
                <w:webHidden/>
              </w:rPr>
              <w:fldChar w:fldCharType="separate"/>
            </w:r>
            <w:r w:rsidR="004F7506">
              <w:rPr>
                <w:rStyle w:val="Hyperlink"/>
              </w:rPr>
              <w:tab/>
              <w:t>11</w:t>
            </w:r>
            <w:r w:rsidR="004F7506">
              <w:rPr>
                <w:webHidden/>
              </w:rPr>
              <w:fldChar w:fldCharType="end"/>
            </w:r>
          </w:hyperlink>
        </w:p>
        <w:p w:rsidR="00B0243E" w:rsidRDefault="005847BA">
          <w:pPr>
            <w:pStyle w:val="TOC1"/>
            <w:tabs>
              <w:tab w:val="right" w:leader="dot" w:pos="10358"/>
            </w:tabs>
          </w:pPr>
          <w:hyperlink w:anchor="_Toc231986267" w:tgtFrame="_top">
            <w:r w:rsidR="004F7506">
              <w:rPr>
                <w:rStyle w:val="Hyperlink"/>
              </w:rPr>
              <w:t>11. Acceptance Criteria</w:t>
            </w:r>
          </w:hyperlink>
          <w:hyperlink w:anchor="_Toc231986267" w:tgtFrame="_top">
            <w:r w:rsidR="004F7506">
              <w:rPr>
                <w:webHidden/>
              </w:rPr>
              <w:fldChar w:fldCharType="begin"/>
            </w:r>
            <w:r w:rsidR="004F7506">
              <w:rPr>
                <w:webHidden/>
              </w:rPr>
              <w:instrText>PAGEREF _Toc231986267 \h</w:instrText>
            </w:r>
            <w:r w:rsidR="004F7506">
              <w:rPr>
                <w:webHidden/>
              </w:rPr>
            </w:r>
            <w:r w:rsidR="004F7506">
              <w:rPr>
                <w:webHidden/>
              </w:rPr>
              <w:fldChar w:fldCharType="separate"/>
            </w:r>
            <w:r w:rsidR="004F7506">
              <w:rPr>
                <w:rStyle w:val="Hyperlink"/>
              </w:rPr>
              <w:tab/>
              <w:t>12</w:t>
            </w:r>
            <w:r w:rsidR="004F7506">
              <w:rPr>
                <w:webHidden/>
              </w:rPr>
              <w:fldChar w:fldCharType="end"/>
            </w:r>
          </w:hyperlink>
        </w:p>
        <w:p w:rsidR="00B0243E" w:rsidRDefault="005847BA">
          <w:pPr>
            <w:pStyle w:val="TOC1"/>
            <w:tabs>
              <w:tab w:val="right" w:leader="dot" w:pos="10358"/>
            </w:tabs>
          </w:pPr>
          <w:hyperlink w:anchor="_Toc231986268" w:tgtFrame="_top">
            <w:r w:rsidR="004F7506">
              <w:rPr>
                <w:rStyle w:val="Hyperlink"/>
              </w:rPr>
              <w:t>12. Conclusion</w:t>
            </w:r>
          </w:hyperlink>
          <w:hyperlink w:anchor="_Toc231986268" w:tgtFrame="_top">
            <w:r w:rsidR="004F7506">
              <w:rPr>
                <w:webHidden/>
              </w:rPr>
              <w:fldChar w:fldCharType="begin"/>
            </w:r>
            <w:r w:rsidR="004F7506">
              <w:rPr>
                <w:webHidden/>
              </w:rPr>
              <w:instrText>PAGEREF _Toc231986268 \h</w:instrText>
            </w:r>
            <w:r w:rsidR="004F7506">
              <w:rPr>
                <w:webHidden/>
              </w:rPr>
            </w:r>
            <w:r w:rsidR="004F7506">
              <w:rPr>
                <w:webHidden/>
              </w:rPr>
              <w:fldChar w:fldCharType="separate"/>
            </w:r>
            <w:r w:rsidR="004F7506">
              <w:rPr>
                <w:rStyle w:val="Hyperlink"/>
              </w:rPr>
              <w:tab/>
              <w:t>12</w:t>
            </w:r>
            <w:r w:rsidR="004F7506">
              <w:rPr>
                <w:webHidden/>
              </w:rPr>
              <w:fldChar w:fldCharType="end"/>
            </w:r>
          </w:hyperlink>
        </w:p>
        <w:p w:rsidR="00B0243E" w:rsidRDefault="004F7506">
          <w:pPr>
            <w:tabs>
              <w:tab w:val="right" w:leader="dot" w:pos="9360"/>
            </w:tabs>
          </w:pPr>
          <w:r>
            <w:fldChar w:fldCharType="end"/>
          </w:r>
        </w:p>
      </w:sdtContent>
    </w:sdt>
    <w:p w:rsidR="00B0243E" w:rsidRDefault="004F7506">
      <w:pPr>
        <w:spacing w:after="120" w:line="257" w:lineRule="auto"/>
      </w:pPr>
      <w:r>
        <w:br w:type="page"/>
      </w:r>
    </w:p>
    <w:p w:rsidR="00B0243E" w:rsidRDefault="004F7506">
      <w:pPr>
        <w:pStyle w:val="Heading1"/>
        <w:tabs>
          <w:tab w:val="left" w:pos="0"/>
        </w:tabs>
        <w:spacing w:before="0" w:after="120" w:line="257" w:lineRule="auto"/>
      </w:pPr>
      <w:bookmarkStart w:id="0" w:name="_Toc231986241"/>
      <w:r>
        <w:rPr>
          <w:color w:val="1F4E79"/>
        </w:rPr>
        <w:lastRenderedPageBreak/>
        <w:t>1. Executive Summary</w:t>
      </w:r>
      <w:bookmarkEnd w:id="0"/>
    </w:p>
    <w:p w:rsidR="00B0243E" w:rsidRDefault="004F7506">
      <w:pPr>
        <w:spacing w:after="120" w:line="257" w:lineRule="auto"/>
      </w:pPr>
      <w:r>
        <w:t>We propose a Phase 1 AWS Hybrid Cloud Infrastructure for the EFF Foundation Educational Platform. The platform will be designed as a self-managed, vendor-neutral infrastructure foundation using AWS primarily for compute, network, and infrastructure hosting, while core platform services remain portable for a future transition to bare-metal or owned data center infrastructure.</w:t>
      </w:r>
    </w:p>
    <w:p w:rsidR="00B0243E" w:rsidRDefault="004F7506">
      <w:pPr>
        <w:spacing w:after="120" w:line="257" w:lineRule="auto"/>
      </w:pPr>
      <w:r>
        <w:t>The proposed architecture prioritizes scalability, high availability, security, disaster recovery, observability, automation, and cost-aware future portability. It aligns with the approved direction from the architecture review: AWS Hybrid Architecture, self-managed Kubernetes, PostgreSQL, future-ready object storage abstraction, Transit Gateway-based inter-region connectivity, and clear separation between Phase 1 infrastructure and AI/application implementation.</w:t>
      </w:r>
    </w:p>
    <w:p w:rsidR="00B0243E" w:rsidRDefault="004F7506">
      <w:pPr>
        <w:pStyle w:val="Heading2"/>
        <w:tabs>
          <w:tab w:val="left" w:pos="0"/>
        </w:tabs>
        <w:spacing w:before="0" w:after="120" w:line="257" w:lineRule="auto"/>
      </w:pPr>
      <w:bookmarkStart w:id="1" w:name="_Toc231986242"/>
      <w:r>
        <w:rPr>
          <w:color w:val="243447"/>
        </w:rPr>
        <w:t>Proposal Objectives</w:t>
      </w:r>
      <w:bookmarkEnd w:id="1"/>
    </w:p>
    <w:p w:rsidR="00B0243E" w:rsidRDefault="004F7506">
      <w:pPr>
        <w:pStyle w:val="ListBullet"/>
        <w:numPr>
          <w:ilvl w:val="0"/>
          <w:numId w:val="8"/>
        </w:numPr>
        <w:spacing w:after="120" w:line="257" w:lineRule="auto"/>
        <w:contextualSpacing w:val="0"/>
      </w:pPr>
      <w:r>
        <w:t>Establish a secure and scalable AWS hybrid infrastructure foundation for the educational platform.</w:t>
      </w:r>
    </w:p>
    <w:p w:rsidR="00B0243E" w:rsidRDefault="004F7506">
      <w:pPr>
        <w:pStyle w:val="ListBullet"/>
        <w:spacing w:after="120" w:line="257" w:lineRule="auto"/>
        <w:contextualSpacing w:val="0"/>
      </w:pPr>
      <w:r>
        <w:t>Keep the architecture portable by avoiding unnecessary dependency on managed application services.</w:t>
      </w:r>
    </w:p>
    <w:p w:rsidR="00B0243E" w:rsidRDefault="004F7506">
      <w:pPr>
        <w:pStyle w:val="ListBullet"/>
        <w:spacing w:after="120" w:line="257" w:lineRule="auto"/>
        <w:contextualSpacing w:val="0"/>
      </w:pPr>
      <w:r>
        <w:t>Support future growth through horizontal scaling, modular services, and dedicated data/reporting architecture.</w:t>
      </w:r>
    </w:p>
    <w:p w:rsidR="00B0243E" w:rsidRDefault="004F7506">
      <w:pPr>
        <w:pStyle w:val="ListBullet"/>
        <w:spacing w:after="120" w:line="257" w:lineRule="auto"/>
        <w:contextualSpacing w:val="0"/>
      </w:pPr>
      <w:r>
        <w:t xml:space="preserve">Prepare the platform for future bare-metal migration by using self-managed and open-standard components where applicable. </w:t>
      </w:r>
    </w:p>
    <w:p w:rsidR="00B0243E" w:rsidRDefault="004F7506">
      <w:pPr>
        <w:pStyle w:val="ListBullet"/>
        <w:spacing w:after="120" w:line="257" w:lineRule="auto"/>
        <w:contextualSpacing w:val="0"/>
      </w:pPr>
      <w:r>
        <w:t>Implement observability, CI/CD, backup, disaster recovery, and security controls from the initial phase.</w:t>
      </w:r>
    </w:p>
    <w:p w:rsidR="009F05C9" w:rsidRPr="009F05C9" w:rsidRDefault="009F05C9">
      <w:pPr>
        <w:pStyle w:val="Heading1"/>
        <w:tabs>
          <w:tab w:val="left" w:pos="0"/>
        </w:tabs>
        <w:spacing w:before="0" w:after="120" w:line="257" w:lineRule="auto"/>
      </w:pPr>
      <w:bookmarkStart w:id="2" w:name="_Toc231986243"/>
    </w:p>
    <w:p w:rsidR="00B0243E" w:rsidRDefault="004F7506">
      <w:pPr>
        <w:pStyle w:val="Heading1"/>
        <w:tabs>
          <w:tab w:val="left" w:pos="0"/>
        </w:tabs>
        <w:spacing w:before="0" w:after="120" w:line="257" w:lineRule="auto"/>
      </w:pPr>
      <w:r>
        <w:rPr>
          <w:color w:val="1F4E79"/>
        </w:rPr>
        <w:t>2. Understanding of the Requirement</w:t>
      </w:r>
      <w:bookmarkEnd w:id="2"/>
    </w:p>
    <w:p w:rsidR="009F05C9" w:rsidRPr="009F05C9" w:rsidRDefault="009F05C9">
      <w:pPr>
        <w:pStyle w:val="Heading2"/>
        <w:tabs>
          <w:tab w:val="left" w:pos="0"/>
        </w:tabs>
        <w:spacing w:before="0" w:after="120" w:line="257" w:lineRule="auto"/>
      </w:pPr>
      <w:bookmarkStart w:id="3" w:name="_Toc231986244"/>
    </w:p>
    <w:p w:rsidR="00B0243E" w:rsidRDefault="004F7506">
      <w:pPr>
        <w:pStyle w:val="Heading2"/>
        <w:tabs>
          <w:tab w:val="left" w:pos="0"/>
        </w:tabs>
        <w:spacing w:before="0" w:after="120" w:line="257" w:lineRule="auto"/>
      </w:pPr>
      <w:r>
        <w:rPr>
          <w:color w:val="243447"/>
        </w:rPr>
        <w:t>2.1 Project Context</w:t>
      </w:r>
      <w:bookmarkEnd w:id="3"/>
    </w:p>
    <w:p w:rsidR="00B0243E" w:rsidRDefault="004F7506">
      <w:pPr>
        <w:spacing w:after="120" w:line="257" w:lineRule="auto"/>
      </w:pPr>
      <w:r>
        <w:t>EFF Foundation is planning a K-12 STEM-focused educational platform with long-term goals around guided learning, adaptive education, reporting, and stakeholder access. This is the proposal for setting up the cloud-hybrid infrastructure and does not include application and AI layer development.</w:t>
      </w:r>
    </w:p>
    <w:p w:rsidR="00B0243E" w:rsidRDefault="004F7506">
      <w:pPr>
        <w:spacing w:after="120" w:line="257" w:lineRule="auto"/>
      </w:pPr>
      <w:r>
        <w:t>The meeting decisions indicate that AWS Hybrid Architecture is the approved direction, with future migration to bare-metal remaining a strategic objective. The infrastructure proposal also documents assumptions, dependencies, and future migration considerations to prevent misunderstanding during later phases.</w:t>
      </w:r>
    </w:p>
    <w:p w:rsidR="009F05C9" w:rsidRPr="009F05C9" w:rsidRDefault="009F05C9">
      <w:pPr>
        <w:pStyle w:val="Heading2"/>
        <w:tabs>
          <w:tab w:val="left" w:pos="0"/>
        </w:tabs>
        <w:spacing w:before="0" w:after="120" w:line="257" w:lineRule="auto"/>
      </w:pPr>
      <w:bookmarkStart w:id="4" w:name="_Toc231986245"/>
    </w:p>
    <w:p w:rsidR="009F05C9" w:rsidRDefault="009F05C9">
      <w:pPr>
        <w:suppressAutoHyphens w:val="0"/>
        <w:spacing w:after="0" w:line="240" w:lineRule="auto"/>
        <w:rPr>
          <w:rFonts w:eastAsia="MS Gothic" w:cs="F"/>
          <w:b/>
          <w:bCs/>
          <w:color w:val="243447"/>
          <w:sz w:val="26"/>
          <w:szCs w:val="26"/>
        </w:rPr>
      </w:pPr>
      <w:r>
        <w:rPr>
          <w:color w:val="243447"/>
        </w:rPr>
        <w:br w:type="page"/>
      </w:r>
    </w:p>
    <w:p w:rsidR="00B0243E" w:rsidRDefault="004F7506">
      <w:pPr>
        <w:pStyle w:val="Heading2"/>
        <w:tabs>
          <w:tab w:val="left" w:pos="0"/>
        </w:tabs>
        <w:spacing w:before="0" w:after="120" w:line="257" w:lineRule="auto"/>
      </w:pPr>
      <w:r>
        <w:rPr>
          <w:color w:val="243447"/>
        </w:rPr>
        <w:lastRenderedPageBreak/>
        <w:t>2.2 Phase 1 Scope Included</w:t>
      </w:r>
      <w:bookmarkEnd w:id="4"/>
    </w:p>
    <w:tbl>
      <w:tblPr>
        <w:tblW w:w="10188" w:type="dxa"/>
        <w:jc w:val="center"/>
        <w:tblLayout w:type="fixed"/>
        <w:tblLook w:val="04A0" w:firstRow="1" w:lastRow="0" w:firstColumn="1" w:lastColumn="0" w:noHBand="0" w:noVBand="1"/>
      </w:tblPr>
      <w:tblGrid>
        <w:gridCol w:w="3420"/>
        <w:gridCol w:w="6768"/>
      </w:tblGrid>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1F4E79"/>
            <w:vAlign w:val="center"/>
          </w:tcPr>
          <w:p w:rsidR="00B0243E" w:rsidRDefault="004F7506">
            <w:pPr>
              <w:spacing w:after="0" w:line="240" w:lineRule="auto"/>
            </w:pPr>
            <w:r>
              <w:rPr>
                <w:rFonts w:eastAsia="MS Mincho" w:cs="F"/>
                <w:b/>
                <w:color w:val="FFFFFF"/>
                <w:sz w:val="18"/>
              </w:rPr>
              <w:t>Area</w:t>
            </w:r>
          </w:p>
        </w:tc>
        <w:tc>
          <w:tcPr>
            <w:tcW w:w="6768" w:type="dxa"/>
            <w:tcBorders>
              <w:top w:val="single" w:sz="4" w:space="0" w:color="D9E2EA"/>
              <w:left w:val="single" w:sz="4" w:space="0" w:color="D9E2EA"/>
              <w:bottom w:val="single" w:sz="4" w:space="0" w:color="D9E2EA"/>
              <w:right w:val="single" w:sz="4" w:space="0" w:color="D9E2EA"/>
            </w:tcBorders>
            <w:shd w:val="clear" w:color="auto" w:fill="1F4E79"/>
            <w:vAlign w:val="center"/>
          </w:tcPr>
          <w:p w:rsidR="00B0243E" w:rsidRDefault="004F7506">
            <w:pPr>
              <w:spacing w:after="0" w:line="240" w:lineRule="auto"/>
            </w:pPr>
            <w:r>
              <w:rPr>
                <w:rFonts w:eastAsia="MS Mincho" w:cs="F"/>
                <w:b/>
                <w:color w:val="FFFFFF"/>
                <w:sz w:val="18"/>
              </w:rPr>
              <w:t>Included Scope</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Cloud Infrastructure Foundation</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AWS VPC, EC2-based self-managed services, inter-region network design, private routing, Transit Gateway connectivity, and infrastructure bootstrapping.</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Edge and Security Layer</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 xml:space="preserve">Cloudflare for DNS, WAF, DDoS protection, CDN, and rate limiting; </w:t>
            </w:r>
            <w:proofErr w:type="spellStart"/>
            <w:r>
              <w:rPr>
                <w:rFonts w:eastAsia="MS Mincho" w:cs="F"/>
                <w:sz w:val="18"/>
              </w:rPr>
              <w:t>PFsense</w:t>
            </w:r>
            <w:proofErr w:type="spellEnd"/>
            <w:r>
              <w:rPr>
                <w:rFonts w:eastAsia="MS Mincho" w:cs="F"/>
                <w:sz w:val="18"/>
              </w:rPr>
              <w:t xml:space="preserve"> for ingress/egress control, VPN, and segmentation.</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Self-Managed Kubernetes Platform</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Highly available Kubernetes control plane, dedicated ETCD, worker nodes, autoscaling readiness, Gateway API, ingress/API routing, and Cilium network policies.</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Data and Storage Layer</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 xml:space="preserve">PostgreSQL with </w:t>
            </w:r>
            <w:proofErr w:type="spellStart"/>
            <w:r>
              <w:rPr>
                <w:rFonts w:eastAsia="MS Mincho" w:cs="F"/>
                <w:sz w:val="18"/>
              </w:rPr>
              <w:t>Patroni</w:t>
            </w:r>
            <w:proofErr w:type="spellEnd"/>
            <w:r>
              <w:rPr>
                <w:rFonts w:eastAsia="MS Mincho" w:cs="F"/>
                <w:sz w:val="18"/>
              </w:rPr>
              <w:t xml:space="preserve"> and </w:t>
            </w:r>
            <w:proofErr w:type="spellStart"/>
            <w:r>
              <w:rPr>
                <w:rFonts w:eastAsia="MS Mincho" w:cs="F"/>
                <w:sz w:val="18"/>
              </w:rPr>
              <w:t>PgBouncer</w:t>
            </w:r>
            <w:proofErr w:type="spellEnd"/>
            <w:r>
              <w:rPr>
                <w:rFonts w:eastAsia="MS Mincho" w:cs="F"/>
                <w:sz w:val="18"/>
              </w:rPr>
              <w:t xml:space="preserve">, Redis, </w:t>
            </w:r>
            <w:proofErr w:type="gramStart"/>
            <w:r>
              <w:rPr>
                <w:rFonts w:eastAsia="MS Mincho" w:cs="F"/>
                <w:sz w:val="18"/>
              </w:rPr>
              <w:t>Kafka( requirement</w:t>
            </w:r>
            <w:proofErr w:type="gramEnd"/>
            <w:r>
              <w:rPr>
                <w:rFonts w:eastAsia="MS Mincho" w:cs="F"/>
                <w:sz w:val="18"/>
              </w:rPr>
              <w:t xml:space="preserve"> is based on scope finalization (final scope may not need it), </w:t>
            </w:r>
            <w:proofErr w:type="spellStart"/>
            <w:r>
              <w:rPr>
                <w:rFonts w:eastAsia="MS Mincho" w:cs="F"/>
                <w:sz w:val="18"/>
              </w:rPr>
              <w:t>ClickHouse</w:t>
            </w:r>
            <w:proofErr w:type="spellEnd"/>
            <w:r>
              <w:rPr>
                <w:rFonts w:eastAsia="MS Mincho" w:cs="F"/>
                <w:sz w:val="18"/>
              </w:rPr>
              <w:t xml:space="preserve"> for analytics/reporting, and </w:t>
            </w:r>
            <w:proofErr w:type="spellStart"/>
            <w:r>
              <w:rPr>
                <w:rFonts w:eastAsia="MS Mincho" w:cs="F"/>
                <w:sz w:val="18"/>
              </w:rPr>
              <w:t>MinIO</w:t>
            </w:r>
            <w:proofErr w:type="spellEnd"/>
            <w:r>
              <w:rPr>
                <w:rFonts w:eastAsia="MS Mincho" w:cs="F"/>
                <w:sz w:val="18"/>
              </w:rPr>
              <w:t>-compatible object storage abstraction.</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 xml:space="preserve">CI/CD and </w:t>
            </w:r>
            <w:proofErr w:type="spellStart"/>
            <w:r>
              <w:rPr>
                <w:rFonts w:eastAsia="MS Mincho" w:cs="F"/>
                <w:sz w:val="18"/>
              </w:rPr>
              <w:t>GitOps</w:t>
            </w:r>
            <w:proofErr w:type="spellEnd"/>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 xml:space="preserve">Jenkins, Harbor, </w:t>
            </w:r>
            <w:proofErr w:type="spellStart"/>
            <w:r>
              <w:rPr>
                <w:rFonts w:eastAsia="MS Mincho" w:cs="F"/>
                <w:sz w:val="18"/>
              </w:rPr>
              <w:t>ArgoCD</w:t>
            </w:r>
            <w:proofErr w:type="spellEnd"/>
            <w:r>
              <w:rPr>
                <w:rFonts w:eastAsia="MS Mincho" w:cs="F"/>
                <w:sz w:val="18"/>
              </w:rPr>
              <w:t>, infrastructure-as-code, image scanning, controlled deployment process, and environment promotion.</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Observability and Operations</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Prometheus, Grafana, ELK/OpenSearch, Sentry, backup monitoring, alerting, and operational dashboards.</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Backup and Disaster Recovery</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 xml:space="preserve">WAL-G, </w:t>
            </w:r>
            <w:proofErr w:type="spellStart"/>
            <w:r>
              <w:rPr>
                <w:rFonts w:eastAsia="MS Mincho" w:cs="F"/>
                <w:sz w:val="18"/>
              </w:rPr>
              <w:t>Velero</w:t>
            </w:r>
            <w:proofErr w:type="spellEnd"/>
            <w:r>
              <w:rPr>
                <w:rFonts w:eastAsia="MS Mincho" w:cs="F"/>
                <w:sz w:val="18"/>
              </w:rPr>
              <w:t xml:space="preserve">, </w:t>
            </w:r>
            <w:proofErr w:type="spellStart"/>
            <w:r>
              <w:rPr>
                <w:rFonts w:eastAsia="MS Mincho" w:cs="F"/>
                <w:sz w:val="18"/>
              </w:rPr>
              <w:t>MinIO</w:t>
            </w:r>
            <w:proofErr w:type="spellEnd"/>
            <w:r>
              <w:rPr>
                <w:rFonts w:eastAsia="MS Mincho" w:cs="F"/>
                <w:sz w:val="18"/>
              </w:rPr>
              <w:t xml:space="preserve"> replication, configuration backup, recovery validation, and DR simulation readiness.</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Security Validation</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Security hardening, vulnerability scanning, QA validation, load/stress testing, and penetration testing.</w:t>
            </w:r>
          </w:p>
        </w:tc>
      </w:tr>
    </w:tbl>
    <w:p w:rsidR="00B0243E" w:rsidRDefault="00B0243E">
      <w:pPr>
        <w:rPr>
          <w:rFonts w:eastAsia="MS Gothic" w:cs="F"/>
          <w:b/>
          <w:bCs/>
          <w:color w:val="243447"/>
          <w:sz w:val="26"/>
          <w:szCs w:val="26"/>
        </w:rPr>
      </w:pPr>
    </w:p>
    <w:p w:rsidR="00B0243E" w:rsidRDefault="004F7506" w:rsidP="009F05C9">
      <w:pPr>
        <w:pStyle w:val="Heading2"/>
        <w:numPr>
          <w:ilvl w:val="0"/>
          <w:numId w:val="0"/>
        </w:numPr>
        <w:spacing w:before="0" w:after="120" w:line="257" w:lineRule="auto"/>
      </w:pPr>
      <w:bookmarkStart w:id="5" w:name="_Toc231986246"/>
      <w:r>
        <w:rPr>
          <w:color w:val="243447"/>
        </w:rPr>
        <w:t xml:space="preserve">2.3 </w:t>
      </w:r>
      <w:bookmarkEnd w:id="5"/>
      <w:r>
        <w:rPr>
          <w:color w:val="243447"/>
        </w:rPr>
        <w:t>Phase 1 Cloud-hybrid scope excluded</w:t>
      </w:r>
    </w:p>
    <w:p w:rsidR="00B0243E" w:rsidRDefault="004F7506">
      <w:pPr>
        <w:pStyle w:val="ListBullet"/>
        <w:spacing w:after="120" w:line="257" w:lineRule="auto"/>
        <w:contextualSpacing w:val="0"/>
      </w:pPr>
      <w:r>
        <w:t>AI implementation, RAG model setup, curriculum AI tuning, or AI output validation beyond future architecture planning.</w:t>
      </w:r>
    </w:p>
    <w:p w:rsidR="00B0243E" w:rsidRDefault="004F7506">
      <w:pPr>
        <w:pStyle w:val="ListBullet"/>
        <w:spacing w:after="120" w:line="257" w:lineRule="auto"/>
        <w:contextualSpacing w:val="0"/>
      </w:pPr>
      <w:r>
        <w:t>Application feature development such as learner portal, teacher dashboard, admin workflows, course management, or accreditation workflows.</w:t>
      </w:r>
    </w:p>
    <w:p w:rsidR="00B0243E" w:rsidRDefault="004F7506">
      <w:pPr>
        <w:pStyle w:val="ListBullet"/>
        <w:spacing w:after="120" w:line="257" w:lineRule="auto"/>
        <w:contextualSpacing w:val="0"/>
      </w:pPr>
      <w:r>
        <w:t>Curriculum creation, educational content production, content moderation policy design, or subject-matter expert work.</w:t>
      </w:r>
    </w:p>
    <w:p w:rsidR="00B0243E" w:rsidRDefault="004F7506">
      <w:pPr>
        <w:pStyle w:val="ListBullet"/>
        <w:spacing w:after="120" w:line="257" w:lineRule="auto"/>
        <w:contextualSpacing w:val="0"/>
      </w:pPr>
      <w:r>
        <w:t>Financial costing, infrastructure subscription cost breakdown, or commercial terms.</w:t>
      </w:r>
    </w:p>
    <w:p w:rsidR="00B0243E" w:rsidRDefault="004F7506">
      <w:pPr>
        <w:pStyle w:val="ListBullet"/>
        <w:spacing w:after="120" w:line="257" w:lineRule="auto"/>
        <w:contextualSpacing w:val="0"/>
      </w:pPr>
      <w:r>
        <w:t>Actual bare-metal data center deployment in Phase 1. Phase 1 Cloud-hybrid scope excluded will only prepare the infrastructure architecture for future migration.</w:t>
      </w:r>
    </w:p>
    <w:p w:rsidR="009F05C9" w:rsidRDefault="009F05C9" w:rsidP="009F05C9">
      <w:pPr>
        <w:pStyle w:val="ListBullet"/>
        <w:numPr>
          <w:ilvl w:val="0"/>
          <w:numId w:val="0"/>
        </w:numPr>
        <w:spacing w:after="120" w:line="257" w:lineRule="auto"/>
        <w:ind w:left="360" w:hanging="360"/>
        <w:contextualSpacing w:val="0"/>
      </w:pPr>
    </w:p>
    <w:p w:rsidR="00B0243E" w:rsidRDefault="004F7506">
      <w:pPr>
        <w:pStyle w:val="Heading1"/>
        <w:tabs>
          <w:tab w:val="left" w:pos="0"/>
        </w:tabs>
        <w:spacing w:before="0" w:after="120" w:line="257" w:lineRule="auto"/>
      </w:pPr>
      <w:bookmarkStart w:id="6" w:name="_Toc231986247"/>
      <w:r>
        <w:rPr>
          <w:color w:val="1F4E79"/>
        </w:rPr>
        <w:t>3. Proposed Technical Approach</w:t>
      </w:r>
      <w:bookmarkEnd w:id="6"/>
    </w:p>
    <w:p w:rsidR="00B0243E" w:rsidRDefault="004F7506">
      <w:pPr>
        <w:pStyle w:val="Heading2"/>
        <w:tabs>
          <w:tab w:val="left" w:pos="0"/>
        </w:tabs>
        <w:spacing w:before="0" w:after="120" w:line="257" w:lineRule="auto"/>
      </w:pPr>
      <w:bookmarkStart w:id="7" w:name="_Toc231986248"/>
      <w:r>
        <w:rPr>
          <w:color w:val="243447"/>
        </w:rPr>
        <w:t>3.1 Architecture Principles</w:t>
      </w:r>
      <w:bookmarkEnd w:id="7"/>
    </w:p>
    <w:tbl>
      <w:tblPr>
        <w:tblW w:w="10188" w:type="dxa"/>
        <w:jc w:val="center"/>
        <w:tblLayout w:type="fixed"/>
        <w:tblLook w:val="04A0" w:firstRow="1" w:lastRow="0" w:firstColumn="1" w:lastColumn="0" w:noHBand="0" w:noVBand="1"/>
      </w:tblPr>
      <w:tblGrid>
        <w:gridCol w:w="3420"/>
        <w:gridCol w:w="6768"/>
      </w:tblGrid>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4F6F8F"/>
            <w:vAlign w:val="center"/>
          </w:tcPr>
          <w:p w:rsidR="00B0243E" w:rsidRDefault="004F7506">
            <w:pPr>
              <w:spacing w:after="0" w:line="240" w:lineRule="auto"/>
            </w:pPr>
            <w:r>
              <w:rPr>
                <w:rFonts w:eastAsia="MS Mincho" w:cs="F"/>
                <w:b/>
                <w:color w:val="FFFFFF"/>
                <w:sz w:val="18"/>
              </w:rPr>
              <w:t>Principle</w:t>
            </w:r>
          </w:p>
        </w:tc>
        <w:tc>
          <w:tcPr>
            <w:tcW w:w="6768" w:type="dxa"/>
            <w:tcBorders>
              <w:top w:val="single" w:sz="4" w:space="0" w:color="D9E2EA"/>
              <w:left w:val="single" w:sz="4" w:space="0" w:color="D9E2EA"/>
              <w:bottom w:val="single" w:sz="4" w:space="0" w:color="D9E2EA"/>
              <w:right w:val="single" w:sz="4" w:space="0" w:color="D9E2EA"/>
            </w:tcBorders>
            <w:shd w:val="clear" w:color="auto" w:fill="4F6F8F"/>
            <w:vAlign w:val="center"/>
          </w:tcPr>
          <w:p w:rsidR="00B0243E" w:rsidRDefault="004F7506">
            <w:pPr>
              <w:spacing w:after="0" w:line="240" w:lineRule="auto"/>
            </w:pPr>
            <w:r>
              <w:rPr>
                <w:rFonts w:eastAsia="MS Mincho" w:cs="F"/>
                <w:b/>
                <w:color w:val="FFFFFF"/>
                <w:sz w:val="18"/>
              </w:rPr>
              <w:t>Application in This Proposal</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Vendor-Neutral Platform Services</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Use AWS as infrastructure only and keep core services self-managed, portable, and deployable in future bare-metal environments.</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Security by Design</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Apply zero-trust principles, network segmentation, secrets management, RBAC, image scanning, and controlled ingress/egress.</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High Availability and DR Readiness</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Design Region A for primary production and Region B for disaster recovery with private replication and failover workflow.</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Scalable Data Architecture</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Separate transactional database, cache, event streaming, analytics, and object storage so each layer can scale independently.</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Automation and Repeatability</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 xml:space="preserve">Use infrastructure-as-code, CI/CD, </w:t>
            </w:r>
            <w:proofErr w:type="spellStart"/>
            <w:r>
              <w:rPr>
                <w:rFonts w:eastAsia="MS Mincho" w:cs="F"/>
                <w:sz w:val="18"/>
              </w:rPr>
              <w:t>GitOps</w:t>
            </w:r>
            <w:proofErr w:type="spellEnd"/>
            <w:r>
              <w:rPr>
                <w:rFonts w:eastAsia="MS Mincho" w:cs="F"/>
                <w:sz w:val="18"/>
              </w:rPr>
              <w:t>, and automated monitoring to reduce manual operational risk.</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Operational Visibility</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Implement metrics, logs, traces/errors, alerts, and backup monitoring from the beginning.</w:t>
            </w:r>
          </w:p>
        </w:tc>
      </w:tr>
    </w:tbl>
    <w:p w:rsidR="009F05C9" w:rsidRDefault="009F05C9">
      <w:pPr>
        <w:pStyle w:val="Heading2"/>
        <w:tabs>
          <w:tab w:val="left" w:pos="0"/>
        </w:tabs>
        <w:spacing w:before="0" w:after="120" w:line="257" w:lineRule="auto"/>
        <w:rPr>
          <w:color w:val="243447"/>
        </w:rPr>
      </w:pPr>
      <w:bookmarkStart w:id="8" w:name="_Toc231986249"/>
    </w:p>
    <w:p w:rsidR="009F05C9" w:rsidRDefault="009F05C9">
      <w:pPr>
        <w:suppressAutoHyphens w:val="0"/>
        <w:spacing w:after="0" w:line="240" w:lineRule="auto"/>
        <w:rPr>
          <w:rFonts w:eastAsia="MS Gothic" w:cs="F"/>
          <w:b/>
          <w:bCs/>
          <w:color w:val="243447"/>
          <w:sz w:val="26"/>
          <w:szCs w:val="26"/>
        </w:rPr>
      </w:pPr>
      <w:r>
        <w:rPr>
          <w:color w:val="243447"/>
        </w:rPr>
        <w:br w:type="page"/>
      </w:r>
    </w:p>
    <w:p w:rsidR="00B0243E" w:rsidRDefault="004F7506">
      <w:pPr>
        <w:pStyle w:val="Heading2"/>
        <w:tabs>
          <w:tab w:val="left" w:pos="0"/>
        </w:tabs>
        <w:spacing w:before="0" w:after="120" w:line="257" w:lineRule="auto"/>
      </w:pPr>
      <w:r>
        <w:rPr>
          <w:color w:val="243447"/>
        </w:rPr>
        <w:lastRenderedPageBreak/>
        <w:t>3.2 Edge, Ingress, and Traffic Management</w:t>
      </w:r>
      <w:bookmarkEnd w:id="8"/>
    </w:p>
    <w:p w:rsidR="00B0243E" w:rsidRDefault="004F7506">
      <w:pPr>
        <w:spacing w:after="120" w:line="257" w:lineRule="auto"/>
      </w:pPr>
      <w:r>
        <w:t xml:space="preserve">The edge layer will protect and optimize access to the platform before requests reach AWS-hosted infrastructure. Cloudflare will be used for DNS, CDN, DDoS protection, WAF policies, rate limiting, and global traffic controls. </w:t>
      </w:r>
      <w:proofErr w:type="spellStart"/>
      <w:r>
        <w:t>PFsense</w:t>
      </w:r>
      <w:proofErr w:type="spellEnd"/>
      <w:r>
        <w:t xml:space="preserve"> will handle firewall rules, VPN connectivity, ingress/egress control, outbound traffic management, and network segmentation. </w:t>
      </w:r>
      <w:proofErr w:type="spellStart"/>
      <w:r>
        <w:t>HAProxy</w:t>
      </w:r>
      <w:proofErr w:type="spellEnd"/>
      <w:r>
        <w:t xml:space="preserve"> will provide routing flexibility, while Kubernetes Gateway API will handle modern ingress/API routing inside the Kubernetes platform.</w:t>
      </w:r>
    </w:p>
    <w:p w:rsidR="009F05C9" w:rsidRDefault="009F05C9">
      <w:pPr>
        <w:spacing w:after="120" w:line="257" w:lineRule="auto"/>
      </w:pPr>
    </w:p>
    <w:p w:rsidR="00B0243E" w:rsidRDefault="004F7506">
      <w:pPr>
        <w:pStyle w:val="Heading2"/>
        <w:tabs>
          <w:tab w:val="left" w:pos="0"/>
        </w:tabs>
        <w:spacing w:before="0" w:after="120" w:line="257" w:lineRule="auto"/>
      </w:pPr>
      <w:bookmarkStart w:id="9" w:name="_Toc231986250"/>
      <w:r>
        <w:rPr>
          <w:color w:val="243447"/>
        </w:rPr>
        <w:t>3.3 Network Segmentation</w:t>
      </w:r>
      <w:bookmarkEnd w:id="9"/>
    </w:p>
    <w:tbl>
      <w:tblPr>
        <w:tblW w:w="10188" w:type="dxa"/>
        <w:jc w:val="center"/>
        <w:tblLayout w:type="fixed"/>
        <w:tblLook w:val="04A0" w:firstRow="1" w:lastRow="0" w:firstColumn="1" w:lastColumn="0" w:noHBand="0" w:noVBand="1"/>
      </w:tblPr>
      <w:tblGrid>
        <w:gridCol w:w="3420"/>
        <w:gridCol w:w="6768"/>
      </w:tblGrid>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1F4E79"/>
            <w:vAlign w:val="center"/>
          </w:tcPr>
          <w:p w:rsidR="00B0243E" w:rsidRDefault="004F7506">
            <w:pPr>
              <w:spacing w:after="0" w:line="240" w:lineRule="auto"/>
            </w:pPr>
            <w:r>
              <w:rPr>
                <w:rFonts w:eastAsia="MS Mincho" w:cs="F"/>
                <w:b/>
                <w:color w:val="FFFFFF"/>
                <w:sz w:val="18"/>
              </w:rPr>
              <w:t>Network Zone</w:t>
            </w:r>
          </w:p>
        </w:tc>
        <w:tc>
          <w:tcPr>
            <w:tcW w:w="6768" w:type="dxa"/>
            <w:tcBorders>
              <w:top w:val="single" w:sz="4" w:space="0" w:color="D9E2EA"/>
              <w:left w:val="single" w:sz="4" w:space="0" w:color="D9E2EA"/>
              <w:bottom w:val="single" w:sz="4" w:space="0" w:color="D9E2EA"/>
              <w:right w:val="single" w:sz="4" w:space="0" w:color="D9E2EA"/>
            </w:tcBorders>
            <w:shd w:val="clear" w:color="auto" w:fill="1F4E79"/>
            <w:vAlign w:val="center"/>
          </w:tcPr>
          <w:p w:rsidR="00B0243E" w:rsidRDefault="004F7506">
            <w:pPr>
              <w:spacing w:after="0" w:line="240" w:lineRule="auto"/>
            </w:pPr>
            <w:r>
              <w:rPr>
                <w:rFonts w:eastAsia="MS Mincho" w:cs="F"/>
                <w:b/>
                <w:color w:val="FFFFFF"/>
                <w:sz w:val="18"/>
              </w:rPr>
              <w:t>Purpose</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Public Network</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Edge ingress, DNS/CDN/WAF termination, and controlled public-facing entry points.</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Private Application Network</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proofErr w:type="spellStart"/>
            <w:r>
              <w:rPr>
                <w:rFonts w:eastAsia="MS Mincho" w:cs="F"/>
                <w:sz w:val="18"/>
              </w:rPr>
              <w:t>HAProxy</w:t>
            </w:r>
            <w:proofErr w:type="spellEnd"/>
            <w:r>
              <w:rPr>
                <w:rFonts w:eastAsia="MS Mincho" w:cs="F"/>
                <w:sz w:val="18"/>
              </w:rPr>
              <w:t>,</w:t>
            </w:r>
            <w:r>
              <w:rPr>
                <w:rFonts w:ascii="Segoe UI" w:eastAsia="MS Mincho" w:hAnsi="Segoe UI" w:cs="Segoe UI"/>
                <w:sz w:val="18"/>
                <w:szCs w:val="18"/>
              </w:rPr>
              <w:t xml:space="preserve"> </w:t>
            </w:r>
            <w:r>
              <w:rPr>
                <w:rFonts w:eastAsia="MS Mincho" w:cs="F"/>
                <w:sz w:val="18"/>
              </w:rPr>
              <w:t>Kubernetes Gateway API, Kubernetes worker nodes, API gateway, and internal application services.</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Private Data Network</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r>
              <w:rPr>
                <w:rFonts w:eastAsia="MS Mincho" w:cs="F"/>
                <w:sz w:val="18"/>
              </w:rPr>
              <w:t xml:space="preserve">PostgreSQL, </w:t>
            </w:r>
            <w:proofErr w:type="spellStart"/>
            <w:r>
              <w:rPr>
                <w:rFonts w:eastAsia="MS Mincho" w:cs="F"/>
                <w:sz w:val="18"/>
              </w:rPr>
              <w:t>ClickHouse</w:t>
            </w:r>
            <w:proofErr w:type="spellEnd"/>
            <w:r>
              <w:rPr>
                <w:rFonts w:eastAsia="MS Mincho" w:cs="F"/>
                <w:sz w:val="18"/>
              </w:rPr>
              <w:t xml:space="preserve">, </w:t>
            </w:r>
            <w:proofErr w:type="spellStart"/>
            <w:r>
              <w:rPr>
                <w:rFonts w:eastAsia="MS Mincho" w:cs="F"/>
                <w:sz w:val="18"/>
              </w:rPr>
              <w:t>MinIO</w:t>
            </w:r>
            <w:proofErr w:type="spellEnd"/>
            <w:r>
              <w:rPr>
                <w:rFonts w:eastAsia="MS Mincho" w:cs="F"/>
                <w:sz w:val="18"/>
              </w:rPr>
              <w:t>, Redis, Kafka (</w:t>
            </w:r>
            <w:r>
              <w:rPr>
                <w:sz w:val="18"/>
              </w:rPr>
              <w:t>usage is dependent on scope finalization.</w:t>
            </w:r>
            <w:r>
              <w:rPr>
                <w:rFonts w:eastAsia="MS Mincho" w:cs="F"/>
                <w:sz w:val="18"/>
              </w:rPr>
              <w:t>), and backup services.</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Operations Network</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 xml:space="preserve">Jenkins, </w:t>
            </w:r>
            <w:proofErr w:type="spellStart"/>
            <w:r>
              <w:rPr>
                <w:rFonts w:eastAsia="MS Mincho" w:cs="F"/>
                <w:sz w:val="18"/>
              </w:rPr>
              <w:t>ArgoCD</w:t>
            </w:r>
            <w:proofErr w:type="spellEnd"/>
            <w:r>
              <w:rPr>
                <w:rFonts w:eastAsia="MS Mincho" w:cs="F"/>
                <w:sz w:val="18"/>
              </w:rPr>
              <w:t>, monitoring stack, administrative access, and secure VPN-based operations.</w:t>
            </w:r>
          </w:p>
        </w:tc>
      </w:tr>
      <w:tr w:rsidR="009F05C9">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9F05C9" w:rsidRDefault="009F05C9">
            <w:pPr>
              <w:spacing w:after="0" w:line="240" w:lineRule="auto"/>
              <w:rPr>
                <w:rFonts w:eastAsia="MS Mincho" w:cs="F"/>
                <w:sz w:val="18"/>
              </w:rPr>
            </w:pP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9F05C9" w:rsidRDefault="009F05C9">
            <w:pPr>
              <w:spacing w:after="0" w:line="240" w:lineRule="auto"/>
              <w:rPr>
                <w:rFonts w:eastAsia="MS Mincho" w:cs="F"/>
                <w:sz w:val="18"/>
              </w:rPr>
            </w:pP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Inter-Region Network</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Replication, backup synchronization, DR traffic, and private Transit Gateway connectivity.</w:t>
            </w:r>
          </w:p>
        </w:tc>
      </w:tr>
    </w:tbl>
    <w:p w:rsidR="009F05C9" w:rsidRPr="009F05C9" w:rsidRDefault="009F05C9">
      <w:pPr>
        <w:pStyle w:val="Heading2"/>
        <w:tabs>
          <w:tab w:val="left" w:pos="0"/>
        </w:tabs>
        <w:spacing w:before="0" w:after="120" w:line="257" w:lineRule="auto"/>
      </w:pPr>
      <w:bookmarkStart w:id="10" w:name="_Toc231986251"/>
    </w:p>
    <w:p w:rsidR="00B0243E" w:rsidRDefault="004F7506">
      <w:pPr>
        <w:pStyle w:val="Heading2"/>
        <w:tabs>
          <w:tab w:val="left" w:pos="0"/>
        </w:tabs>
        <w:spacing w:before="0" w:after="120" w:line="257" w:lineRule="auto"/>
      </w:pPr>
      <w:r>
        <w:rPr>
          <w:color w:val="243447"/>
        </w:rPr>
        <w:t>3.4 Kubernetes Platform Architecture</w:t>
      </w:r>
      <w:bookmarkEnd w:id="10"/>
    </w:p>
    <w:p w:rsidR="00B0243E" w:rsidRDefault="004F7506">
      <w:pPr>
        <w:spacing w:after="120" w:line="257" w:lineRule="auto"/>
      </w:pPr>
      <w:r>
        <w:t xml:space="preserve">The Kubernetes platform will be self-managed rather than dependent on managed EKS, preserving future portability. Each region will contain a dedicated ETCD cluster, highly available control plane, and worker nodes designed for horizontal growth. Application workloads will use Kubernetes autoscaling policies, resource limits, health checks, and network policies. Cilium will provide Kubernetes networking, </w:t>
      </w:r>
      <w:proofErr w:type="spellStart"/>
      <w:r>
        <w:t>eBPF</w:t>
      </w:r>
      <w:proofErr w:type="spellEnd"/>
      <w:r>
        <w:t xml:space="preserve"> acceleration, and service-level security controls.</w:t>
      </w:r>
    </w:p>
    <w:p w:rsidR="009F05C9" w:rsidRPr="009F05C9" w:rsidRDefault="009F05C9">
      <w:pPr>
        <w:pStyle w:val="Heading2"/>
        <w:tabs>
          <w:tab w:val="left" w:pos="0"/>
        </w:tabs>
        <w:spacing w:before="0" w:after="120" w:line="257" w:lineRule="auto"/>
      </w:pPr>
      <w:bookmarkStart w:id="11" w:name="_Toc231986252"/>
    </w:p>
    <w:p w:rsidR="00B0243E" w:rsidRDefault="004F7506">
      <w:pPr>
        <w:pStyle w:val="Heading2"/>
        <w:tabs>
          <w:tab w:val="left" w:pos="0"/>
        </w:tabs>
        <w:spacing w:before="0" w:after="120" w:line="257" w:lineRule="auto"/>
      </w:pPr>
      <w:r>
        <w:rPr>
          <w:color w:val="243447"/>
        </w:rPr>
        <w:t>3.5 Data, Storage, and Reporting Architecture</w:t>
      </w:r>
      <w:bookmarkEnd w:id="11"/>
    </w:p>
    <w:p w:rsidR="00B0243E" w:rsidRDefault="004F7506">
      <w:pPr>
        <w:spacing w:after="120" w:line="257" w:lineRule="auto"/>
      </w:pPr>
      <w:r>
        <w:t xml:space="preserve">PostgreSQL will be the primary transactional database, supported by </w:t>
      </w:r>
      <w:proofErr w:type="spellStart"/>
      <w:r>
        <w:t>Patroni</w:t>
      </w:r>
      <w:proofErr w:type="spellEnd"/>
      <w:r>
        <w:t xml:space="preserve"> for failover and </w:t>
      </w:r>
      <w:proofErr w:type="spellStart"/>
      <w:r>
        <w:t>PgBouncer</w:t>
      </w:r>
      <w:proofErr w:type="spellEnd"/>
      <w:r>
        <w:t xml:space="preserve"> for connection pooling. Redis will support sessions, cache, token management, and rate limiting. Kafka will handle event streaming for activity tracking, notifications, audit events, analytics, and future AI workflows (Depends on scope.). </w:t>
      </w:r>
      <w:proofErr w:type="spellStart"/>
      <w:r>
        <w:t>ClickHouse</w:t>
      </w:r>
      <w:proofErr w:type="spellEnd"/>
      <w:r>
        <w:t xml:space="preserve"> is recommended from the beginning for learning analytics, reporting dashboards, accreditation reporting, and large-volume analytical queries. </w:t>
      </w:r>
      <w:proofErr w:type="spellStart"/>
      <w:r>
        <w:t>MinIO</w:t>
      </w:r>
      <w:proofErr w:type="spellEnd"/>
      <w:r>
        <w:t>-compatible object storage will store media, documents, videos, course materials, and future AI content while maintaining portability.</w:t>
      </w:r>
    </w:p>
    <w:p w:rsidR="009F05C9" w:rsidRPr="009F05C9" w:rsidRDefault="009F05C9">
      <w:pPr>
        <w:pStyle w:val="Heading2"/>
        <w:tabs>
          <w:tab w:val="left" w:pos="0"/>
        </w:tabs>
        <w:spacing w:before="0" w:after="120" w:line="257" w:lineRule="auto"/>
      </w:pPr>
      <w:bookmarkStart w:id="12" w:name="_Toc231986253"/>
    </w:p>
    <w:p w:rsidR="00B0243E" w:rsidRDefault="004F7506">
      <w:pPr>
        <w:pStyle w:val="Heading2"/>
        <w:tabs>
          <w:tab w:val="left" w:pos="0"/>
        </w:tabs>
        <w:spacing w:before="0" w:after="120" w:line="257" w:lineRule="auto"/>
      </w:pPr>
      <w:r>
        <w:rPr>
          <w:color w:val="243447"/>
        </w:rPr>
        <w:t>3.6 Backup and Disaster Recovery Approach</w:t>
      </w:r>
      <w:bookmarkEnd w:id="12"/>
    </w:p>
    <w:p w:rsidR="00B0243E" w:rsidRDefault="004F7506">
      <w:pPr>
        <w:spacing w:after="120" w:line="257" w:lineRule="auto"/>
      </w:pPr>
      <w:r>
        <w:t xml:space="preserve">The DR approach will follow an active-passive model. Region A will operate as primary production, while Region B will act as standby DR environment. PostgreSQL will use WAL archiving and cross-region replication; </w:t>
      </w:r>
      <w:proofErr w:type="spellStart"/>
      <w:r>
        <w:t>MinIO</w:t>
      </w:r>
      <w:proofErr w:type="spellEnd"/>
      <w:r>
        <w:t xml:space="preserve"> will use site replication/versioning; Kubernetes resources will be backed up using </w:t>
      </w:r>
      <w:proofErr w:type="spellStart"/>
      <w:r>
        <w:t>Velero</w:t>
      </w:r>
      <w:proofErr w:type="spellEnd"/>
      <w:r>
        <w:t>; infrastructure configuration will be preserved through Git repositories and backup storage.</w:t>
      </w:r>
    </w:p>
    <w:tbl>
      <w:tblPr>
        <w:tblW w:w="10188" w:type="dxa"/>
        <w:jc w:val="center"/>
        <w:tblLayout w:type="fixed"/>
        <w:tblLook w:val="04A0" w:firstRow="1" w:lastRow="0" w:firstColumn="1" w:lastColumn="0" w:noHBand="0" w:noVBand="1"/>
      </w:tblPr>
      <w:tblGrid>
        <w:gridCol w:w="3995"/>
        <w:gridCol w:w="6193"/>
      </w:tblGrid>
      <w:tr w:rsidR="00B0243E">
        <w:trPr>
          <w:jc w:val="center"/>
        </w:trPr>
        <w:tc>
          <w:tcPr>
            <w:tcW w:w="3995" w:type="dxa"/>
            <w:tcBorders>
              <w:top w:val="single" w:sz="4" w:space="0" w:color="D9E2EA"/>
              <w:left w:val="single" w:sz="4" w:space="0" w:color="D9E2EA"/>
              <w:bottom w:val="single" w:sz="4" w:space="0" w:color="D9E2EA"/>
              <w:right w:val="single" w:sz="4" w:space="0" w:color="D9E2EA"/>
            </w:tcBorders>
            <w:shd w:val="clear" w:color="auto" w:fill="4F6F8F"/>
            <w:vAlign w:val="center"/>
          </w:tcPr>
          <w:p w:rsidR="00B0243E" w:rsidRDefault="004F7506">
            <w:pPr>
              <w:spacing w:after="0" w:line="240" w:lineRule="auto"/>
            </w:pPr>
            <w:r>
              <w:rPr>
                <w:rFonts w:eastAsia="MS Mincho" w:cs="F"/>
                <w:b/>
                <w:color w:val="FFFFFF"/>
                <w:sz w:val="18"/>
              </w:rPr>
              <w:t>Recovery Metric</w:t>
            </w:r>
          </w:p>
        </w:tc>
        <w:tc>
          <w:tcPr>
            <w:tcW w:w="6193" w:type="dxa"/>
            <w:tcBorders>
              <w:top w:val="single" w:sz="4" w:space="0" w:color="D9E2EA"/>
              <w:left w:val="single" w:sz="4" w:space="0" w:color="D9E2EA"/>
              <w:bottom w:val="single" w:sz="4" w:space="0" w:color="D9E2EA"/>
              <w:right w:val="single" w:sz="4" w:space="0" w:color="D9E2EA"/>
            </w:tcBorders>
            <w:shd w:val="clear" w:color="auto" w:fill="4F6F8F"/>
            <w:vAlign w:val="center"/>
          </w:tcPr>
          <w:p w:rsidR="00B0243E" w:rsidRDefault="004F7506">
            <w:pPr>
              <w:spacing w:after="0" w:line="240" w:lineRule="auto"/>
            </w:pPr>
            <w:r>
              <w:rPr>
                <w:rFonts w:eastAsia="MS Mincho" w:cs="F"/>
                <w:b/>
                <w:color w:val="FFFFFF"/>
                <w:sz w:val="18"/>
              </w:rPr>
              <w:t>Target</w:t>
            </w:r>
          </w:p>
        </w:tc>
      </w:tr>
      <w:tr w:rsidR="00B0243E">
        <w:trPr>
          <w:jc w:val="center"/>
        </w:trPr>
        <w:tc>
          <w:tcPr>
            <w:tcW w:w="3995"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Recovery Point Objective (RPO)</w:t>
            </w:r>
          </w:p>
        </w:tc>
        <w:tc>
          <w:tcPr>
            <w:tcW w:w="6193"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15 minutes or better, subject to final replication tuning</w:t>
            </w:r>
          </w:p>
        </w:tc>
      </w:tr>
      <w:tr w:rsidR="00B0243E">
        <w:trPr>
          <w:jc w:val="center"/>
        </w:trPr>
        <w:tc>
          <w:tcPr>
            <w:tcW w:w="3995"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Recovery Time Objective (RTO)</w:t>
            </w:r>
          </w:p>
        </w:tc>
        <w:tc>
          <w:tcPr>
            <w:tcW w:w="6193"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Within 1 hour for regional failover target</w:t>
            </w:r>
          </w:p>
        </w:tc>
      </w:tr>
      <w:tr w:rsidR="00B0243E">
        <w:trPr>
          <w:jc w:val="center"/>
        </w:trPr>
        <w:tc>
          <w:tcPr>
            <w:tcW w:w="3995"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Database Node Failover</w:t>
            </w:r>
          </w:p>
        </w:tc>
        <w:tc>
          <w:tcPr>
            <w:tcW w:w="6193"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Target under 60 seconds for single node failure</w:t>
            </w:r>
          </w:p>
        </w:tc>
      </w:tr>
      <w:tr w:rsidR="00B0243E">
        <w:trPr>
          <w:jc w:val="center"/>
        </w:trPr>
        <w:tc>
          <w:tcPr>
            <w:tcW w:w="3995"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Kubernetes Recovery</w:t>
            </w:r>
          </w:p>
        </w:tc>
        <w:tc>
          <w:tcPr>
            <w:tcW w:w="6193"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Target 1-2 hours depending on cluster rebuild scenario</w:t>
            </w:r>
          </w:p>
        </w:tc>
      </w:tr>
    </w:tbl>
    <w:p w:rsidR="00B0243E" w:rsidRDefault="004F7506">
      <w:pPr>
        <w:pStyle w:val="Heading2"/>
        <w:tabs>
          <w:tab w:val="left" w:pos="0"/>
        </w:tabs>
        <w:spacing w:before="0" w:after="120" w:line="257" w:lineRule="auto"/>
      </w:pPr>
      <w:bookmarkStart w:id="13" w:name="_Toc231986254"/>
      <w:r>
        <w:rPr>
          <w:color w:val="243447"/>
        </w:rPr>
        <w:lastRenderedPageBreak/>
        <w:t>3.7 Security Approach</w:t>
      </w:r>
      <w:bookmarkEnd w:id="13"/>
    </w:p>
    <w:p w:rsidR="00B0243E" w:rsidRDefault="004F7506">
      <w:pPr>
        <w:spacing w:after="120" w:line="257" w:lineRule="auto"/>
      </w:pPr>
      <w:r>
        <w:t xml:space="preserve">Security will be implemented across edge, network, cluster, CI/CD, application runtime, and operations. The design includes WAF/DDoS protection, network segmentation, </w:t>
      </w:r>
      <w:proofErr w:type="spellStart"/>
      <w:r>
        <w:t>PFsense</w:t>
      </w:r>
      <w:proofErr w:type="spellEnd"/>
      <w:r>
        <w:t xml:space="preserve"> controls, RBAC, Kubernetes network policies, Pod Security Standards, image signing/scanning, </w:t>
      </w:r>
      <w:proofErr w:type="spellStart"/>
      <w:r>
        <w:t>HashiCorp</w:t>
      </w:r>
      <w:proofErr w:type="spellEnd"/>
      <w:r>
        <w:t xml:space="preserve"> Vault for secrets, internal </w:t>
      </w:r>
      <w:proofErr w:type="spellStart"/>
      <w:r>
        <w:t>mTLS</w:t>
      </w:r>
      <w:proofErr w:type="spellEnd"/>
      <w:r>
        <w:t xml:space="preserve"> where applicable, and </w:t>
      </w:r>
      <w:proofErr w:type="spellStart"/>
      <w:r>
        <w:t>DevSecOps</w:t>
      </w:r>
      <w:proofErr w:type="spellEnd"/>
      <w:r>
        <w:t xml:space="preserve"> checks through CI/CD pipelines.</w:t>
      </w:r>
    </w:p>
    <w:p w:rsidR="009F05C9" w:rsidRPr="009F05C9" w:rsidRDefault="009F05C9">
      <w:pPr>
        <w:pStyle w:val="Heading1"/>
        <w:tabs>
          <w:tab w:val="left" w:pos="0"/>
        </w:tabs>
        <w:spacing w:before="0" w:after="120" w:line="257" w:lineRule="auto"/>
      </w:pPr>
      <w:bookmarkStart w:id="14" w:name="_Toc231986255"/>
    </w:p>
    <w:p w:rsidR="00B0243E" w:rsidRDefault="004F7506">
      <w:pPr>
        <w:pStyle w:val="Heading1"/>
        <w:tabs>
          <w:tab w:val="left" w:pos="0"/>
        </w:tabs>
        <w:spacing w:before="0" w:after="120" w:line="257" w:lineRule="auto"/>
      </w:pPr>
      <w:r>
        <w:rPr>
          <w:color w:val="1F4E79"/>
        </w:rPr>
        <w:t>4. Proposed Technical Stack</w:t>
      </w:r>
      <w:bookmarkEnd w:id="14"/>
    </w:p>
    <w:tbl>
      <w:tblPr>
        <w:tblW w:w="10188" w:type="dxa"/>
        <w:jc w:val="center"/>
        <w:tblLayout w:type="fixed"/>
        <w:tblLook w:val="04A0" w:firstRow="1" w:lastRow="0" w:firstColumn="1" w:lastColumn="0" w:noHBand="0" w:noVBand="1"/>
      </w:tblPr>
      <w:tblGrid>
        <w:gridCol w:w="2556"/>
        <w:gridCol w:w="3455"/>
        <w:gridCol w:w="4177"/>
      </w:tblGrid>
      <w:tr w:rsidR="00B0243E">
        <w:trPr>
          <w:jc w:val="center"/>
        </w:trPr>
        <w:tc>
          <w:tcPr>
            <w:tcW w:w="2556" w:type="dxa"/>
            <w:tcBorders>
              <w:top w:val="single" w:sz="4" w:space="0" w:color="D9E2EA"/>
              <w:left w:val="single" w:sz="4" w:space="0" w:color="D9E2EA"/>
              <w:bottom w:val="single" w:sz="4" w:space="0" w:color="D9E2EA"/>
              <w:right w:val="single" w:sz="4" w:space="0" w:color="D9E2EA"/>
            </w:tcBorders>
            <w:shd w:val="clear" w:color="auto" w:fill="1F4E79"/>
            <w:vAlign w:val="center"/>
          </w:tcPr>
          <w:p w:rsidR="00B0243E" w:rsidRDefault="004F7506">
            <w:pPr>
              <w:spacing w:after="0" w:line="240" w:lineRule="auto"/>
            </w:pPr>
            <w:r>
              <w:rPr>
                <w:rFonts w:eastAsia="MS Mincho" w:cs="F"/>
                <w:b/>
                <w:color w:val="FFFFFF"/>
                <w:sz w:val="18"/>
              </w:rPr>
              <w:t>Layer</w:t>
            </w:r>
          </w:p>
        </w:tc>
        <w:tc>
          <w:tcPr>
            <w:tcW w:w="3455" w:type="dxa"/>
            <w:tcBorders>
              <w:top w:val="single" w:sz="4" w:space="0" w:color="D9E2EA"/>
              <w:left w:val="single" w:sz="4" w:space="0" w:color="D9E2EA"/>
              <w:bottom w:val="single" w:sz="4" w:space="0" w:color="D9E2EA"/>
              <w:right w:val="single" w:sz="4" w:space="0" w:color="D9E2EA"/>
            </w:tcBorders>
            <w:shd w:val="clear" w:color="auto" w:fill="1F4E79"/>
            <w:vAlign w:val="center"/>
          </w:tcPr>
          <w:p w:rsidR="00B0243E" w:rsidRDefault="004F7506">
            <w:pPr>
              <w:spacing w:after="0" w:line="240" w:lineRule="auto"/>
            </w:pPr>
            <w:r>
              <w:rPr>
                <w:rFonts w:eastAsia="MS Mincho" w:cs="F"/>
                <w:b/>
                <w:color w:val="FFFFFF"/>
                <w:sz w:val="18"/>
              </w:rPr>
              <w:t>Recommended Tools / Technologies</w:t>
            </w:r>
          </w:p>
        </w:tc>
        <w:tc>
          <w:tcPr>
            <w:tcW w:w="4177" w:type="dxa"/>
            <w:tcBorders>
              <w:top w:val="single" w:sz="4" w:space="0" w:color="D9E2EA"/>
              <w:left w:val="single" w:sz="4" w:space="0" w:color="D9E2EA"/>
              <w:bottom w:val="single" w:sz="4" w:space="0" w:color="D9E2EA"/>
              <w:right w:val="single" w:sz="4" w:space="0" w:color="D9E2EA"/>
            </w:tcBorders>
            <w:shd w:val="clear" w:color="auto" w:fill="1F4E79"/>
            <w:vAlign w:val="center"/>
          </w:tcPr>
          <w:p w:rsidR="00B0243E" w:rsidRDefault="004F7506">
            <w:pPr>
              <w:spacing w:after="0" w:line="240" w:lineRule="auto"/>
            </w:pPr>
            <w:r>
              <w:rPr>
                <w:rFonts w:eastAsia="MS Mincho" w:cs="F"/>
                <w:b/>
                <w:color w:val="FFFFFF"/>
                <w:sz w:val="18"/>
              </w:rPr>
              <w:t>Purpose</w:t>
            </w:r>
          </w:p>
        </w:tc>
      </w:tr>
      <w:tr w:rsidR="00B0243E">
        <w:trPr>
          <w:jc w:val="center"/>
        </w:trPr>
        <w:tc>
          <w:tcPr>
            <w:tcW w:w="2556"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Cloud Infrastructure</w:t>
            </w:r>
          </w:p>
        </w:tc>
        <w:tc>
          <w:tcPr>
            <w:tcW w:w="3455"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AWS EC2, VPC, Transit Gateway, Route Management</w:t>
            </w:r>
          </w:p>
        </w:tc>
        <w:tc>
          <w:tcPr>
            <w:tcW w:w="4177"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Infrastructure hosting and private connectivity while keeping services self-managed.</w:t>
            </w:r>
          </w:p>
        </w:tc>
      </w:tr>
      <w:tr w:rsidR="00B0243E">
        <w:trPr>
          <w:jc w:val="center"/>
        </w:trPr>
        <w:tc>
          <w:tcPr>
            <w:tcW w:w="2556"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Edge Security and CDN</w:t>
            </w:r>
          </w:p>
        </w:tc>
        <w:tc>
          <w:tcPr>
            <w:tcW w:w="3455"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Cloudflare</w:t>
            </w:r>
          </w:p>
        </w:tc>
        <w:tc>
          <w:tcPr>
            <w:tcW w:w="4177"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DNS, CDN, DDoS protection, WAF, and rate limiting.</w:t>
            </w:r>
          </w:p>
        </w:tc>
      </w:tr>
      <w:tr w:rsidR="00B0243E">
        <w:trPr>
          <w:jc w:val="center"/>
        </w:trPr>
        <w:tc>
          <w:tcPr>
            <w:tcW w:w="2556"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Firewall / VPN</w:t>
            </w:r>
          </w:p>
        </w:tc>
        <w:tc>
          <w:tcPr>
            <w:tcW w:w="3455"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proofErr w:type="spellStart"/>
            <w:r>
              <w:rPr>
                <w:rFonts w:eastAsia="MS Mincho" w:cs="F"/>
                <w:sz w:val="18"/>
              </w:rPr>
              <w:t>PFsense</w:t>
            </w:r>
            <w:proofErr w:type="spellEnd"/>
          </w:p>
        </w:tc>
        <w:tc>
          <w:tcPr>
            <w:tcW w:w="4177"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Ingress/egress control, VPN access, network segmentation, and outbound policy management.</w:t>
            </w:r>
          </w:p>
        </w:tc>
      </w:tr>
      <w:tr w:rsidR="00B0243E">
        <w:trPr>
          <w:jc w:val="center"/>
        </w:trPr>
        <w:tc>
          <w:tcPr>
            <w:tcW w:w="2556"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Load Balancing / Ingress</w:t>
            </w:r>
          </w:p>
        </w:tc>
        <w:tc>
          <w:tcPr>
            <w:tcW w:w="3455"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proofErr w:type="spellStart"/>
            <w:r>
              <w:rPr>
                <w:rFonts w:eastAsia="MS Mincho" w:cs="F"/>
                <w:sz w:val="18"/>
              </w:rPr>
              <w:t>HAProxy</w:t>
            </w:r>
            <w:proofErr w:type="spellEnd"/>
            <w:r>
              <w:rPr>
                <w:rFonts w:eastAsia="MS Mincho" w:cs="F"/>
                <w:sz w:val="18"/>
              </w:rPr>
              <w:t>, Kubernetes Gateway API</w:t>
            </w:r>
          </w:p>
        </w:tc>
        <w:tc>
          <w:tcPr>
            <w:tcW w:w="4177"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Flexible Layer 4/Layer 7 routing and API gateway traffic management.</w:t>
            </w:r>
          </w:p>
        </w:tc>
      </w:tr>
      <w:tr w:rsidR="00B0243E">
        <w:trPr>
          <w:jc w:val="center"/>
        </w:trPr>
        <w:tc>
          <w:tcPr>
            <w:tcW w:w="2556"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Container Platform</w:t>
            </w:r>
          </w:p>
        </w:tc>
        <w:tc>
          <w:tcPr>
            <w:tcW w:w="3455"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Self-managed Kubernetes, ETCD, Cilium</w:t>
            </w:r>
          </w:p>
        </w:tc>
        <w:tc>
          <w:tcPr>
            <w:tcW w:w="4177"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Portable orchestration layer with secure networking and horizontal scaling.</w:t>
            </w:r>
          </w:p>
        </w:tc>
      </w:tr>
      <w:tr w:rsidR="00B0243E">
        <w:trPr>
          <w:jc w:val="center"/>
        </w:trPr>
        <w:tc>
          <w:tcPr>
            <w:tcW w:w="2556"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Database</w:t>
            </w:r>
          </w:p>
        </w:tc>
        <w:tc>
          <w:tcPr>
            <w:tcW w:w="3455"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 xml:space="preserve">PostgreSQL, </w:t>
            </w:r>
            <w:proofErr w:type="spellStart"/>
            <w:r>
              <w:rPr>
                <w:rFonts w:eastAsia="MS Mincho" w:cs="F"/>
                <w:sz w:val="18"/>
              </w:rPr>
              <w:t>Patroni</w:t>
            </w:r>
            <w:proofErr w:type="spellEnd"/>
            <w:r>
              <w:rPr>
                <w:rFonts w:eastAsia="MS Mincho" w:cs="F"/>
                <w:sz w:val="18"/>
              </w:rPr>
              <w:t xml:space="preserve">, </w:t>
            </w:r>
            <w:proofErr w:type="spellStart"/>
            <w:r>
              <w:rPr>
                <w:rFonts w:eastAsia="MS Mincho" w:cs="F"/>
                <w:sz w:val="18"/>
              </w:rPr>
              <w:t>PgBouncer</w:t>
            </w:r>
            <w:proofErr w:type="spellEnd"/>
            <w:r>
              <w:rPr>
                <w:rFonts w:eastAsia="MS Mincho" w:cs="F"/>
                <w:sz w:val="18"/>
              </w:rPr>
              <w:t>, WAL-G</w:t>
            </w:r>
          </w:p>
        </w:tc>
        <w:tc>
          <w:tcPr>
            <w:tcW w:w="4177"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Transactional storage, HA failover, connection pooling, and PITR backup support.</w:t>
            </w:r>
          </w:p>
        </w:tc>
      </w:tr>
      <w:tr w:rsidR="00B0243E">
        <w:trPr>
          <w:jc w:val="center"/>
        </w:trPr>
        <w:tc>
          <w:tcPr>
            <w:tcW w:w="2556"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Analytics Database</w:t>
            </w:r>
          </w:p>
        </w:tc>
        <w:tc>
          <w:tcPr>
            <w:tcW w:w="3455"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proofErr w:type="spellStart"/>
            <w:r>
              <w:rPr>
                <w:rFonts w:eastAsia="MS Mincho" w:cs="F"/>
                <w:sz w:val="18"/>
              </w:rPr>
              <w:t>ClickHouse</w:t>
            </w:r>
            <w:proofErr w:type="spellEnd"/>
          </w:p>
        </w:tc>
        <w:tc>
          <w:tcPr>
            <w:tcW w:w="4177"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High-volume reporting, learning analytics, and stakeholder dashboards.</w:t>
            </w:r>
          </w:p>
        </w:tc>
      </w:tr>
      <w:tr w:rsidR="00B0243E">
        <w:trPr>
          <w:jc w:val="center"/>
        </w:trPr>
        <w:tc>
          <w:tcPr>
            <w:tcW w:w="2556"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Cache / Session Layer</w:t>
            </w:r>
          </w:p>
        </w:tc>
        <w:tc>
          <w:tcPr>
            <w:tcW w:w="3455"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Redis Cluster</w:t>
            </w:r>
          </w:p>
        </w:tc>
        <w:tc>
          <w:tcPr>
            <w:tcW w:w="4177"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Sessions, token management, cache, leaderboards, and rate limiting.</w:t>
            </w:r>
          </w:p>
        </w:tc>
      </w:tr>
      <w:tr w:rsidR="00B0243E">
        <w:trPr>
          <w:jc w:val="center"/>
        </w:trPr>
        <w:tc>
          <w:tcPr>
            <w:tcW w:w="2556"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Event Streaming</w:t>
            </w:r>
          </w:p>
        </w:tc>
        <w:tc>
          <w:tcPr>
            <w:tcW w:w="3455"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Apache Kafka</w:t>
            </w:r>
          </w:p>
        </w:tc>
        <w:tc>
          <w:tcPr>
            <w:tcW w:w="4177"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rPr>
                <w:sz w:val="18"/>
              </w:rPr>
            </w:pPr>
            <w:r>
              <w:rPr>
                <w:sz w:val="18"/>
              </w:rPr>
              <w:t>Scope dependent</w:t>
            </w:r>
          </w:p>
        </w:tc>
      </w:tr>
      <w:tr w:rsidR="00B0243E">
        <w:trPr>
          <w:jc w:val="center"/>
        </w:trPr>
        <w:tc>
          <w:tcPr>
            <w:tcW w:w="2556"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Object Storage</w:t>
            </w:r>
          </w:p>
        </w:tc>
        <w:tc>
          <w:tcPr>
            <w:tcW w:w="3455"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proofErr w:type="spellStart"/>
            <w:r>
              <w:rPr>
                <w:rFonts w:eastAsia="MS Mincho" w:cs="F"/>
                <w:sz w:val="18"/>
              </w:rPr>
              <w:t>MinIO</w:t>
            </w:r>
            <w:proofErr w:type="spellEnd"/>
            <w:r>
              <w:rPr>
                <w:rFonts w:eastAsia="MS Mincho" w:cs="F"/>
                <w:sz w:val="18"/>
              </w:rPr>
              <w:t>-compatible storage</w:t>
            </w:r>
          </w:p>
        </w:tc>
        <w:tc>
          <w:tcPr>
            <w:tcW w:w="4177"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Media, course materials, documents, videos, and portable object storage abstraction.</w:t>
            </w:r>
          </w:p>
        </w:tc>
      </w:tr>
      <w:tr w:rsidR="00B0243E">
        <w:trPr>
          <w:jc w:val="center"/>
        </w:trPr>
        <w:tc>
          <w:tcPr>
            <w:tcW w:w="2556"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CI/CD</w:t>
            </w:r>
          </w:p>
        </w:tc>
        <w:tc>
          <w:tcPr>
            <w:tcW w:w="3455"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 xml:space="preserve">Jenkins, Harbor, </w:t>
            </w:r>
            <w:proofErr w:type="spellStart"/>
            <w:r>
              <w:rPr>
                <w:rFonts w:eastAsia="MS Mincho" w:cs="F"/>
                <w:sz w:val="18"/>
              </w:rPr>
              <w:t>ArgoCD</w:t>
            </w:r>
            <w:proofErr w:type="spellEnd"/>
          </w:p>
        </w:tc>
        <w:tc>
          <w:tcPr>
            <w:tcW w:w="4177"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 xml:space="preserve">Build, test, scan, image registry, and </w:t>
            </w:r>
            <w:proofErr w:type="spellStart"/>
            <w:r>
              <w:rPr>
                <w:rFonts w:eastAsia="MS Mincho" w:cs="F"/>
                <w:sz w:val="18"/>
              </w:rPr>
              <w:t>GitOps</w:t>
            </w:r>
            <w:proofErr w:type="spellEnd"/>
            <w:r>
              <w:rPr>
                <w:rFonts w:eastAsia="MS Mincho" w:cs="F"/>
                <w:sz w:val="18"/>
              </w:rPr>
              <w:t xml:space="preserve"> deployment automation.</w:t>
            </w:r>
          </w:p>
        </w:tc>
      </w:tr>
      <w:tr w:rsidR="00B0243E">
        <w:trPr>
          <w:jc w:val="center"/>
        </w:trPr>
        <w:tc>
          <w:tcPr>
            <w:tcW w:w="2556"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Secrets Management</w:t>
            </w:r>
          </w:p>
        </w:tc>
        <w:tc>
          <w:tcPr>
            <w:tcW w:w="3455"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proofErr w:type="spellStart"/>
            <w:r>
              <w:rPr>
                <w:rFonts w:eastAsia="MS Mincho" w:cs="F"/>
                <w:sz w:val="18"/>
              </w:rPr>
              <w:t>HashiCorp</w:t>
            </w:r>
            <w:proofErr w:type="spellEnd"/>
            <w:r>
              <w:rPr>
                <w:rFonts w:eastAsia="MS Mincho" w:cs="F"/>
                <w:sz w:val="18"/>
              </w:rPr>
              <w:t xml:space="preserve"> Vault</w:t>
            </w:r>
          </w:p>
        </w:tc>
        <w:tc>
          <w:tcPr>
            <w:tcW w:w="4177"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Secrets, database credentials, API keys, certificates, and secure secret rotation readiness.</w:t>
            </w:r>
          </w:p>
        </w:tc>
      </w:tr>
      <w:tr w:rsidR="00B0243E">
        <w:trPr>
          <w:jc w:val="center"/>
        </w:trPr>
        <w:tc>
          <w:tcPr>
            <w:tcW w:w="2556"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Observability</w:t>
            </w:r>
          </w:p>
        </w:tc>
        <w:tc>
          <w:tcPr>
            <w:tcW w:w="3455"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Prometheus, Grafana, ELK/OpenSearch, Sentry</w:t>
            </w:r>
          </w:p>
        </w:tc>
        <w:tc>
          <w:tcPr>
            <w:tcW w:w="4177"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Metrics, dashboards, centralized logs, application errors, and alerts.</w:t>
            </w:r>
          </w:p>
        </w:tc>
      </w:tr>
      <w:tr w:rsidR="00B0243E">
        <w:trPr>
          <w:jc w:val="center"/>
        </w:trPr>
        <w:tc>
          <w:tcPr>
            <w:tcW w:w="2556"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Backup and DR</w:t>
            </w:r>
          </w:p>
        </w:tc>
        <w:tc>
          <w:tcPr>
            <w:tcW w:w="3455"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proofErr w:type="spellStart"/>
            <w:r>
              <w:rPr>
                <w:rFonts w:eastAsia="MS Mincho" w:cs="F"/>
                <w:sz w:val="18"/>
              </w:rPr>
              <w:t>Velero</w:t>
            </w:r>
            <w:proofErr w:type="spellEnd"/>
            <w:r>
              <w:rPr>
                <w:rFonts w:eastAsia="MS Mincho" w:cs="F"/>
                <w:sz w:val="18"/>
              </w:rPr>
              <w:t xml:space="preserve">, WAL-G, </w:t>
            </w:r>
            <w:proofErr w:type="spellStart"/>
            <w:r>
              <w:rPr>
                <w:rFonts w:eastAsia="MS Mincho" w:cs="F"/>
                <w:sz w:val="18"/>
              </w:rPr>
              <w:t>MinIO</w:t>
            </w:r>
            <w:proofErr w:type="spellEnd"/>
            <w:r>
              <w:rPr>
                <w:rFonts w:eastAsia="MS Mincho" w:cs="F"/>
                <w:sz w:val="18"/>
              </w:rPr>
              <w:t xml:space="preserve"> Replication, Git-based configuration backup</w:t>
            </w:r>
          </w:p>
        </w:tc>
        <w:tc>
          <w:tcPr>
            <w:tcW w:w="4177"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Database, Kubernetes, object storage, and configuration recovery.</w:t>
            </w:r>
          </w:p>
        </w:tc>
      </w:tr>
      <w:tr w:rsidR="00B0243E">
        <w:trPr>
          <w:jc w:val="center"/>
        </w:trPr>
        <w:tc>
          <w:tcPr>
            <w:tcW w:w="2556"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Security Testing Tools</w:t>
            </w:r>
          </w:p>
        </w:tc>
        <w:tc>
          <w:tcPr>
            <w:tcW w:w="3455"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 xml:space="preserve">SonarQube, </w:t>
            </w:r>
            <w:proofErr w:type="spellStart"/>
            <w:r>
              <w:rPr>
                <w:rFonts w:eastAsia="MS Mincho" w:cs="F"/>
                <w:sz w:val="18"/>
              </w:rPr>
              <w:t>Trivy</w:t>
            </w:r>
            <w:proofErr w:type="spellEnd"/>
            <w:r>
              <w:rPr>
                <w:rFonts w:eastAsia="MS Mincho" w:cs="F"/>
                <w:sz w:val="18"/>
              </w:rPr>
              <w:t>, OWASP-aligned testing tools</w:t>
            </w:r>
          </w:p>
        </w:tc>
        <w:tc>
          <w:tcPr>
            <w:tcW w:w="4177"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Code quality, dependency/image scanning, and penetration testing support.</w:t>
            </w:r>
          </w:p>
        </w:tc>
      </w:tr>
    </w:tbl>
    <w:p w:rsidR="00B0243E" w:rsidRDefault="004F7506">
      <w:pPr>
        <w:keepNext/>
        <w:spacing w:after="80"/>
      </w:pPr>
      <w:r>
        <w:rPr>
          <w:b/>
          <w:sz w:val="22"/>
        </w:rPr>
        <w:br/>
        <w:t>Preliminary Monthly Infrastructure Cost Assumption</w:t>
      </w:r>
    </w:p>
    <w:p w:rsidR="00B0243E" w:rsidRDefault="004F7506">
      <w:pPr>
        <w:spacing w:after="80"/>
      </w:pPr>
      <w:r>
        <w:rPr>
          <w:sz w:val="17"/>
        </w:rPr>
        <w:t>Important pricing note: The following table is a preliminary monthly infrastructure estimate for the current proposal components. It is infrastructure-only and excludes implementation labor, application development, taxes, premium support, third-party license fees, and AI model token/inference consumption. Final pricing should be recalculated after target AWS region, traffic, storage, concurrency, and retention assumptions are confirmed.</w:t>
      </w:r>
    </w:p>
    <w:p w:rsidR="00B0243E" w:rsidRDefault="004F7506">
      <w:pPr>
        <w:spacing w:after="120"/>
      </w:pPr>
      <w:r>
        <w:rPr>
          <w:b/>
          <w:sz w:val="18"/>
        </w:rPr>
        <w:t>Indicative monthly estimate: Approximately US$7.8k-8.3k / month</w:t>
      </w:r>
    </w:p>
    <w:tbl>
      <w:tblPr>
        <w:tblW w:w="10176" w:type="dxa"/>
        <w:jc w:val="center"/>
        <w:tblLayout w:type="fixed"/>
        <w:tblLook w:val="04A0" w:firstRow="1" w:lastRow="0" w:firstColumn="1" w:lastColumn="0" w:noHBand="0" w:noVBand="1"/>
      </w:tblPr>
      <w:tblGrid>
        <w:gridCol w:w="2875"/>
        <w:gridCol w:w="5200"/>
        <w:gridCol w:w="2101"/>
      </w:tblGrid>
      <w:tr w:rsidR="00B0243E">
        <w:trPr>
          <w:jc w:val="center"/>
        </w:trPr>
        <w:tc>
          <w:tcPr>
            <w:tcW w:w="2875"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B0243E" w:rsidRDefault="004F7506">
            <w:pPr>
              <w:spacing w:after="0" w:line="240" w:lineRule="auto"/>
            </w:pPr>
            <w:r>
              <w:rPr>
                <w:rFonts w:cs="F"/>
                <w:b/>
                <w:szCs w:val="20"/>
              </w:rPr>
              <w:t>Component group</w:t>
            </w:r>
          </w:p>
        </w:tc>
        <w:tc>
          <w:tcPr>
            <w:tcW w:w="5200"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B0243E" w:rsidRDefault="004F7506">
            <w:pPr>
              <w:spacing w:after="0" w:line="240" w:lineRule="auto"/>
            </w:pPr>
            <w:r>
              <w:rPr>
                <w:rFonts w:cs="F"/>
                <w:b/>
                <w:szCs w:val="20"/>
              </w:rPr>
              <w:t>Assumption used</w:t>
            </w:r>
          </w:p>
        </w:tc>
        <w:tc>
          <w:tcPr>
            <w:tcW w:w="2101" w:type="dxa"/>
            <w:tcBorders>
              <w:top w:val="single" w:sz="4" w:space="0" w:color="BFBFBF"/>
              <w:left w:val="single" w:sz="4" w:space="0" w:color="BFBFBF"/>
              <w:bottom w:val="single" w:sz="4" w:space="0" w:color="BFBFBF"/>
              <w:right w:val="single" w:sz="4" w:space="0" w:color="BFBFBF"/>
            </w:tcBorders>
            <w:shd w:val="clear" w:color="auto" w:fill="D9EAF7"/>
            <w:vAlign w:val="center"/>
          </w:tcPr>
          <w:p w:rsidR="00B0243E" w:rsidRDefault="004F7506">
            <w:pPr>
              <w:spacing w:after="0" w:line="240" w:lineRule="auto"/>
              <w:jc w:val="center"/>
            </w:pPr>
            <w:r>
              <w:rPr>
                <w:rFonts w:cs="F"/>
                <w:b/>
                <w:szCs w:val="20"/>
              </w:rPr>
              <w:t>Estimated monthly cost</w:t>
            </w:r>
          </w:p>
        </w:tc>
      </w:tr>
      <w:tr w:rsidR="00B0243E">
        <w:trPr>
          <w:jc w:val="center"/>
        </w:trPr>
        <w:tc>
          <w:tcPr>
            <w:tcW w:w="2875"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Cloudflare Business + edge security</w:t>
            </w:r>
          </w:p>
        </w:tc>
        <w:tc>
          <w:tcPr>
            <w:tcW w:w="5200"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1 zone / app used as placeholder for DNS, CDN, WAF, DDoS protection, and rate limiting. Akamai alternative to be estimated separately if selected.</w:t>
            </w:r>
          </w:p>
        </w:tc>
        <w:tc>
          <w:tcPr>
            <w:tcW w:w="2101"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jc w:val="center"/>
            </w:pPr>
            <w:r>
              <w:rPr>
                <w:rFonts w:cs="F"/>
                <w:szCs w:val="20"/>
              </w:rPr>
              <w:t>US$200</w:t>
            </w:r>
          </w:p>
        </w:tc>
      </w:tr>
      <w:tr w:rsidR="00B0243E">
        <w:trPr>
          <w:jc w:val="center"/>
        </w:trPr>
        <w:tc>
          <w:tcPr>
            <w:tcW w:w="2875"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AWS network foundation</w:t>
            </w:r>
          </w:p>
        </w:tc>
        <w:tc>
          <w:tcPr>
            <w:tcW w:w="5200"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Two-region VPC baseline, Transit Gateway attachments, route management, VPN/NAT planning allowance, and private connectivity reserve.</w:t>
            </w:r>
          </w:p>
        </w:tc>
        <w:tc>
          <w:tcPr>
            <w:tcW w:w="2101"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jc w:val="center"/>
            </w:pPr>
            <w:r>
              <w:rPr>
                <w:rFonts w:cs="F"/>
                <w:szCs w:val="20"/>
              </w:rPr>
              <w:t>~US$350</w:t>
            </w:r>
          </w:p>
        </w:tc>
      </w:tr>
      <w:tr w:rsidR="00B0243E">
        <w:trPr>
          <w:jc w:val="center"/>
        </w:trPr>
        <w:tc>
          <w:tcPr>
            <w:tcW w:w="2875"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Firewall / VPN layer</w:t>
            </w:r>
          </w:p>
        </w:tc>
        <w:tc>
          <w:tcPr>
            <w:tcW w:w="5200"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 xml:space="preserve">2 x </w:t>
            </w:r>
            <w:proofErr w:type="spellStart"/>
            <w:r>
              <w:rPr>
                <w:rFonts w:cs="F"/>
                <w:szCs w:val="20"/>
              </w:rPr>
              <w:t>PFsense</w:t>
            </w:r>
            <w:proofErr w:type="spellEnd"/>
            <w:r>
              <w:rPr>
                <w:rFonts w:cs="F"/>
                <w:szCs w:val="20"/>
              </w:rPr>
              <w:t xml:space="preserve"> EC2 nodes for ingress/egress control, VPN access, segmentation, EBS, and small network reserve.</w:t>
            </w:r>
          </w:p>
        </w:tc>
        <w:tc>
          <w:tcPr>
            <w:tcW w:w="2101"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jc w:val="center"/>
            </w:pPr>
            <w:r>
              <w:rPr>
                <w:rFonts w:cs="F"/>
                <w:szCs w:val="20"/>
              </w:rPr>
              <w:t>~US$100</w:t>
            </w:r>
          </w:p>
        </w:tc>
      </w:tr>
      <w:tr w:rsidR="00B0243E">
        <w:trPr>
          <w:jc w:val="center"/>
        </w:trPr>
        <w:tc>
          <w:tcPr>
            <w:tcW w:w="2875"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lastRenderedPageBreak/>
              <w:t>Load balancing / ingress</w:t>
            </w:r>
          </w:p>
        </w:tc>
        <w:tc>
          <w:tcPr>
            <w:tcW w:w="5200"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 xml:space="preserve">AWS ALB/NLB usage allowance plus </w:t>
            </w:r>
            <w:proofErr w:type="spellStart"/>
            <w:r>
              <w:rPr>
                <w:rFonts w:cs="F"/>
                <w:szCs w:val="20"/>
              </w:rPr>
              <w:t>HAProxy</w:t>
            </w:r>
            <w:proofErr w:type="spellEnd"/>
            <w:r>
              <w:rPr>
                <w:rFonts w:cs="F"/>
                <w:szCs w:val="20"/>
              </w:rPr>
              <w:t xml:space="preserve"> ingress nodes for controlled Layer 4/Layer 7 routing.</w:t>
            </w:r>
          </w:p>
        </w:tc>
        <w:tc>
          <w:tcPr>
            <w:tcW w:w="2101"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jc w:val="center"/>
            </w:pPr>
            <w:r>
              <w:rPr>
                <w:rFonts w:cs="F"/>
                <w:szCs w:val="20"/>
              </w:rPr>
              <w:t>~US$180</w:t>
            </w:r>
          </w:p>
        </w:tc>
      </w:tr>
      <w:tr w:rsidR="00B0243E">
        <w:trPr>
          <w:jc w:val="center"/>
        </w:trPr>
        <w:tc>
          <w:tcPr>
            <w:tcW w:w="2875"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Kubernetes control plane + ETCD</w:t>
            </w:r>
          </w:p>
        </w:tc>
        <w:tc>
          <w:tcPr>
            <w:tcW w:w="5200"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6 x control plane / ETCD EC2 nodes across primary and standby DR footprint, including baseline EBS storage.</w:t>
            </w:r>
          </w:p>
        </w:tc>
        <w:tc>
          <w:tcPr>
            <w:tcW w:w="2101"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jc w:val="center"/>
            </w:pPr>
            <w:r>
              <w:rPr>
                <w:rFonts w:cs="F"/>
                <w:szCs w:val="20"/>
              </w:rPr>
              <w:t>~US$480</w:t>
            </w:r>
          </w:p>
        </w:tc>
      </w:tr>
      <w:tr w:rsidR="00B0243E">
        <w:trPr>
          <w:jc w:val="center"/>
        </w:trPr>
        <w:tc>
          <w:tcPr>
            <w:tcW w:w="2875"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Kubernetes worker pool</w:t>
            </w:r>
          </w:p>
        </w:tc>
        <w:tc>
          <w:tcPr>
            <w:tcW w:w="5200"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6 x general-purpose EC2 worker nodes for application/platform workloads, autoscaling readiness, and baseline EBS storage.</w:t>
            </w:r>
          </w:p>
        </w:tc>
        <w:tc>
          <w:tcPr>
            <w:tcW w:w="2101"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jc w:val="center"/>
            </w:pPr>
            <w:r>
              <w:rPr>
                <w:rFonts w:cs="F"/>
                <w:szCs w:val="20"/>
              </w:rPr>
              <w:t>~US$960</w:t>
            </w:r>
          </w:p>
        </w:tc>
      </w:tr>
      <w:tr w:rsidR="00B0243E">
        <w:trPr>
          <w:jc w:val="center"/>
        </w:trPr>
        <w:tc>
          <w:tcPr>
            <w:tcW w:w="2875"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 xml:space="preserve">PostgreSQL HA + </w:t>
            </w:r>
            <w:proofErr w:type="spellStart"/>
            <w:r>
              <w:rPr>
                <w:rFonts w:cs="F"/>
                <w:szCs w:val="20"/>
              </w:rPr>
              <w:t>PgBouncer</w:t>
            </w:r>
            <w:proofErr w:type="spellEnd"/>
            <w:r>
              <w:rPr>
                <w:rFonts w:cs="F"/>
                <w:szCs w:val="20"/>
              </w:rPr>
              <w:t xml:space="preserve"> + WAL-G</w:t>
            </w:r>
          </w:p>
        </w:tc>
        <w:tc>
          <w:tcPr>
            <w:tcW w:w="5200"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 xml:space="preserve">3 x database-class EC2 nodes with </w:t>
            </w:r>
            <w:proofErr w:type="spellStart"/>
            <w:r>
              <w:rPr>
                <w:rFonts w:cs="F"/>
                <w:szCs w:val="20"/>
              </w:rPr>
              <w:t>Patroni</w:t>
            </w:r>
            <w:proofErr w:type="spellEnd"/>
            <w:r>
              <w:rPr>
                <w:rFonts w:cs="F"/>
                <w:szCs w:val="20"/>
              </w:rPr>
              <w:t xml:space="preserve">, </w:t>
            </w:r>
            <w:proofErr w:type="spellStart"/>
            <w:r>
              <w:rPr>
                <w:rFonts w:cs="F"/>
                <w:szCs w:val="20"/>
              </w:rPr>
              <w:t>PgBouncer</w:t>
            </w:r>
            <w:proofErr w:type="spellEnd"/>
            <w:r>
              <w:rPr>
                <w:rFonts w:cs="F"/>
                <w:szCs w:val="20"/>
              </w:rPr>
              <w:t>, WAL-G, gp3 storage, and backup archive allowance.</w:t>
            </w:r>
          </w:p>
        </w:tc>
        <w:tc>
          <w:tcPr>
            <w:tcW w:w="2101"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jc w:val="center"/>
            </w:pPr>
            <w:r>
              <w:rPr>
                <w:rFonts w:cs="F"/>
                <w:szCs w:val="20"/>
              </w:rPr>
              <w:t>~US$850</w:t>
            </w:r>
          </w:p>
        </w:tc>
      </w:tr>
      <w:tr w:rsidR="00B0243E">
        <w:trPr>
          <w:jc w:val="center"/>
        </w:trPr>
        <w:tc>
          <w:tcPr>
            <w:tcW w:w="2875"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Redis cache</w:t>
            </w:r>
          </w:p>
        </w:tc>
        <w:tc>
          <w:tcPr>
            <w:tcW w:w="5200"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3 x EC2 cache/session nodes with storage and availability reserve.</w:t>
            </w:r>
          </w:p>
        </w:tc>
        <w:tc>
          <w:tcPr>
            <w:tcW w:w="2101"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jc w:val="center"/>
            </w:pPr>
            <w:r>
              <w:rPr>
                <w:rFonts w:cs="F"/>
                <w:szCs w:val="20"/>
              </w:rPr>
              <w:t>~US$270</w:t>
            </w:r>
          </w:p>
        </w:tc>
      </w:tr>
      <w:tr w:rsidR="00B0243E">
        <w:trPr>
          <w:jc w:val="center"/>
        </w:trPr>
        <w:tc>
          <w:tcPr>
            <w:tcW w:w="2875" w:type="dxa"/>
            <w:tcBorders>
              <w:top w:val="single" w:sz="4" w:space="0" w:color="BFBFBF"/>
              <w:left w:val="single" w:sz="4" w:space="0" w:color="BFBFBF"/>
              <w:bottom w:val="single" w:sz="4" w:space="0" w:color="BFBFBF"/>
              <w:right w:val="single" w:sz="4" w:space="0" w:color="BFBFBF"/>
            </w:tcBorders>
            <w:vAlign w:val="center"/>
          </w:tcPr>
          <w:p w:rsidR="00B0243E" w:rsidRPr="00870BBE" w:rsidRDefault="004F7506">
            <w:pPr>
              <w:spacing w:after="0" w:line="240" w:lineRule="auto"/>
            </w:pPr>
            <w:r>
              <w:rPr>
                <w:rFonts w:cs="F"/>
                <w:szCs w:val="20"/>
              </w:rPr>
              <w:t>Kafka event streaming</w:t>
            </w:r>
            <w:r w:rsidR="00870BBE">
              <w:rPr>
                <w:rFonts w:cs="F"/>
                <w:szCs w:val="20"/>
              </w:rPr>
              <w:t xml:space="preserve"> (</w:t>
            </w:r>
            <w:r w:rsidR="00870BBE">
              <w:rPr>
                <w:rFonts w:ascii="Segoe UI" w:eastAsia="MS Mincho" w:hAnsi="Segoe UI" w:cs="Segoe UI"/>
                <w:sz w:val="18"/>
                <w:szCs w:val="18"/>
              </w:rPr>
              <w:t>scope</w:t>
            </w:r>
            <w:r w:rsidR="00870BBE">
              <w:rPr>
                <w:rFonts w:cs="F"/>
                <w:szCs w:val="20"/>
              </w:rPr>
              <w:t xml:space="preserve"> dependent)</w:t>
            </w:r>
          </w:p>
        </w:tc>
        <w:tc>
          <w:tcPr>
            <w:tcW w:w="5200"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3 x EC2 broker nodes with durable storage allowance for activity, audit, notification, analytics, and future AI event flows (</w:t>
            </w:r>
            <w:r>
              <w:rPr>
                <w:rFonts w:ascii="Segoe UI" w:eastAsia="MS Mincho" w:hAnsi="Segoe UI" w:cs="Segoe UI"/>
                <w:sz w:val="18"/>
                <w:szCs w:val="18"/>
              </w:rPr>
              <w:t>scope</w:t>
            </w:r>
            <w:r>
              <w:rPr>
                <w:rFonts w:cs="F"/>
                <w:szCs w:val="20"/>
              </w:rPr>
              <w:t xml:space="preserve"> dependent).</w:t>
            </w:r>
          </w:p>
        </w:tc>
        <w:tc>
          <w:tcPr>
            <w:tcW w:w="2101"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jc w:val="center"/>
            </w:pPr>
            <w:r>
              <w:rPr>
                <w:rFonts w:cs="F"/>
                <w:szCs w:val="20"/>
              </w:rPr>
              <w:t>~US$670</w:t>
            </w:r>
          </w:p>
        </w:tc>
      </w:tr>
      <w:tr w:rsidR="00B0243E">
        <w:trPr>
          <w:jc w:val="center"/>
        </w:trPr>
        <w:tc>
          <w:tcPr>
            <w:tcW w:w="2875"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proofErr w:type="spellStart"/>
            <w:r>
              <w:rPr>
                <w:rFonts w:cs="F"/>
                <w:szCs w:val="20"/>
              </w:rPr>
              <w:t>ClickHouse</w:t>
            </w:r>
            <w:proofErr w:type="spellEnd"/>
            <w:r>
              <w:rPr>
                <w:rFonts w:cs="F"/>
                <w:szCs w:val="20"/>
              </w:rPr>
              <w:t xml:space="preserve"> analytics database</w:t>
            </w:r>
          </w:p>
        </w:tc>
        <w:tc>
          <w:tcPr>
            <w:tcW w:w="5200"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3 x analytics EC2 nodes with gp3 storage allowance for reporting, learning analytics, and stakeholder dashboards.</w:t>
            </w:r>
          </w:p>
        </w:tc>
        <w:tc>
          <w:tcPr>
            <w:tcW w:w="2101"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jc w:val="center"/>
            </w:pPr>
            <w:r>
              <w:rPr>
                <w:rFonts w:cs="F"/>
                <w:szCs w:val="20"/>
              </w:rPr>
              <w:t>~US$850</w:t>
            </w:r>
          </w:p>
        </w:tc>
      </w:tr>
      <w:tr w:rsidR="00B0243E">
        <w:trPr>
          <w:jc w:val="center"/>
        </w:trPr>
        <w:tc>
          <w:tcPr>
            <w:tcW w:w="2875"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proofErr w:type="spellStart"/>
            <w:r>
              <w:rPr>
                <w:rFonts w:cs="F"/>
                <w:szCs w:val="20"/>
              </w:rPr>
              <w:t>MinIO</w:t>
            </w:r>
            <w:proofErr w:type="spellEnd"/>
            <w:r>
              <w:rPr>
                <w:rFonts w:cs="F"/>
                <w:szCs w:val="20"/>
              </w:rPr>
              <w:t>-compatible object storage</w:t>
            </w:r>
          </w:p>
        </w:tc>
        <w:tc>
          <w:tcPr>
            <w:tcW w:w="5200"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3 x storage nodes plus EBS/S3-compatible storage allowance for media, documents, course materials, and backup objects.</w:t>
            </w:r>
          </w:p>
        </w:tc>
        <w:tc>
          <w:tcPr>
            <w:tcW w:w="2101"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jc w:val="center"/>
            </w:pPr>
            <w:r>
              <w:rPr>
                <w:rFonts w:cs="F"/>
                <w:szCs w:val="20"/>
              </w:rPr>
              <w:t>~US$1,020</w:t>
            </w:r>
          </w:p>
        </w:tc>
      </w:tr>
      <w:tr w:rsidR="00B0243E">
        <w:trPr>
          <w:jc w:val="center"/>
        </w:trPr>
        <w:tc>
          <w:tcPr>
            <w:tcW w:w="2875"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 xml:space="preserve">CI/CD and </w:t>
            </w:r>
            <w:proofErr w:type="spellStart"/>
            <w:r>
              <w:rPr>
                <w:rFonts w:cs="F"/>
                <w:szCs w:val="20"/>
              </w:rPr>
              <w:t>GitOps</w:t>
            </w:r>
            <w:proofErr w:type="spellEnd"/>
          </w:p>
        </w:tc>
        <w:tc>
          <w:tcPr>
            <w:tcW w:w="5200"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 xml:space="preserve">Jenkins, Harbor, and </w:t>
            </w:r>
            <w:proofErr w:type="spellStart"/>
            <w:r>
              <w:rPr>
                <w:rFonts w:cs="F"/>
                <w:szCs w:val="20"/>
              </w:rPr>
              <w:t>ArgoCD</w:t>
            </w:r>
            <w:proofErr w:type="spellEnd"/>
            <w:r>
              <w:rPr>
                <w:rFonts w:cs="F"/>
                <w:szCs w:val="20"/>
              </w:rPr>
              <w:t xml:space="preserve"> on 2-3 small/medium EC2 nodes with registry storage allowance.</w:t>
            </w:r>
          </w:p>
        </w:tc>
        <w:tc>
          <w:tcPr>
            <w:tcW w:w="2101"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jc w:val="center"/>
            </w:pPr>
            <w:r>
              <w:rPr>
                <w:rFonts w:cs="F"/>
                <w:szCs w:val="20"/>
              </w:rPr>
              <w:t>~US$300</w:t>
            </w:r>
          </w:p>
        </w:tc>
      </w:tr>
      <w:tr w:rsidR="00B0243E">
        <w:trPr>
          <w:jc w:val="center"/>
        </w:trPr>
        <w:tc>
          <w:tcPr>
            <w:tcW w:w="2875"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Secrets management</w:t>
            </w:r>
          </w:p>
        </w:tc>
        <w:tc>
          <w:tcPr>
            <w:tcW w:w="5200"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proofErr w:type="spellStart"/>
            <w:r>
              <w:rPr>
                <w:rFonts w:cs="F"/>
                <w:szCs w:val="20"/>
              </w:rPr>
              <w:t>HashiCorp</w:t>
            </w:r>
            <w:proofErr w:type="spellEnd"/>
            <w:r>
              <w:rPr>
                <w:rFonts w:cs="F"/>
                <w:szCs w:val="20"/>
              </w:rPr>
              <w:t xml:space="preserve"> Vault HA baseline on 3 small nodes for secrets, credentials, certificates, and rotation readiness.</w:t>
            </w:r>
          </w:p>
        </w:tc>
        <w:tc>
          <w:tcPr>
            <w:tcW w:w="2101"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jc w:val="center"/>
            </w:pPr>
            <w:r>
              <w:rPr>
                <w:rFonts w:cs="F"/>
                <w:szCs w:val="20"/>
              </w:rPr>
              <w:t>~US$120</w:t>
            </w:r>
          </w:p>
        </w:tc>
      </w:tr>
      <w:tr w:rsidR="00B0243E">
        <w:trPr>
          <w:jc w:val="center"/>
        </w:trPr>
        <w:tc>
          <w:tcPr>
            <w:tcW w:w="2875"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Observability stack</w:t>
            </w:r>
          </w:p>
        </w:tc>
        <w:tc>
          <w:tcPr>
            <w:tcW w:w="5200"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Prometheus, Grafana, ELK/OpenSearch, and Sentry nodes with log retention/storage/headroom allowance.</w:t>
            </w:r>
          </w:p>
        </w:tc>
        <w:tc>
          <w:tcPr>
            <w:tcW w:w="2101"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jc w:val="center"/>
            </w:pPr>
            <w:r>
              <w:rPr>
                <w:rFonts w:cs="F"/>
                <w:szCs w:val="20"/>
              </w:rPr>
              <w:t>~US$770</w:t>
            </w:r>
          </w:p>
        </w:tc>
      </w:tr>
      <w:tr w:rsidR="00B0243E">
        <w:trPr>
          <w:jc w:val="center"/>
        </w:trPr>
        <w:tc>
          <w:tcPr>
            <w:tcW w:w="2875"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Backup and DR reserve</w:t>
            </w:r>
          </w:p>
        </w:tc>
        <w:tc>
          <w:tcPr>
            <w:tcW w:w="5200"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proofErr w:type="spellStart"/>
            <w:r>
              <w:rPr>
                <w:rFonts w:cs="F"/>
                <w:szCs w:val="20"/>
              </w:rPr>
              <w:t>Velero</w:t>
            </w:r>
            <w:proofErr w:type="spellEnd"/>
            <w:r>
              <w:rPr>
                <w:rFonts w:cs="F"/>
                <w:szCs w:val="20"/>
              </w:rPr>
              <w:t>, WAL-G archive storage, snapshots, cross-region replication traffic, restore validation, and DR testing allowance.</w:t>
            </w:r>
          </w:p>
        </w:tc>
        <w:tc>
          <w:tcPr>
            <w:tcW w:w="2101"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jc w:val="center"/>
            </w:pPr>
            <w:r>
              <w:rPr>
                <w:rFonts w:cs="F"/>
                <w:szCs w:val="20"/>
              </w:rPr>
              <w:t>~US$600</w:t>
            </w:r>
          </w:p>
        </w:tc>
      </w:tr>
      <w:tr w:rsidR="00B0243E">
        <w:trPr>
          <w:jc w:val="center"/>
        </w:trPr>
        <w:tc>
          <w:tcPr>
            <w:tcW w:w="2875"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Security scanning tools</w:t>
            </w:r>
          </w:p>
        </w:tc>
        <w:tc>
          <w:tcPr>
            <w:tcW w:w="5200"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pPr>
            <w:r>
              <w:rPr>
                <w:rFonts w:cs="F"/>
                <w:szCs w:val="20"/>
              </w:rPr>
              <w:t>SonarQube/</w:t>
            </w:r>
            <w:proofErr w:type="spellStart"/>
            <w:r>
              <w:rPr>
                <w:rFonts w:cs="F"/>
                <w:szCs w:val="20"/>
              </w:rPr>
              <w:t>Trivy</w:t>
            </w:r>
            <w:proofErr w:type="spellEnd"/>
            <w:r>
              <w:rPr>
                <w:rFonts w:cs="F"/>
                <w:szCs w:val="20"/>
              </w:rPr>
              <w:t xml:space="preserve"> runner capacity and scanning job headroom. Commercial security-tool licensing is excluded.</w:t>
            </w:r>
          </w:p>
        </w:tc>
        <w:tc>
          <w:tcPr>
            <w:tcW w:w="2101" w:type="dxa"/>
            <w:tcBorders>
              <w:top w:val="single" w:sz="4" w:space="0" w:color="BFBFBF"/>
              <w:left w:val="single" w:sz="4" w:space="0" w:color="BFBFBF"/>
              <w:bottom w:val="single" w:sz="4" w:space="0" w:color="BFBFBF"/>
              <w:right w:val="single" w:sz="4" w:space="0" w:color="BFBFBF"/>
            </w:tcBorders>
            <w:vAlign w:val="center"/>
          </w:tcPr>
          <w:p w:rsidR="00B0243E" w:rsidRDefault="004F7506">
            <w:pPr>
              <w:spacing w:after="0" w:line="240" w:lineRule="auto"/>
              <w:jc w:val="center"/>
            </w:pPr>
            <w:r>
              <w:rPr>
                <w:rFonts w:cs="F"/>
                <w:szCs w:val="20"/>
              </w:rPr>
              <w:t>~US$150</w:t>
            </w:r>
          </w:p>
        </w:tc>
      </w:tr>
      <w:tr w:rsidR="00B0243E">
        <w:trPr>
          <w:jc w:val="center"/>
        </w:trPr>
        <w:tc>
          <w:tcPr>
            <w:tcW w:w="2875" w:type="dxa"/>
            <w:tcBorders>
              <w:top w:val="single" w:sz="4" w:space="0" w:color="BFBFBF"/>
              <w:left w:val="single" w:sz="4" w:space="0" w:color="BFBFBF"/>
              <w:bottom w:val="single" w:sz="4" w:space="0" w:color="BFBFBF"/>
              <w:right w:val="single" w:sz="4" w:space="0" w:color="BFBFBF"/>
            </w:tcBorders>
            <w:shd w:val="clear" w:color="auto" w:fill="EAF2F8"/>
            <w:vAlign w:val="center"/>
          </w:tcPr>
          <w:p w:rsidR="00B0243E" w:rsidRDefault="004F7506">
            <w:pPr>
              <w:spacing w:after="0" w:line="240" w:lineRule="auto"/>
            </w:pPr>
            <w:r>
              <w:rPr>
                <w:rFonts w:cs="F"/>
                <w:b/>
                <w:szCs w:val="20"/>
              </w:rPr>
              <w:t>Total planning estimate</w:t>
            </w:r>
          </w:p>
        </w:tc>
        <w:tc>
          <w:tcPr>
            <w:tcW w:w="5200" w:type="dxa"/>
            <w:tcBorders>
              <w:top w:val="single" w:sz="4" w:space="0" w:color="BFBFBF"/>
              <w:left w:val="single" w:sz="4" w:space="0" w:color="BFBFBF"/>
              <w:bottom w:val="single" w:sz="4" w:space="0" w:color="BFBFBF"/>
              <w:right w:val="single" w:sz="4" w:space="0" w:color="BFBFBF"/>
            </w:tcBorders>
            <w:shd w:val="clear" w:color="auto" w:fill="EAF2F8"/>
            <w:vAlign w:val="center"/>
          </w:tcPr>
          <w:p w:rsidR="00B0243E" w:rsidRDefault="004F7506">
            <w:pPr>
              <w:spacing w:after="0" w:line="240" w:lineRule="auto"/>
            </w:pPr>
            <w:r>
              <w:rPr>
                <w:rFonts w:cs="F"/>
                <w:b/>
                <w:szCs w:val="20"/>
              </w:rPr>
              <w:t>Baseline production HA + standby DR footprint. Final cost may increase or decrease based on sizing, region, traffic, retention, and storage volume.</w:t>
            </w:r>
          </w:p>
        </w:tc>
        <w:tc>
          <w:tcPr>
            <w:tcW w:w="2101" w:type="dxa"/>
            <w:tcBorders>
              <w:top w:val="single" w:sz="4" w:space="0" w:color="BFBFBF"/>
              <w:left w:val="single" w:sz="4" w:space="0" w:color="BFBFBF"/>
              <w:bottom w:val="single" w:sz="4" w:space="0" w:color="BFBFBF"/>
              <w:right w:val="single" w:sz="4" w:space="0" w:color="BFBFBF"/>
            </w:tcBorders>
            <w:shd w:val="clear" w:color="auto" w:fill="EAF2F8"/>
            <w:vAlign w:val="center"/>
          </w:tcPr>
          <w:p w:rsidR="00B0243E" w:rsidRDefault="004F7506">
            <w:pPr>
              <w:spacing w:after="0" w:line="240" w:lineRule="auto"/>
              <w:jc w:val="center"/>
            </w:pPr>
            <w:r>
              <w:rPr>
                <w:rFonts w:cs="F"/>
                <w:b/>
                <w:szCs w:val="20"/>
              </w:rPr>
              <w:t>~US$7,870</w:t>
            </w:r>
          </w:p>
        </w:tc>
      </w:tr>
    </w:tbl>
    <w:p w:rsidR="009F05C9" w:rsidRPr="009F05C9" w:rsidRDefault="009F05C9">
      <w:pPr>
        <w:pStyle w:val="Heading1"/>
        <w:tabs>
          <w:tab w:val="left" w:pos="0"/>
        </w:tabs>
        <w:spacing w:before="0" w:after="120" w:line="257" w:lineRule="auto"/>
      </w:pPr>
      <w:bookmarkStart w:id="15" w:name="_Toc231986256"/>
    </w:p>
    <w:p w:rsidR="009F05C9" w:rsidRDefault="009F05C9">
      <w:pPr>
        <w:suppressAutoHyphens w:val="0"/>
        <w:spacing w:after="0" w:line="240" w:lineRule="auto"/>
        <w:rPr>
          <w:rFonts w:eastAsia="MS Gothic" w:cs="F"/>
          <w:b/>
          <w:bCs/>
          <w:color w:val="1F4E79"/>
          <w:sz w:val="32"/>
          <w:szCs w:val="28"/>
        </w:rPr>
      </w:pPr>
      <w:r>
        <w:rPr>
          <w:color w:val="1F4E79"/>
        </w:rPr>
        <w:br w:type="page"/>
      </w:r>
    </w:p>
    <w:p w:rsidR="00B0243E" w:rsidRDefault="004F7506">
      <w:pPr>
        <w:pStyle w:val="Heading1"/>
        <w:tabs>
          <w:tab w:val="left" w:pos="0"/>
        </w:tabs>
        <w:spacing w:before="0" w:after="120" w:line="257" w:lineRule="auto"/>
      </w:pPr>
      <w:r>
        <w:rPr>
          <w:color w:val="1F4E79"/>
        </w:rPr>
        <w:lastRenderedPageBreak/>
        <w:t>5. Development and Implementation Methodology</w:t>
      </w:r>
      <w:bookmarkEnd w:id="15"/>
    </w:p>
    <w:p w:rsidR="00B0243E" w:rsidRDefault="004F7506">
      <w:pPr>
        <w:spacing w:after="120" w:line="257" w:lineRule="auto"/>
      </w:pPr>
      <w:r>
        <w:t xml:space="preserve">The implementation will follow an Agile infrastructure delivery model combined with Infrastructure-as-Code and </w:t>
      </w:r>
      <w:proofErr w:type="spellStart"/>
      <w:r>
        <w:t>GitOps</w:t>
      </w:r>
      <w:proofErr w:type="spellEnd"/>
      <w:r>
        <w:t>. This allows the team to deliver the platform in controlled increments, validate every layer, and keep deployment configurations repeatable for future environments.</w:t>
      </w:r>
    </w:p>
    <w:tbl>
      <w:tblPr>
        <w:tblW w:w="10260" w:type="dxa"/>
        <w:jc w:val="center"/>
        <w:tblLayout w:type="fixed"/>
        <w:tblLook w:val="04A0" w:firstRow="1" w:lastRow="0" w:firstColumn="1" w:lastColumn="0" w:noHBand="0" w:noVBand="1"/>
      </w:tblPr>
      <w:tblGrid>
        <w:gridCol w:w="3492"/>
        <w:gridCol w:w="6768"/>
      </w:tblGrid>
      <w:tr w:rsidR="00B0243E">
        <w:trPr>
          <w:jc w:val="center"/>
        </w:trPr>
        <w:tc>
          <w:tcPr>
            <w:tcW w:w="3492" w:type="dxa"/>
            <w:tcBorders>
              <w:top w:val="single" w:sz="4" w:space="0" w:color="D9E2EA"/>
              <w:left w:val="single" w:sz="4" w:space="0" w:color="D9E2EA"/>
              <w:bottom w:val="single" w:sz="4" w:space="0" w:color="D9E2EA"/>
              <w:right w:val="single" w:sz="4" w:space="0" w:color="D9E2EA"/>
            </w:tcBorders>
            <w:shd w:val="clear" w:color="auto" w:fill="4F6F8F"/>
            <w:vAlign w:val="center"/>
          </w:tcPr>
          <w:p w:rsidR="00B0243E" w:rsidRDefault="004F7506">
            <w:pPr>
              <w:spacing w:after="0" w:line="240" w:lineRule="auto"/>
            </w:pPr>
            <w:r>
              <w:rPr>
                <w:rFonts w:eastAsia="MS Mincho" w:cs="F"/>
                <w:b/>
                <w:color w:val="FFFFFF"/>
                <w:sz w:val="18"/>
              </w:rPr>
              <w:t>Step</w:t>
            </w:r>
          </w:p>
        </w:tc>
        <w:tc>
          <w:tcPr>
            <w:tcW w:w="6768" w:type="dxa"/>
            <w:tcBorders>
              <w:top w:val="single" w:sz="4" w:space="0" w:color="D9E2EA"/>
              <w:left w:val="single" w:sz="4" w:space="0" w:color="D9E2EA"/>
              <w:bottom w:val="single" w:sz="4" w:space="0" w:color="D9E2EA"/>
              <w:right w:val="single" w:sz="4" w:space="0" w:color="D9E2EA"/>
            </w:tcBorders>
            <w:shd w:val="clear" w:color="auto" w:fill="4F6F8F"/>
            <w:vAlign w:val="center"/>
          </w:tcPr>
          <w:p w:rsidR="00B0243E" w:rsidRDefault="004F7506">
            <w:pPr>
              <w:spacing w:after="0" w:line="240" w:lineRule="auto"/>
            </w:pPr>
            <w:r>
              <w:rPr>
                <w:rFonts w:eastAsia="MS Mincho" w:cs="F"/>
                <w:b/>
                <w:color w:val="FFFFFF"/>
                <w:sz w:val="18"/>
              </w:rPr>
              <w:t>Description</w:t>
            </w:r>
          </w:p>
        </w:tc>
      </w:tr>
      <w:tr w:rsidR="00B0243E">
        <w:trPr>
          <w:jc w:val="center"/>
        </w:trPr>
        <w:tc>
          <w:tcPr>
            <w:tcW w:w="3492"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1. Architecture Validation</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Confirm target AWS regions, network CIDR, security boundaries, access model, DR expectations, and final component choices.</w:t>
            </w:r>
          </w:p>
        </w:tc>
      </w:tr>
      <w:tr w:rsidR="00B0243E">
        <w:trPr>
          <w:jc w:val="center"/>
        </w:trPr>
        <w:tc>
          <w:tcPr>
            <w:tcW w:w="3492"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2. Infrastructure as Code</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Prepare reusable Terraform modules/scripts for AWS infrastructure bootstrap, network foundation, compute nodes, and baseline security.</w:t>
            </w:r>
          </w:p>
        </w:tc>
      </w:tr>
      <w:tr w:rsidR="00B0243E">
        <w:trPr>
          <w:jc w:val="center"/>
        </w:trPr>
        <w:tc>
          <w:tcPr>
            <w:tcW w:w="3492"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3. Platform Build</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Deploy self-managed Kubernetes, ETCD, ingress, Cilium, core namespaces, baseline policies, and cluster operations tooling.</w:t>
            </w:r>
          </w:p>
        </w:tc>
      </w:tr>
      <w:tr w:rsidR="00B0243E">
        <w:trPr>
          <w:jc w:val="center"/>
        </w:trPr>
        <w:tc>
          <w:tcPr>
            <w:tcW w:w="3492"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4. Data Services Setup</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 xml:space="preserve">Deploy PostgreSQL HA, Redis, Kafka (scope dependent), </w:t>
            </w:r>
            <w:proofErr w:type="spellStart"/>
            <w:r>
              <w:rPr>
                <w:rFonts w:eastAsia="MS Mincho" w:cs="F"/>
                <w:sz w:val="18"/>
              </w:rPr>
              <w:t>ClickHouse</w:t>
            </w:r>
            <w:proofErr w:type="spellEnd"/>
            <w:r>
              <w:rPr>
                <w:rFonts w:eastAsia="MS Mincho" w:cs="F"/>
                <w:sz w:val="18"/>
              </w:rPr>
              <w:t xml:space="preserve">, </w:t>
            </w:r>
            <w:proofErr w:type="spellStart"/>
            <w:r>
              <w:rPr>
                <w:rFonts w:eastAsia="MS Mincho" w:cs="F"/>
                <w:sz w:val="18"/>
              </w:rPr>
              <w:t>MinIO</w:t>
            </w:r>
            <w:proofErr w:type="spellEnd"/>
            <w:r>
              <w:rPr>
                <w:rFonts w:eastAsia="MS Mincho" w:cs="F"/>
                <w:sz w:val="18"/>
              </w:rPr>
              <w:t xml:space="preserve"> abstraction, backup tooling, and replication mechanisms.</w:t>
            </w:r>
          </w:p>
        </w:tc>
      </w:tr>
      <w:tr w:rsidR="00B0243E">
        <w:trPr>
          <w:jc w:val="center"/>
        </w:trPr>
        <w:tc>
          <w:tcPr>
            <w:tcW w:w="3492"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 xml:space="preserve">5. CI/CD and </w:t>
            </w:r>
            <w:proofErr w:type="spellStart"/>
            <w:r>
              <w:rPr>
                <w:rFonts w:eastAsia="MS Mincho" w:cs="F"/>
                <w:sz w:val="18"/>
              </w:rPr>
              <w:t>GitOps</w:t>
            </w:r>
            <w:proofErr w:type="spellEnd"/>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 xml:space="preserve">Configure Jenkins, Harbor, </w:t>
            </w:r>
            <w:proofErr w:type="spellStart"/>
            <w:r>
              <w:rPr>
                <w:rFonts w:eastAsia="MS Mincho" w:cs="F"/>
                <w:sz w:val="18"/>
              </w:rPr>
              <w:t>ArgoCD</w:t>
            </w:r>
            <w:proofErr w:type="spellEnd"/>
            <w:r>
              <w:rPr>
                <w:rFonts w:eastAsia="MS Mincho" w:cs="F"/>
                <w:sz w:val="18"/>
              </w:rPr>
              <w:t>, branch/deployment flow, security scanning, image publishing, and deployment synchronization.</w:t>
            </w:r>
          </w:p>
        </w:tc>
      </w:tr>
      <w:tr w:rsidR="00B0243E">
        <w:trPr>
          <w:jc w:val="center"/>
        </w:trPr>
        <w:tc>
          <w:tcPr>
            <w:tcW w:w="3492"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6. Observability and DR</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Configure monitoring, dashboards, logging, alerts, backup validation, DR runbook, and failover workflow.</w:t>
            </w:r>
          </w:p>
        </w:tc>
      </w:tr>
      <w:tr w:rsidR="00B0243E">
        <w:trPr>
          <w:jc w:val="center"/>
        </w:trPr>
        <w:tc>
          <w:tcPr>
            <w:tcW w:w="3492"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7. QA, Security, and Performance Validation</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Execute environment validation, load/stress testing, vulnerability assessment, penetration testing, and operational acceptance checks.</w:t>
            </w:r>
          </w:p>
        </w:tc>
      </w:tr>
      <w:tr w:rsidR="00B0243E">
        <w:trPr>
          <w:jc w:val="center"/>
        </w:trPr>
        <w:tc>
          <w:tcPr>
            <w:tcW w:w="3492"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8. Handover and Documentation</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Prepare architecture documents, deployment guides, backup/restore guide, monitoring guide, security checklist, and admin handover.</w:t>
            </w:r>
          </w:p>
        </w:tc>
      </w:tr>
    </w:tbl>
    <w:p w:rsidR="00B0243E" w:rsidRDefault="00B0243E">
      <w:pPr>
        <w:pStyle w:val="Heading1"/>
        <w:tabs>
          <w:tab w:val="left" w:pos="0"/>
        </w:tabs>
        <w:spacing w:before="0" w:after="120" w:line="257" w:lineRule="auto"/>
        <w:rPr>
          <w:color w:val="1F4E79"/>
        </w:rPr>
      </w:pPr>
    </w:p>
    <w:p w:rsidR="00B0243E" w:rsidRDefault="004F7506">
      <w:pPr>
        <w:rPr>
          <w:rFonts w:eastAsia="MS Gothic" w:cs="F"/>
          <w:b/>
          <w:bCs/>
          <w:color w:val="1F4E79"/>
          <w:sz w:val="32"/>
          <w:szCs w:val="28"/>
        </w:rPr>
      </w:pPr>
      <w:r>
        <w:br w:type="page"/>
      </w:r>
    </w:p>
    <w:p w:rsidR="00B0243E" w:rsidRDefault="004F7506">
      <w:pPr>
        <w:pStyle w:val="Heading1"/>
        <w:tabs>
          <w:tab w:val="left" w:pos="0"/>
        </w:tabs>
        <w:spacing w:before="0" w:after="120" w:line="257" w:lineRule="auto"/>
      </w:pPr>
      <w:bookmarkStart w:id="16" w:name="_Toc231986257"/>
      <w:r>
        <w:rPr>
          <w:color w:val="1F4E79"/>
        </w:rPr>
        <w:lastRenderedPageBreak/>
        <w:t>6. Technical Diagrams</w:t>
      </w:r>
      <w:bookmarkEnd w:id="16"/>
    </w:p>
    <w:p w:rsidR="00B0243E" w:rsidRDefault="004F7506">
      <w:pPr>
        <w:spacing w:after="120" w:line="257" w:lineRule="auto"/>
      </w:pPr>
      <w:r>
        <w:t>The following diagrams are included to support proposal quality and provide space for final visual refinement during design formatting. The titles and technical flow should remain consistent even if the client-facing artwork is later redesigned.</w:t>
      </w:r>
    </w:p>
    <w:p w:rsidR="00B0243E" w:rsidRDefault="004F7506">
      <w:pPr>
        <w:spacing w:after="120" w:line="257" w:lineRule="auto"/>
        <w:jc w:val="center"/>
      </w:pPr>
      <w:r>
        <w:rPr>
          <w:noProof/>
        </w:rPr>
        <w:drawing>
          <wp:inline distT="0" distB="0" distL="0" distR="0">
            <wp:extent cx="5596255" cy="339852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rcRect b="10923"/>
                    <a:stretch>
                      <a:fillRect/>
                    </a:stretch>
                  </pic:blipFill>
                  <pic:spPr bwMode="auto">
                    <a:xfrm>
                      <a:off x="0" y="0"/>
                      <a:ext cx="5596255" cy="3398520"/>
                    </a:xfrm>
                    <a:prstGeom prst="rect">
                      <a:avLst/>
                    </a:prstGeom>
                    <a:noFill/>
                  </pic:spPr>
                </pic:pic>
              </a:graphicData>
            </a:graphic>
          </wp:inline>
        </w:drawing>
      </w:r>
    </w:p>
    <w:p w:rsidR="00B0243E" w:rsidRDefault="004F7506">
      <w:pPr>
        <w:spacing w:after="120" w:line="257" w:lineRule="auto"/>
        <w:jc w:val="center"/>
      </w:pPr>
      <w:r>
        <w:rPr>
          <w:i/>
          <w:color w:val="4F6F8F"/>
          <w:sz w:val="18"/>
        </w:rPr>
        <w:t>Figure 1: High-Level Hybrid Cloud Infrastructure Architecture</w:t>
      </w:r>
      <w:r>
        <w:rPr>
          <w:i/>
          <w:color w:val="4F6F8F"/>
          <w:sz w:val="18"/>
        </w:rPr>
        <w:br/>
      </w:r>
      <w:r>
        <w:rPr>
          <w:i/>
          <w:color w:val="4F6F8F"/>
          <w:sz w:val="18"/>
        </w:rPr>
        <w:br/>
      </w:r>
      <w:r>
        <w:rPr>
          <w:i/>
          <w:color w:val="4F6F8F"/>
          <w:sz w:val="18"/>
        </w:rPr>
        <w:br/>
      </w:r>
    </w:p>
    <w:p w:rsidR="00B0243E" w:rsidRDefault="00316FAD">
      <w:pPr>
        <w:spacing w:after="120" w:line="257" w:lineRule="auto"/>
        <w:jc w:val="center"/>
      </w:pPr>
      <w:r>
        <w:rPr>
          <w:noProof/>
        </w:rPr>
        <w:drawing>
          <wp:inline distT="0" distB="0" distL="0" distR="0">
            <wp:extent cx="5359106" cy="31131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34569" cy="3157027"/>
                    </a:xfrm>
                    <a:prstGeom prst="rect">
                      <a:avLst/>
                    </a:prstGeom>
                    <a:noFill/>
                    <a:ln>
                      <a:noFill/>
                    </a:ln>
                  </pic:spPr>
                </pic:pic>
              </a:graphicData>
            </a:graphic>
          </wp:inline>
        </w:drawing>
      </w:r>
      <w:r w:rsidR="00576F7E">
        <w:t>ss</w:t>
      </w:r>
      <w:r w:rsidR="00590771">
        <w:t>sss</w:t>
      </w:r>
      <w:r w:rsidR="00092C08">
        <w:t>ssssss</w:t>
      </w:r>
      <w:r w:rsidR="00B30CE7">
        <w:t>sss</w:t>
      </w:r>
      <w:bookmarkStart w:id="17" w:name="_GoBack"/>
      <w:bookmarkEnd w:id="17"/>
    </w:p>
    <w:p w:rsidR="00B0243E" w:rsidRDefault="004F7506">
      <w:pPr>
        <w:spacing w:after="120" w:line="257" w:lineRule="auto"/>
        <w:jc w:val="center"/>
      </w:pPr>
      <w:r>
        <w:rPr>
          <w:i/>
          <w:color w:val="4F6F8F"/>
          <w:sz w:val="18"/>
        </w:rPr>
        <w:t>Figure 2: Multi-Region Disaster Recovery and Failover Workflow</w:t>
      </w:r>
      <w:r>
        <w:rPr>
          <w:i/>
          <w:color w:val="4F6F8F"/>
          <w:sz w:val="18"/>
        </w:rPr>
        <w:br/>
      </w:r>
    </w:p>
    <w:p w:rsidR="00B0243E" w:rsidRDefault="004F7506">
      <w:pPr>
        <w:spacing w:after="120" w:line="257" w:lineRule="auto"/>
        <w:jc w:val="center"/>
      </w:pPr>
      <w:r>
        <w:rPr>
          <w:noProof/>
        </w:rPr>
        <w:lastRenderedPageBreak/>
        <w:drawing>
          <wp:inline distT="0" distB="0" distL="0" distR="0">
            <wp:extent cx="5140960" cy="372491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0"/>
                    <a:stretch>
                      <a:fillRect/>
                    </a:stretch>
                  </pic:blipFill>
                  <pic:spPr bwMode="auto">
                    <a:xfrm>
                      <a:off x="0" y="0"/>
                      <a:ext cx="5140960" cy="3724910"/>
                    </a:xfrm>
                    <a:prstGeom prst="rect">
                      <a:avLst/>
                    </a:prstGeom>
                    <a:noFill/>
                  </pic:spPr>
                </pic:pic>
              </a:graphicData>
            </a:graphic>
          </wp:inline>
        </w:drawing>
      </w:r>
    </w:p>
    <w:p w:rsidR="00B0243E" w:rsidRDefault="004F7506">
      <w:pPr>
        <w:spacing w:after="120" w:line="257" w:lineRule="auto"/>
        <w:jc w:val="center"/>
      </w:pPr>
      <w:r>
        <w:rPr>
          <w:i/>
          <w:color w:val="4F6F8F"/>
          <w:sz w:val="18"/>
        </w:rPr>
        <w:t>Figure 3: Data, Reporting, and Storage Flow</w:t>
      </w:r>
      <w:r>
        <w:rPr>
          <w:i/>
          <w:color w:val="4F6F8F"/>
          <w:sz w:val="18"/>
        </w:rPr>
        <w:br/>
      </w:r>
      <w:r>
        <w:rPr>
          <w:i/>
          <w:color w:val="4F6F8F"/>
          <w:sz w:val="18"/>
        </w:rPr>
        <w:br/>
      </w:r>
      <w:r>
        <w:rPr>
          <w:i/>
          <w:color w:val="4F6F8F"/>
          <w:sz w:val="18"/>
        </w:rPr>
        <w:br/>
      </w:r>
      <w:r>
        <w:rPr>
          <w:i/>
          <w:color w:val="4F6F8F"/>
          <w:sz w:val="18"/>
        </w:rPr>
        <w:br/>
      </w:r>
    </w:p>
    <w:p w:rsidR="00B0243E" w:rsidRDefault="004F7506">
      <w:pPr>
        <w:spacing w:after="120" w:line="257" w:lineRule="auto"/>
        <w:jc w:val="center"/>
      </w:pPr>
      <w:r>
        <w:rPr>
          <w:noProof/>
        </w:rPr>
        <w:drawing>
          <wp:inline distT="0" distB="0" distL="0" distR="0">
            <wp:extent cx="5912485" cy="326136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1"/>
                    <a:srcRect b="10195"/>
                    <a:stretch>
                      <a:fillRect/>
                    </a:stretch>
                  </pic:blipFill>
                  <pic:spPr bwMode="auto">
                    <a:xfrm>
                      <a:off x="0" y="0"/>
                      <a:ext cx="5912485" cy="3261360"/>
                    </a:xfrm>
                    <a:prstGeom prst="rect">
                      <a:avLst/>
                    </a:prstGeom>
                    <a:noFill/>
                  </pic:spPr>
                </pic:pic>
              </a:graphicData>
            </a:graphic>
          </wp:inline>
        </w:drawing>
      </w:r>
    </w:p>
    <w:p w:rsidR="00B0243E" w:rsidRDefault="004F7506">
      <w:pPr>
        <w:spacing w:after="120" w:line="257" w:lineRule="auto"/>
        <w:jc w:val="center"/>
      </w:pPr>
      <w:r>
        <w:rPr>
          <w:i/>
          <w:color w:val="4F6F8F"/>
          <w:sz w:val="18"/>
        </w:rPr>
        <w:t>Figure 4: CI/CD, Security Gates, and Observability Flow</w:t>
      </w:r>
    </w:p>
    <w:p w:rsidR="00B0243E" w:rsidRDefault="004F7506">
      <w:pPr>
        <w:rPr>
          <w:rFonts w:eastAsia="MS Gothic" w:cs="F"/>
          <w:b/>
          <w:bCs/>
          <w:color w:val="1F4E79"/>
          <w:sz w:val="32"/>
          <w:szCs w:val="28"/>
        </w:rPr>
      </w:pPr>
      <w:r>
        <w:br w:type="page"/>
      </w:r>
    </w:p>
    <w:p w:rsidR="00B0243E" w:rsidRDefault="004F7506">
      <w:pPr>
        <w:pStyle w:val="Heading1"/>
        <w:tabs>
          <w:tab w:val="left" w:pos="0"/>
        </w:tabs>
        <w:spacing w:before="0" w:after="120" w:line="257" w:lineRule="auto"/>
      </w:pPr>
      <w:bookmarkStart w:id="18" w:name="_Toc231986258"/>
      <w:r>
        <w:rPr>
          <w:color w:val="1F4E79"/>
        </w:rPr>
        <w:lastRenderedPageBreak/>
        <w:t>7. Deliverables</w:t>
      </w:r>
      <w:bookmarkEnd w:id="18"/>
    </w:p>
    <w:tbl>
      <w:tblPr>
        <w:tblW w:w="10188" w:type="dxa"/>
        <w:jc w:val="center"/>
        <w:tblLayout w:type="fixed"/>
        <w:tblLook w:val="04A0" w:firstRow="1" w:lastRow="0" w:firstColumn="1" w:lastColumn="0" w:noHBand="0" w:noVBand="1"/>
      </w:tblPr>
      <w:tblGrid>
        <w:gridCol w:w="3420"/>
        <w:gridCol w:w="6768"/>
      </w:tblGrid>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1F4E79"/>
            <w:vAlign w:val="center"/>
          </w:tcPr>
          <w:p w:rsidR="00B0243E" w:rsidRDefault="004F7506">
            <w:pPr>
              <w:spacing w:after="0" w:line="240" w:lineRule="auto"/>
            </w:pPr>
            <w:r>
              <w:rPr>
                <w:rFonts w:eastAsia="MS Mincho" w:cs="F"/>
                <w:b/>
                <w:color w:val="FFFFFF"/>
                <w:sz w:val="18"/>
              </w:rPr>
              <w:t>Deliverable Category</w:t>
            </w:r>
          </w:p>
        </w:tc>
        <w:tc>
          <w:tcPr>
            <w:tcW w:w="6768" w:type="dxa"/>
            <w:tcBorders>
              <w:top w:val="single" w:sz="4" w:space="0" w:color="D9E2EA"/>
              <w:left w:val="single" w:sz="4" w:space="0" w:color="D9E2EA"/>
              <w:bottom w:val="single" w:sz="4" w:space="0" w:color="D9E2EA"/>
              <w:right w:val="single" w:sz="4" w:space="0" w:color="D9E2EA"/>
            </w:tcBorders>
            <w:shd w:val="clear" w:color="auto" w:fill="1F4E79"/>
            <w:vAlign w:val="center"/>
          </w:tcPr>
          <w:p w:rsidR="00B0243E" w:rsidRDefault="004F7506">
            <w:pPr>
              <w:spacing w:after="0" w:line="240" w:lineRule="auto"/>
            </w:pPr>
            <w:r>
              <w:rPr>
                <w:rFonts w:eastAsia="MS Mincho" w:cs="F"/>
                <w:b/>
                <w:color w:val="FFFFFF"/>
                <w:sz w:val="18"/>
              </w:rPr>
              <w:t>Deliverable Description</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Architecture and Planning</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Final infrastructure architecture, network segmentation plan, deployment approach, DR design, security baseline, and future bare-metal migration dependency note.</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AWS Infrastructure Foundation</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Configured AWS VPC/networking, EC2-based compute foundation, Transit Gateway setup, route/security controls, and region-specific environment structure.</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Kubernetes Platform</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Self-managed Kubernetes cluster, ETCD, worker nodes, Gateway API/ingress setup, Cilium networking, namespaces, RBAC, and baseline policies.</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Data Platform</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r>
              <w:rPr>
                <w:rFonts w:eastAsia="MS Mincho" w:cs="F"/>
                <w:sz w:val="18"/>
              </w:rPr>
              <w:t xml:space="preserve">PostgreSQL HA design with </w:t>
            </w:r>
            <w:proofErr w:type="spellStart"/>
            <w:r>
              <w:rPr>
                <w:rFonts w:eastAsia="MS Mincho" w:cs="F"/>
                <w:sz w:val="18"/>
              </w:rPr>
              <w:t>Patroni</w:t>
            </w:r>
            <w:proofErr w:type="spellEnd"/>
            <w:r>
              <w:rPr>
                <w:rFonts w:eastAsia="MS Mincho" w:cs="F"/>
                <w:sz w:val="18"/>
              </w:rPr>
              <w:t>/</w:t>
            </w:r>
            <w:proofErr w:type="spellStart"/>
            <w:r>
              <w:rPr>
                <w:rFonts w:eastAsia="MS Mincho" w:cs="F"/>
                <w:sz w:val="18"/>
              </w:rPr>
              <w:t>PgBouncer</w:t>
            </w:r>
            <w:proofErr w:type="spellEnd"/>
            <w:r>
              <w:rPr>
                <w:rFonts w:eastAsia="MS Mincho" w:cs="F"/>
                <w:sz w:val="18"/>
              </w:rPr>
              <w:t>, Redis, Kafka (</w:t>
            </w:r>
            <w:r>
              <w:rPr>
                <w:sz w:val="18"/>
              </w:rPr>
              <w:t>scope dependent</w:t>
            </w:r>
            <w:r>
              <w:rPr>
                <w:rFonts w:eastAsia="MS Mincho" w:cs="F"/>
                <w:sz w:val="18"/>
              </w:rPr>
              <w:t xml:space="preserve">), </w:t>
            </w:r>
            <w:proofErr w:type="spellStart"/>
            <w:r>
              <w:rPr>
                <w:rFonts w:eastAsia="MS Mincho" w:cs="F"/>
                <w:sz w:val="18"/>
              </w:rPr>
              <w:t>ClickHouse</w:t>
            </w:r>
            <w:proofErr w:type="spellEnd"/>
            <w:r>
              <w:rPr>
                <w:rFonts w:eastAsia="MS Mincho" w:cs="F"/>
                <w:sz w:val="18"/>
              </w:rPr>
              <w:t xml:space="preserve">, </w:t>
            </w:r>
            <w:proofErr w:type="spellStart"/>
            <w:r>
              <w:rPr>
                <w:rFonts w:eastAsia="MS Mincho" w:cs="F"/>
                <w:sz w:val="18"/>
              </w:rPr>
              <w:t>MinIO</w:t>
            </w:r>
            <w:proofErr w:type="spellEnd"/>
            <w:r>
              <w:rPr>
                <w:rFonts w:eastAsia="MS Mincho" w:cs="F"/>
                <w:sz w:val="18"/>
              </w:rPr>
              <w:t>-compatible object storage setup, and initial backup/replication configuration.</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 xml:space="preserve">CI/CD and </w:t>
            </w:r>
            <w:proofErr w:type="spellStart"/>
            <w:r>
              <w:rPr>
                <w:rFonts w:eastAsia="MS Mincho" w:cs="F"/>
                <w:sz w:val="18"/>
              </w:rPr>
              <w:t>GitOps</w:t>
            </w:r>
            <w:proofErr w:type="spellEnd"/>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 xml:space="preserve">Jenkins CI pipeline, Harbor registry, security scanning workflow, </w:t>
            </w:r>
            <w:proofErr w:type="spellStart"/>
            <w:r>
              <w:rPr>
                <w:rFonts w:eastAsia="MS Mincho" w:cs="F"/>
                <w:sz w:val="18"/>
              </w:rPr>
              <w:t>ArgoCD</w:t>
            </w:r>
            <w:proofErr w:type="spellEnd"/>
            <w:r>
              <w:rPr>
                <w:rFonts w:eastAsia="MS Mincho" w:cs="F"/>
                <w:sz w:val="18"/>
              </w:rPr>
              <w:t xml:space="preserve"> deployment sync, and Git-based configuration management.</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Observability</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Prometheus metrics, Grafana dashboards, ELK/OpenSearch logging, Sentry error tracking, alerting rules, and operational dashboards.</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Backup and DR</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 xml:space="preserve">WAL-G database backup, </w:t>
            </w:r>
            <w:proofErr w:type="spellStart"/>
            <w:r>
              <w:rPr>
                <w:rFonts w:eastAsia="MS Mincho" w:cs="F"/>
                <w:sz w:val="18"/>
              </w:rPr>
              <w:t>Velero</w:t>
            </w:r>
            <w:proofErr w:type="spellEnd"/>
            <w:r>
              <w:rPr>
                <w:rFonts w:eastAsia="MS Mincho" w:cs="F"/>
                <w:sz w:val="18"/>
              </w:rPr>
              <w:t xml:space="preserve"> Kubernetes backup, </w:t>
            </w:r>
            <w:proofErr w:type="spellStart"/>
            <w:r>
              <w:rPr>
                <w:rFonts w:eastAsia="MS Mincho" w:cs="F"/>
                <w:sz w:val="18"/>
              </w:rPr>
              <w:t>MinIO</w:t>
            </w:r>
            <w:proofErr w:type="spellEnd"/>
            <w:r>
              <w:rPr>
                <w:rFonts w:eastAsia="MS Mincho" w:cs="F"/>
                <w:sz w:val="18"/>
              </w:rPr>
              <w:t xml:space="preserve"> replication, restore validation, DR workflow, and recovery runbook.</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Security and QA Reports</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QA test summary, load/stress testing summary, vulnerability scan report, penetration testing executive summary, and remediation tracker.</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Handover Documents</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Deployment guide, operations guide, monitoring guide, backup/restore guide, access management guide, and final technical handover session.</w:t>
            </w:r>
          </w:p>
        </w:tc>
      </w:tr>
    </w:tbl>
    <w:p w:rsidR="00AA61DD" w:rsidRPr="00AA61DD" w:rsidRDefault="00AA61DD">
      <w:pPr>
        <w:pStyle w:val="Heading1"/>
        <w:tabs>
          <w:tab w:val="left" w:pos="0"/>
        </w:tabs>
        <w:spacing w:before="0" w:after="120" w:line="257" w:lineRule="auto"/>
      </w:pPr>
      <w:bookmarkStart w:id="19" w:name="_Toc231986259"/>
    </w:p>
    <w:p w:rsidR="00B0243E" w:rsidRDefault="004F7506">
      <w:pPr>
        <w:pStyle w:val="Heading1"/>
        <w:tabs>
          <w:tab w:val="left" w:pos="0"/>
        </w:tabs>
        <w:spacing w:before="0" w:after="120" w:line="257" w:lineRule="auto"/>
      </w:pPr>
      <w:r>
        <w:rPr>
          <w:color w:val="1F4E79"/>
        </w:rPr>
        <w:t>8. Testing and Quality Assurance</w:t>
      </w:r>
      <w:bookmarkEnd w:id="19"/>
    </w:p>
    <w:p w:rsidR="00B0243E" w:rsidRDefault="004F7506">
      <w:pPr>
        <w:spacing w:after="120" w:line="257" w:lineRule="auto"/>
      </w:pPr>
      <w:r>
        <w:t>Testing will focus on validating the infrastructure foundation, security posture, scaling readiness, monitoring, backup/DR readiness, and operational stability.</w:t>
      </w:r>
    </w:p>
    <w:p w:rsidR="00AA61DD" w:rsidRPr="00AA61DD" w:rsidRDefault="00AA61DD">
      <w:pPr>
        <w:pStyle w:val="Heading2"/>
        <w:tabs>
          <w:tab w:val="left" w:pos="0"/>
        </w:tabs>
        <w:spacing w:before="0" w:after="120" w:line="257" w:lineRule="auto"/>
      </w:pPr>
      <w:bookmarkStart w:id="20" w:name="_Toc231986260"/>
    </w:p>
    <w:p w:rsidR="00B0243E" w:rsidRDefault="004F7506">
      <w:pPr>
        <w:pStyle w:val="Heading2"/>
        <w:tabs>
          <w:tab w:val="left" w:pos="0"/>
        </w:tabs>
        <w:spacing w:before="0" w:after="120" w:line="257" w:lineRule="auto"/>
      </w:pPr>
      <w:r>
        <w:rPr>
          <w:color w:val="243447"/>
        </w:rPr>
        <w:t>8.1 QA Coverage Areas</w:t>
      </w:r>
      <w:bookmarkEnd w:id="20"/>
    </w:p>
    <w:tbl>
      <w:tblPr>
        <w:tblW w:w="10188" w:type="dxa"/>
        <w:jc w:val="center"/>
        <w:tblLayout w:type="fixed"/>
        <w:tblLook w:val="04A0" w:firstRow="1" w:lastRow="0" w:firstColumn="1" w:lastColumn="0" w:noHBand="0" w:noVBand="1"/>
      </w:tblPr>
      <w:tblGrid>
        <w:gridCol w:w="3420"/>
        <w:gridCol w:w="6768"/>
      </w:tblGrid>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4F6F8F"/>
            <w:vAlign w:val="center"/>
          </w:tcPr>
          <w:p w:rsidR="00B0243E" w:rsidRDefault="004F7506">
            <w:pPr>
              <w:spacing w:after="0" w:line="240" w:lineRule="auto"/>
            </w:pPr>
            <w:r>
              <w:rPr>
                <w:rFonts w:eastAsia="MS Mincho" w:cs="F"/>
                <w:b/>
                <w:color w:val="FFFFFF"/>
                <w:sz w:val="18"/>
              </w:rPr>
              <w:t>QA Area</w:t>
            </w:r>
          </w:p>
        </w:tc>
        <w:tc>
          <w:tcPr>
            <w:tcW w:w="6768" w:type="dxa"/>
            <w:tcBorders>
              <w:top w:val="single" w:sz="4" w:space="0" w:color="D9E2EA"/>
              <w:left w:val="single" w:sz="4" w:space="0" w:color="D9E2EA"/>
              <w:bottom w:val="single" w:sz="4" w:space="0" w:color="D9E2EA"/>
              <w:right w:val="single" w:sz="4" w:space="0" w:color="D9E2EA"/>
            </w:tcBorders>
            <w:shd w:val="clear" w:color="auto" w:fill="4F6F8F"/>
            <w:vAlign w:val="center"/>
          </w:tcPr>
          <w:p w:rsidR="00B0243E" w:rsidRDefault="004F7506">
            <w:pPr>
              <w:spacing w:after="0" w:line="240" w:lineRule="auto"/>
            </w:pPr>
            <w:r>
              <w:rPr>
                <w:rFonts w:eastAsia="MS Mincho" w:cs="F"/>
                <w:b/>
                <w:color w:val="FFFFFF"/>
                <w:sz w:val="18"/>
              </w:rPr>
              <w:t>Validation Focus</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Infrastructure Validation</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Verify VPC, routing, firewall, DNS, load balancing, ingress, private connectivity, and segmentation rules.</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Kubernetes Validation</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Validate control plane health, worker scheduling, ETCD health, HPA readiness, network policies, service routing, and namespace isolation.</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Data Service Validation</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r>
              <w:rPr>
                <w:rFonts w:eastAsia="MS Mincho" w:cs="F"/>
                <w:sz w:val="18"/>
              </w:rPr>
              <w:t xml:space="preserve">Validate PostgreSQL replication/failover, </w:t>
            </w:r>
            <w:proofErr w:type="spellStart"/>
            <w:r>
              <w:rPr>
                <w:rFonts w:eastAsia="MS Mincho" w:cs="F"/>
                <w:sz w:val="18"/>
              </w:rPr>
              <w:t>PgBouncer</w:t>
            </w:r>
            <w:proofErr w:type="spellEnd"/>
            <w:r>
              <w:rPr>
                <w:rFonts w:eastAsia="MS Mincho" w:cs="F"/>
                <w:sz w:val="18"/>
              </w:rPr>
              <w:t xml:space="preserve"> connection pooling, Redis cluster health, Kafka topics/consumers (</w:t>
            </w:r>
            <w:r>
              <w:rPr>
                <w:sz w:val="18"/>
              </w:rPr>
              <w:t>scope dependent</w:t>
            </w:r>
            <w:r>
              <w:rPr>
                <w:rFonts w:eastAsia="MS Mincho" w:cs="F"/>
                <w:sz w:val="18"/>
              </w:rPr>
              <w:t xml:space="preserve">), </w:t>
            </w:r>
            <w:proofErr w:type="spellStart"/>
            <w:r>
              <w:rPr>
                <w:rFonts w:eastAsia="MS Mincho" w:cs="F"/>
                <w:sz w:val="18"/>
              </w:rPr>
              <w:t>ClickHouse</w:t>
            </w:r>
            <w:proofErr w:type="spellEnd"/>
            <w:r>
              <w:rPr>
                <w:rFonts w:eastAsia="MS Mincho" w:cs="F"/>
                <w:sz w:val="18"/>
              </w:rPr>
              <w:t xml:space="preserve"> ingestion, and </w:t>
            </w:r>
            <w:proofErr w:type="spellStart"/>
            <w:r>
              <w:rPr>
                <w:rFonts w:eastAsia="MS Mincho" w:cs="F"/>
                <w:sz w:val="18"/>
              </w:rPr>
              <w:t>MinIO</w:t>
            </w:r>
            <w:proofErr w:type="spellEnd"/>
            <w:r>
              <w:rPr>
                <w:rFonts w:eastAsia="MS Mincho" w:cs="F"/>
                <w:sz w:val="18"/>
              </w:rPr>
              <w:t xml:space="preserve"> availability.</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Backup and Restore Testing</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Run backup integrity checks, database restore test, Kubernetes resource restore test, and object storage restore test.</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Disaster Recovery Simulation</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Validate Region A failure workflow, traffic redirection concept, PostgreSQL promotion runbook, and Region B service activation process.</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Performance and Load Testing</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Simulate high concurrent access patterns, evaluate ingress capacity, API gateway behavior, database connection limits, and autoscaling readiness.</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Security Testing</w:t>
            </w:r>
          </w:p>
        </w:tc>
        <w:tc>
          <w:tcPr>
            <w:tcW w:w="6768"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Run vulnerability scanning, image scanning, dependency scanning, configuration review, network exposure checks, and secrets handling validation.</w:t>
            </w:r>
          </w:p>
        </w:tc>
      </w:tr>
      <w:tr w:rsidR="00B0243E">
        <w:trPr>
          <w:jc w:val="center"/>
        </w:trPr>
        <w:tc>
          <w:tcPr>
            <w:tcW w:w="3420"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Documentation QA</w:t>
            </w:r>
          </w:p>
        </w:tc>
        <w:tc>
          <w:tcPr>
            <w:tcW w:w="6768"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Validate deployment instructions, recovery runbooks, monitoring guides, access management steps, and handover materials.</w:t>
            </w:r>
          </w:p>
        </w:tc>
      </w:tr>
    </w:tbl>
    <w:p w:rsidR="00AA61DD" w:rsidRDefault="00AA61DD">
      <w:pPr>
        <w:pStyle w:val="Heading2"/>
        <w:tabs>
          <w:tab w:val="left" w:pos="0"/>
        </w:tabs>
        <w:spacing w:before="0" w:after="120" w:line="257" w:lineRule="auto"/>
        <w:rPr>
          <w:color w:val="243447"/>
        </w:rPr>
      </w:pPr>
      <w:bookmarkStart w:id="21" w:name="_Toc231986261"/>
    </w:p>
    <w:p w:rsidR="00AA61DD" w:rsidRDefault="00AA61DD">
      <w:pPr>
        <w:suppressAutoHyphens w:val="0"/>
        <w:spacing w:after="0" w:line="240" w:lineRule="auto"/>
        <w:rPr>
          <w:rFonts w:eastAsia="MS Gothic" w:cs="F"/>
          <w:b/>
          <w:bCs/>
          <w:color w:val="243447"/>
          <w:sz w:val="26"/>
          <w:szCs w:val="26"/>
        </w:rPr>
      </w:pPr>
      <w:r>
        <w:rPr>
          <w:color w:val="243447"/>
        </w:rPr>
        <w:br w:type="page"/>
      </w:r>
    </w:p>
    <w:p w:rsidR="00B0243E" w:rsidRDefault="004F7506">
      <w:pPr>
        <w:pStyle w:val="Heading2"/>
        <w:tabs>
          <w:tab w:val="left" w:pos="0"/>
        </w:tabs>
        <w:spacing w:before="0" w:after="120" w:line="257" w:lineRule="auto"/>
      </w:pPr>
      <w:r>
        <w:rPr>
          <w:color w:val="243447"/>
        </w:rPr>
        <w:lastRenderedPageBreak/>
        <w:t>8.2 Penetration Testing Scope</w:t>
      </w:r>
      <w:bookmarkEnd w:id="21"/>
    </w:p>
    <w:p w:rsidR="00B0243E" w:rsidRDefault="004F7506">
      <w:pPr>
        <w:spacing w:after="120" w:line="257" w:lineRule="auto"/>
      </w:pPr>
      <w:r>
        <w:t>A penetration testing activity will be included after the environment is stable enough for security validation. The test will be conducted at a controlled level against the approved infrastructure scope and will follow an OWASP-aligned methodology for web/API exposure and infrastructure access review.</w:t>
      </w:r>
    </w:p>
    <w:tbl>
      <w:tblPr>
        <w:tblW w:w="10188" w:type="dxa"/>
        <w:jc w:val="center"/>
        <w:tblLayout w:type="fixed"/>
        <w:tblLook w:val="04A0" w:firstRow="1" w:lastRow="0" w:firstColumn="1" w:lastColumn="0" w:noHBand="0" w:noVBand="1"/>
      </w:tblPr>
      <w:tblGrid>
        <w:gridCol w:w="3563"/>
        <w:gridCol w:w="6625"/>
      </w:tblGrid>
      <w:tr w:rsidR="00B0243E">
        <w:trPr>
          <w:jc w:val="center"/>
        </w:trPr>
        <w:tc>
          <w:tcPr>
            <w:tcW w:w="3563" w:type="dxa"/>
            <w:tcBorders>
              <w:top w:val="single" w:sz="4" w:space="0" w:color="D9E2EA"/>
              <w:left w:val="single" w:sz="4" w:space="0" w:color="D9E2EA"/>
              <w:bottom w:val="single" w:sz="4" w:space="0" w:color="D9E2EA"/>
              <w:right w:val="single" w:sz="4" w:space="0" w:color="D9E2EA"/>
            </w:tcBorders>
            <w:shd w:val="clear" w:color="auto" w:fill="1F4E79"/>
            <w:vAlign w:val="center"/>
          </w:tcPr>
          <w:p w:rsidR="00B0243E" w:rsidRDefault="004F7506">
            <w:pPr>
              <w:spacing w:after="0" w:line="240" w:lineRule="auto"/>
            </w:pPr>
            <w:r>
              <w:rPr>
                <w:rFonts w:eastAsia="MS Mincho" w:cs="F"/>
                <w:b/>
                <w:color w:val="FFFFFF"/>
                <w:sz w:val="18"/>
              </w:rPr>
              <w:t>Penetration Testing Stage</w:t>
            </w:r>
          </w:p>
        </w:tc>
        <w:tc>
          <w:tcPr>
            <w:tcW w:w="6625" w:type="dxa"/>
            <w:tcBorders>
              <w:top w:val="single" w:sz="4" w:space="0" w:color="D9E2EA"/>
              <w:left w:val="single" w:sz="4" w:space="0" w:color="D9E2EA"/>
              <w:bottom w:val="single" w:sz="4" w:space="0" w:color="D9E2EA"/>
              <w:right w:val="single" w:sz="4" w:space="0" w:color="D9E2EA"/>
            </w:tcBorders>
            <w:shd w:val="clear" w:color="auto" w:fill="1F4E79"/>
            <w:vAlign w:val="center"/>
          </w:tcPr>
          <w:p w:rsidR="00B0243E" w:rsidRDefault="004F7506">
            <w:pPr>
              <w:spacing w:after="0" w:line="240" w:lineRule="auto"/>
            </w:pPr>
            <w:r>
              <w:rPr>
                <w:rFonts w:eastAsia="MS Mincho" w:cs="F"/>
                <w:b/>
                <w:color w:val="FFFFFF"/>
                <w:sz w:val="18"/>
              </w:rPr>
              <w:t>Activities</w:t>
            </w:r>
          </w:p>
        </w:tc>
      </w:tr>
      <w:tr w:rsidR="00B0243E">
        <w:trPr>
          <w:jc w:val="center"/>
        </w:trPr>
        <w:tc>
          <w:tcPr>
            <w:tcW w:w="3563"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Pre-Test Planning</w:t>
            </w:r>
          </w:p>
        </w:tc>
        <w:tc>
          <w:tcPr>
            <w:tcW w:w="6625"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Confirm scope, permitted test windows, target domains/IPs, access level, environment readiness, and reporting format.</w:t>
            </w:r>
          </w:p>
        </w:tc>
      </w:tr>
      <w:tr w:rsidR="00B0243E">
        <w:trPr>
          <w:jc w:val="center"/>
        </w:trPr>
        <w:tc>
          <w:tcPr>
            <w:tcW w:w="3563"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External Exposure Review</w:t>
            </w:r>
          </w:p>
        </w:tc>
        <w:tc>
          <w:tcPr>
            <w:tcW w:w="6625"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Assess public endpoints, DNS/WAF behavior, TLS configuration, open ports, ingress policies, and rate limiting behavior.</w:t>
            </w:r>
          </w:p>
        </w:tc>
      </w:tr>
      <w:tr w:rsidR="00B0243E">
        <w:trPr>
          <w:jc w:val="center"/>
        </w:trPr>
        <w:tc>
          <w:tcPr>
            <w:tcW w:w="3563"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Web/API Security Testing</w:t>
            </w:r>
          </w:p>
        </w:tc>
        <w:tc>
          <w:tcPr>
            <w:tcW w:w="6625"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Validate authentication surfaces, authorization boundaries where available, API gateway behavior, common web risks, headers, and request handling.</w:t>
            </w:r>
          </w:p>
        </w:tc>
      </w:tr>
      <w:tr w:rsidR="00B0243E">
        <w:trPr>
          <w:jc w:val="center"/>
        </w:trPr>
        <w:tc>
          <w:tcPr>
            <w:tcW w:w="3563"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Infrastructure Security Review</w:t>
            </w:r>
          </w:p>
        </w:tc>
        <w:tc>
          <w:tcPr>
            <w:tcW w:w="6625"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Review firewall rules, VPN access, Kubernetes API exposure, RBAC, network policies, secrets management, and container image posture.</w:t>
            </w:r>
          </w:p>
        </w:tc>
      </w:tr>
      <w:tr w:rsidR="00B0243E">
        <w:trPr>
          <w:jc w:val="center"/>
        </w:trPr>
        <w:tc>
          <w:tcPr>
            <w:tcW w:w="3563"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Reporting and Remediation</w:t>
            </w:r>
          </w:p>
        </w:tc>
        <w:tc>
          <w:tcPr>
            <w:tcW w:w="6625"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Provide executive summary, risk rating, affected components, evidence summary, remediation recommendations, and retest plan.</w:t>
            </w:r>
          </w:p>
        </w:tc>
      </w:tr>
    </w:tbl>
    <w:p w:rsidR="00AA61DD" w:rsidRPr="00AA61DD" w:rsidRDefault="00AA61DD">
      <w:pPr>
        <w:pStyle w:val="Heading1"/>
        <w:tabs>
          <w:tab w:val="left" w:pos="0"/>
        </w:tabs>
        <w:spacing w:before="0" w:after="120" w:line="257" w:lineRule="auto"/>
      </w:pPr>
      <w:bookmarkStart w:id="22" w:name="_Toc231986262"/>
    </w:p>
    <w:p w:rsidR="00B0243E" w:rsidRDefault="004F7506">
      <w:pPr>
        <w:pStyle w:val="Heading1"/>
        <w:tabs>
          <w:tab w:val="left" w:pos="0"/>
        </w:tabs>
        <w:spacing w:before="0" w:after="120" w:line="257" w:lineRule="auto"/>
      </w:pPr>
      <w:r>
        <w:rPr>
          <w:color w:val="1F4E79"/>
        </w:rPr>
        <w:t>9. Assumptions, Dependencies, and Out of Scope</w:t>
      </w:r>
      <w:bookmarkEnd w:id="22"/>
    </w:p>
    <w:p w:rsidR="00B0243E" w:rsidRDefault="004F7506">
      <w:pPr>
        <w:pStyle w:val="Heading2"/>
        <w:tabs>
          <w:tab w:val="left" w:pos="0"/>
        </w:tabs>
        <w:spacing w:before="0" w:after="120" w:line="257" w:lineRule="auto"/>
      </w:pPr>
      <w:bookmarkStart w:id="23" w:name="_Toc231986263"/>
      <w:r>
        <w:rPr>
          <w:color w:val="243447"/>
        </w:rPr>
        <w:t>9.1 Assumptions</w:t>
      </w:r>
      <w:bookmarkEnd w:id="23"/>
    </w:p>
    <w:p w:rsidR="00B0243E" w:rsidRDefault="004F7506">
      <w:pPr>
        <w:pStyle w:val="ListBullet"/>
        <w:spacing w:after="120" w:line="257" w:lineRule="auto"/>
        <w:contextualSpacing w:val="0"/>
      </w:pPr>
      <w:r>
        <w:t>The client will provide or approve AWS account access, target regions, domain/DNS details, and necessary infrastructure ownership policies.</w:t>
      </w:r>
    </w:p>
    <w:p w:rsidR="00B0243E" w:rsidRDefault="004F7506">
      <w:pPr>
        <w:pStyle w:val="ListBullet"/>
        <w:spacing w:after="120" w:line="257" w:lineRule="auto"/>
        <w:contextualSpacing w:val="0"/>
      </w:pPr>
      <w:r>
        <w:t>The Phase 1 cloud-hybrid scope is limited to cloud infrastructure foundation and platform services required to support future bare-metal switch.</w:t>
      </w:r>
    </w:p>
    <w:p w:rsidR="00B0243E" w:rsidRDefault="004F7506">
      <w:pPr>
        <w:pStyle w:val="ListBullet"/>
        <w:spacing w:after="120" w:line="257" w:lineRule="auto"/>
        <w:contextualSpacing w:val="0"/>
      </w:pPr>
      <w:r>
        <w:t>Application traffic patterns, exact learner volume, reporting volume, and AI workloads will be refined in later planning phases.</w:t>
      </w:r>
    </w:p>
    <w:p w:rsidR="00B0243E" w:rsidRDefault="004F7506">
      <w:pPr>
        <w:pStyle w:val="ListBullet"/>
        <w:spacing w:after="120" w:line="257" w:lineRule="auto"/>
        <w:contextualSpacing w:val="0"/>
      </w:pPr>
      <w:r>
        <w:t>Security testing will be performed only against approved systems and within agreed windows.</w:t>
      </w:r>
    </w:p>
    <w:p w:rsidR="00AA61DD" w:rsidRPr="00AA61DD" w:rsidRDefault="00AA61DD">
      <w:pPr>
        <w:pStyle w:val="Heading2"/>
        <w:tabs>
          <w:tab w:val="left" w:pos="0"/>
        </w:tabs>
        <w:spacing w:before="0" w:after="120" w:line="257" w:lineRule="auto"/>
      </w:pPr>
      <w:bookmarkStart w:id="24" w:name="_Toc231986264"/>
    </w:p>
    <w:p w:rsidR="00B0243E" w:rsidRDefault="004F7506">
      <w:pPr>
        <w:pStyle w:val="Heading2"/>
        <w:tabs>
          <w:tab w:val="left" w:pos="0"/>
        </w:tabs>
        <w:spacing w:before="0" w:after="120" w:line="257" w:lineRule="auto"/>
      </w:pPr>
      <w:r>
        <w:rPr>
          <w:color w:val="243447"/>
        </w:rPr>
        <w:t>9.2 Key Dependencies</w:t>
      </w:r>
      <w:bookmarkEnd w:id="24"/>
    </w:p>
    <w:p w:rsidR="00B0243E" w:rsidRDefault="004F7506">
      <w:pPr>
        <w:pStyle w:val="ListBullet"/>
        <w:spacing w:after="120" w:line="257" w:lineRule="auto"/>
        <w:contextualSpacing w:val="0"/>
      </w:pPr>
      <w:r>
        <w:t>AWS account readiness, billing ownership, IAM access, and region approvals.</w:t>
      </w:r>
    </w:p>
    <w:p w:rsidR="00B0243E" w:rsidRDefault="004F7506">
      <w:pPr>
        <w:pStyle w:val="ListBullet"/>
        <w:spacing w:after="120" w:line="257" w:lineRule="auto"/>
        <w:contextualSpacing w:val="0"/>
      </w:pPr>
      <w:r>
        <w:t>Domain/DNS ownership and decision on Cloudflare edge provider.</w:t>
      </w:r>
    </w:p>
    <w:p w:rsidR="00B0243E" w:rsidRDefault="004F7506">
      <w:pPr>
        <w:pStyle w:val="ListBullet"/>
        <w:spacing w:after="120" w:line="257" w:lineRule="auto"/>
        <w:contextualSpacing w:val="0"/>
      </w:pPr>
      <w:r>
        <w:t>VPN and administrative access policy approval.</w:t>
      </w:r>
    </w:p>
    <w:p w:rsidR="00B0243E" w:rsidRDefault="004F7506">
      <w:pPr>
        <w:pStyle w:val="ListBullet"/>
        <w:spacing w:after="120" w:line="257" w:lineRule="auto"/>
        <w:contextualSpacing w:val="0"/>
      </w:pPr>
      <w:r>
        <w:t>Final confirmation of DR region, backup retention expectations, and compliance requirements.</w:t>
      </w:r>
    </w:p>
    <w:p w:rsidR="00B0243E" w:rsidRDefault="004F7506">
      <w:pPr>
        <w:pStyle w:val="ListBullet"/>
        <w:spacing w:after="120" w:line="257" w:lineRule="auto"/>
        <w:contextualSpacing w:val="0"/>
      </w:pPr>
      <w:r>
        <w:t>Future application and AI architecture details for final sizing and scaling adjustments.</w:t>
      </w:r>
    </w:p>
    <w:p w:rsidR="00AA61DD" w:rsidRPr="00AA61DD" w:rsidRDefault="00AA61DD">
      <w:pPr>
        <w:pStyle w:val="Heading2"/>
        <w:tabs>
          <w:tab w:val="left" w:pos="0"/>
        </w:tabs>
        <w:spacing w:before="0" w:after="120" w:line="257" w:lineRule="auto"/>
      </w:pPr>
      <w:bookmarkStart w:id="25" w:name="_Toc231986265"/>
    </w:p>
    <w:p w:rsidR="00B0243E" w:rsidRDefault="004F7506">
      <w:pPr>
        <w:pStyle w:val="Heading2"/>
        <w:tabs>
          <w:tab w:val="left" w:pos="0"/>
        </w:tabs>
        <w:spacing w:before="0" w:after="120" w:line="257" w:lineRule="auto"/>
      </w:pPr>
      <w:r>
        <w:rPr>
          <w:color w:val="243447"/>
        </w:rPr>
        <w:t>9.3 Out of Scope</w:t>
      </w:r>
      <w:bookmarkEnd w:id="25"/>
    </w:p>
    <w:p w:rsidR="00B0243E" w:rsidRDefault="004F7506">
      <w:pPr>
        <w:pStyle w:val="ListBullet"/>
        <w:spacing w:after="120" w:line="257" w:lineRule="auto"/>
        <w:contextualSpacing w:val="0"/>
      </w:pPr>
      <w:r>
        <w:t>End-user application development or UI/UX implementation.</w:t>
      </w:r>
    </w:p>
    <w:p w:rsidR="00B0243E" w:rsidRDefault="004F7506">
      <w:pPr>
        <w:pStyle w:val="ListBullet"/>
        <w:spacing w:after="120" w:line="257" w:lineRule="auto"/>
        <w:contextualSpacing w:val="0"/>
      </w:pPr>
      <w:r>
        <w:t>Financial cost estimates, licensing cost comparison, or commercial proposal.</w:t>
      </w:r>
    </w:p>
    <w:p w:rsidR="00B0243E" w:rsidRDefault="004F7506">
      <w:pPr>
        <w:pStyle w:val="ListBullet"/>
        <w:spacing w:after="120" w:line="257" w:lineRule="auto"/>
        <w:contextualSpacing w:val="0"/>
      </w:pPr>
      <w:r>
        <w:t>Bare-metal hardware procurement, data center deployment, or physical network implementation in Phase 1.</w:t>
      </w:r>
    </w:p>
    <w:p w:rsidR="00AA61DD" w:rsidRDefault="00AA61DD">
      <w:pPr>
        <w:suppressAutoHyphens w:val="0"/>
        <w:spacing w:after="0" w:line="240" w:lineRule="auto"/>
        <w:rPr>
          <w:rFonts w:eastAsia="MS Gothic" w:cs="F"/>
          <w:b/>
          <w:bCs/>
          <w:color w:val="1F4E79"/>
          <w:sz w:val="32"/>
          <w:szCs w:val="28"/>
        </w:rPr>
      </w:pPr>
      <w:bookmarkStart w:id="26" w:name="_Toc231986266"/>
      <w:r>
        <w:rPr>
          <w:color w:val="1F4E79"/>
        </w:rPr>
        <w:br w:type="page"/>
      </w:r>
    </w:p>
    <w:p w:rsidR="00B0243E" w:rsidRDefault="004F7506">
      <w:pPr>
        <w:pStyle w:val="Heading1"/>
        <w:tabs>
          <w:tab w:val="left" w:pos="0"/>
        </w:tabs>
        <w:spacing w:before="0" w:after="120" w:line="257" w:lineRule="auto"/>
      </w:pPr>
      <w:r>
        <w:rPr>
          <w:color w:val="1F4E79"/>
        </w:rPr>
        <w:lastRenderedPageBreak/>
        <w:t>10. Risks and Mitigation</w:t>
      </w:r>
      <w:bookmarkEnd w:id="26"/>
    </w:p>
    <w:tbl>
      <w:tblPr>
        <w:tblW w:w="9792" w:type="dxa"/>
        <w:jc w:val="center"/>
        <w:tblLayout w:type="fixed"/>
        <w:tblLook w:val="04A0" w:firstRow="1" w:lastRow="0" w:firstColumn="1" w:lastColumn="0" w:noHBand="0" w:noVBand="1"/>
      </w:tblPr>
      <w:tblGrid>
        <w:gridCol w:w="2591"/>
        <w:gridCol w:w="3456"/>
        <w:gridCol w:w="3745"/>
      </w:tblGrid>
      <w:tr w:rsidR="00B0243E">
        <w:trPr>
          <w:jc w:val="center"/>
        </w:trPr>
        <w:tc>
          <w:tcPr>
            <w:tcW w:w="2591" w:type="dxa"/>
            <w:tcBorders>
              <w:top w:val="single" w:sz="4" w:space="0" w:color="D9E2EA"/>
              <w:left w:val="single" w:sz="4" w:space="0" w:color="D9E2EA"/>
              <w:bottom w:val="single" w:sz="4" w:space="0" w:color="D9E2EA"/>
              <w:right w:val="single" w:sz="4" w:space="0" w:color="D9E2EA"/>
            </w:tcBorders>
            <w:shd w:val="clear" w:color="auto" w:fill="4F6F8F"/>
            <w:vAlign w:val="center"/>
          </w:tcPr>
          <w:p w:rsidR="00B0243E" w:rsidRDefault="004F7506">
            <w:pPr>
              <w:spacing w:after="0" w:line="240" w:lineRule="auto"/>
            </w:pPr>
            <w:r>
              <w:rPr>
                <w:rFonts w:eastAsia="MS Mincho" w:cs="F"/>
                <w:b/>
                <w:color w:val="FFFFFF"/>
                <w:sz w:val="18"/>
              </w:rPr>
              <w:t>Risk</w:t>
            </w:r>
          </w:p>
        </w:tc>
        <w:tc>
          <w:tcPr>
            <w:tcW w:w="3456" w:type="dxa"/>
            <w:tcBorders>
              <w:top w:val="single" w:sz="4" w:space="0" w:color="D9E2EA"/>
              <w:left w:val="single" w:sz="4" w:space="0" w:color="D9E2EA"/>
              <w:bottom w:val="single" w:sz="4" w:space="0" w:color="D9E2EA"/>
              <w:right w:val="single" w:sz="4" w:space="0" w:color="D9E2EA"/>
            </w:tcBorders>
            <w:shd w:val="clear" w:color="auto" w:fill="4F6F8F"/>
            <w:vAlign w:val="center"/>
          </w:tcPr>
          <w:p w:rsidR="00B0243E" w:rsidRDefault="004F7506">
            <w:pPr>
              <w:spacing w:after="0" w:line="240" w:lineRule="auto"/>
            </w:pPr>
            <w:r>
              <w:rPr>
                <w:rFonts w:eastAsia="MS Mincho" w:cs="F"/>
                <w:b/>
                <w:color w:val="FFFFFF"/>
                <w:sz w:val="18"/>
              </w:rPr>
              <w:t>Impact</w:t>
            </w:r>
          </w:p>
        </w:tc>
        <w:tc>
          <w:tcPr>
            <w:tcW w:w="3745" w:type="dxa"/>
            <w:tcBorders>
              <w:top w:val="single" w:sz="4" w:space="0" w:color="D9E2EA"/>
              <w:left w:val="single" w:sz="4" w:space="0" w:color="D9E2EA"/>
              <w:bottom w:val="single" w:sz="4" w:space="0" w:color="D9E2EA"/>
              <w:right w:val="single" w:sz="4" w:space="0" w:color="D9E2EA"/>
            </w:tcBorders>
            <w:shd w:val="clear" w:color="auto" w:fill="4F6F8F"/>
            <w:vAlign w:val="center"/>
          </w:tcPr>
          <w:p w:rsidR="00B0243E" w:rsidRDefault="004F7506">
            <w:pPr>
              <w:spacing w:after="0" w:line="240" w:lineRule="auto"/>
            </w:pPr>
            <w:r>
              <w:rPr>
                <w:rFonts w:eastAsia="MS Mincho" w:cs="F"/>
                <w:b/>
                <w:color w:val="FFFFFF"/>
                <w:sz w:val="18"/>
              </w:rPr>
              <w:t>Mitigation</w:t>
            </w:r>
          </w:p>
        </w:tc>
      </w:tr>
      <w:tr w:rsidR="00B0243E">
        <w:trPr>
          <w:jc w:val="center"/>
        </w:trPr>
        <w:tc>
          <w:tcPr>
            <w:tcW w:w="2591"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Hybrid Complexity</w:t>
            </w:r>
          </w:p>
        </w:tc>
        <w:tc>
          <w:tcPr>
            <w:tcW w:w="3456"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Self-managed Kubernetes and portable services require more engineering than fully managed services.</w:t>
            </w:r>
          </w:p>
        </w:tc>
        <w:tc>
          <w:tcPr>
            <w:tcW w:w="3745"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 xml:space="preserve">Use </w:t>
            </w:r>
            <w:proofErr w:type="spellStart"/>
            <w:r>
              <w:rPr>
                <w:rFonts w:eastAsia="MS Mincho" w:cs="F"/>
                <w:sz w:val="18"/>
              </w:rPr>
              <w:t>IaC</w:t>
            </w:r>
            <w:proofErr w:type="spellEnd"/>
            <w:r>
              <w:rPr>
                <w:rFonts w:eastAsia="MS Mincho" w:cs="F"/>
                <w:sz w:val="18"/>
              </w:rPr>
              <w:t xml:space="preserve">, </w:t>
            </w:r>
            <w:proofErr w:type="spellStart"/>
            <w:r>
              <w:rPr>
                <w:rFonts w:eastAsia="MS Mincho" w:cs="F"/>
                <w:sz w:val="18"/>
              </w:rPr>
              <w:t>GitOps</w:t>
            </w:r>
            <w:proofErr w:type="spellEnd"/>
            <w:r>
              <w:rPr>
                <w:rFonts w:eastAsia="MS Mincho" w:cs="F"/>
                <w:sz w:val="18"/>
              </w:rPr>
              <w:t>, documented runbooks, phased validation, and operations handover.</w:t>
            </w:r>
          </w:p>
        </w:tc>
      </w:tr>
      <w:tr w:rsidR="00B0243E">
        <w:trPr>
          <w:jc w:val="center"/>
        </w:trPr>
        <w:tc>
          <w:tcPr>
            <w:tcW w:w="2591"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Future Reporting Load</w:t>
            </w:r>
          </w:p>
        </w:tc>
        <w:tc>
          <w:tcPr>
            <w:tcW w:w="3456"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Administrators, teachers, agencies, and stakeholders may need heavy reporting capabilities.</w:t>
            </w:r>
          </w:p>
        </w:tc>
        <w:tc>
          <w:tcPr>
            <w:tcW w:w="3745"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 xml:space="preserve">Use </w:t>
            </w:r>
            <w:proofErr w:type="spellStart"/>
            <w:r>
              <w:rPr>
                <w:rFonts w:eastAsia="MS Mincho" w:cs="F"/>
                <w:sz w:val="18"/>
              </w:rPr>
              <w:t>ClickHouse</w:t>
            </w:r>
            <w:proofErr w:type="spellEnd"/>
            <w:r>
              <w:rPr>
                <w:rFonts w:eastAsia="MS Mincho" w:cs="F"/>
                <w:sz w:val="18"/>
              </w:rPr>
              <w:t xml:space="preserve"> and separate reporting/data pipelines to reduce pressure on PostgreSQL.</w:t>
            </w:r>
          </w:p>
        </w:tc>
      </w:tr>
      <w:tr w:rsidR="00B0243E">
        <w:trPr>
          <w:jc w:val="center"/>
        </w:trPr>
        <w:tc>
          <w:tcPr>
            <w:tcW w:w="2591"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Bare-Metal Migration Expectations</w:t>
            </w:r>
          </w:p>
        </w:tc>
        <w:tc>
          <w:tcPr>
            <w:tcW w:w="3456"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Future migration may be misunderstood as automatic without prerequisite planning.</w:t>
            </w:r>
          </w:p>
        </w:tc>
        <w:tc>
          <w:tcPr>
            <w:tcW w:w="3745"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Document migration dependencies, component portability, storage strategy, and network prerequisites.</w:t>
            </w:r>
          </w:p>
        </w:tc>
      </w:tr>
      <w:tr w:rsidR="00B0243E">
        <w:trPr>
          <w:jc w:val="center"/>
        </w:trPr>
        <w:tc>
          <w:tcPr>
            <w:tcW w:w="2591"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Operational Overhead</w:t>
            </w:r>
          </w:p>
        </w:tc>
        <w:tc>
          <w:tcPr>
            <w:tcW w:w="3456"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Self-managed infrastructure requires ongoing monitoring, patching, and incident response.</w:t>
            </w:r>
          </w:p>
        </w:tc>
        <w:tc>
          <w:tcPr>
            <w:tcW w:w="3745"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Implement observability, alerts, backup validation, and clear operations responsibilities.</w:t>
            </w:r>
          </w:p>
        </w:tc>
      </w:tr>
      <w:tr w:rsidR="00B0243E">
        <w:trPr>
          <w:jc w:val="center"/>
        </w:trPr>
        <w:tc>
          <w:tcPr>
            <w:tcW w:w="2591"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Security Exposure</w:t>
            </w:r>
          </w:p>
        </w:tc>
        <w:tc>
          <w:tcPr>
            <w:tcW w:w="3456"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Public educational platforms face DDoS, credential, API, and misconfiguration risks.</w:t>
            </w:r>
          </w:p>
        </w:tc>
        <w:tc>
          <w:tcPr>
            <w:tcW w:w="3745" w:type="dxa"/>
            <w:tcBorders>
              <w:top w:val="single" w:sz="4" w:space="0" w:color="D9E2EA"/>
              <w:left w:val="single" w:sz="4" w:space="0" w:color="D9E2EA"/>
              <w:bottom w:val="single" w:sz="4" w:space="0" w:color="D9E2EA"/>
              <w:right w:val="single" w:sz="4" w:space="0" w:color="D9E2EA"/>
            </w:tcBorders>
            <w:vAlign w:val="center"/>
          </w:tcPr>
          <w:p w:rsidR="00B0243E" w:rsidRDefault="004F7506">
            <w:pPr>
              <w:spacing w:after="0" w:line="240" w:lineRule="auto"/>
            </w:pPr>
            <w:r>
              <w:rPr>
                <w:rFonts w:eastAsia="MS Mincho" w:cs="F"/>
                <w:sz w:val="18"/>
              </w:rPr>
              <w:t>Use WAF/DDoS protection, network segmentation, RBAC, scanning, hardening, and penetration testing.</w:t>
            </w:r>
          </w:p>
        </w:tc>
      </w:tr>
      <w:tr w:rsidR="00B0243E">
        <w:trPr>
          <w:jc w:val="center"/>
        </w:trPr>
        <w:tc>
          <w:tcPr>
            <w:tcW w:w="2591"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DR Validation Gap</w:t>
            </w:r>
          </w:p>
        </w:tc>
        <w:tc>
          <w:tcPr>
            <w:tcW w:w="3456"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DR design may not work as expected unless tested regularly.</w:t>
            </w:r>
          </w:p>
        </w:tc>
        <w:tc>
          <w:tcPr>
            <w:tcW w:w="3745" w:type="dxa"/>
            <w:tcBorders>
              <w:top w:val="single" w:sz="4" w:space="0" w:color="D9E2EA"/>
              <w:left w:val="single" w:sz="4" w:space="0" w:color="D9E2EA"/>
              <w:bottom w:val="single" w:sz="4" w:space="0" w:color="D9E2EA"/>
              <w:right w:val="single" w:sz="4" w:space="0" w:color="D9E2EA"/>
            </w:tcBorders>
            <w:shd w:val="clear" w:color="auto" w:fill="F8FBFD"/>
            <w:vAlign w:val="center"/>
          </w:tcPr>
          <w:p w:rsidR="00B0243E" w:rsidRDefault="004F7506">
            <w:pPr>
              <w:spacing w:after="0" w:line="240" w:lineRule="auto"/>
            </w:pPr>
            <w:r>
              <w:rPr>
                <w:rFonts w:eastAsia="MS Mincho" w:cs="F"/>
                <w:sz w:val="18"/>
              </w:rPr>
              <w:t>Include restore testing, DR simulation, replication monitoring, and documented recovery runbooks.</w:t>
            </w:r>
          </w:p>
        </w:tc>
      </w:tr>
    </w:tbl>
    <w:p w:rsidR="00AA61DD" w:rsidRPr="00AA61DD" w:rsidRDefault="00AA61DD">
      <w:pPr>
        <w:pStyle w:val="Heading1"/>
        <w:tabs>
          <w:tab w:val="left" w:pos="0"/>
        </w:tabs>
        <w:spacing w:before="0" w:after="120" w:line="257" w:lineRule="auto"/>
      </w:pPr>
      <w:bookmarkStart w:id="27" w:name="_Toc231986267"/>
    </w:p>
    <w:p w:rsidR="00B0243E" w:rsidRDefault="004F7506">
      <w:pPr>
        <w:pStyle w:val="Heading1"/>
        <w:tabs>
          <w:tab w:val="left" w:pos="0"/>
        </w:tabs>
        <w:spacing w:before="0" w:after="120" w:line="257" w:lineRule="auto"/>
      </w:pPr>
      <w:r>
        <w:rPr>
          <w:color w:val="1F4E79"/>
        </w:rPr>
        <w:t>11. Acceptance Criteria</w:t>
      </w:r>
      <w:bookmarkEnd w:id="27"/>
    </w:p>
    <w:p w:rsidR="00B0243E" w:rsidRDefault="004F7506">
      <w:pPr>
        <w:pStyle w:val="ListBullet"/>
        <w:spacing w:after="120" w:line="257" w:lineRule="auto"/>
        <w:contextualSpacing w:val="0"/>
      </w:pPr>
      <w:r>
        <w:t>AWS infrastructure foundation is provisioned according to the approved network and security design.</w:t>
      </w:r>
    </w:p>
    <w:p w:rsidR="00B0243E" w:rsidRDefault="004F7506">
      <w:pPr>
        <w:pStyle w:val="ListBullet"/>
        <w:spacing w:after="120" w:line="257" w:lineRule="auto"/>
        <w:contextualSpacing w:val="0"/>
      </w:pPr>
      <w:r>
        <w:t>Self-managed Kubernetes cluster is operational with validated ingress, network policy, RBAC, and baseline observability.</w:t>
      </w:r>
    </w:p>
    <w:p w:rsidR="00B0243E" w:rsidRDefault="004F7506">
      <w:pPr>
        <w:pStyle w:val="ListBullet"/>
        <w:spacing w:after="120" w:line="257" w:lineRule="auto"/>
        <w:contextualSpacing w:val="0"/>
      </w:pPr>
      <w:r>
        <w:t xml:space="preserve">PostgreSQL, Redis, Kafka (scope dependent), </w:t>
      </w:r>
      <w:proofErr w:type="spellStart"/>
      <w:r>
        <w:t>ClickHouse</w:t>
      </w:r>
      <w:proofErr w:type="spellEnd"/>
      <w:r>
        <w:t xml:space="preserve">, and </w:t>
      </w:r>
      <w:proofErr w:type="spellStart"/>
      <w:r>
        <w:t>MinIO</w:t>
      </w:r>
      <w:proofErr w:type="spellEnd"/>
      <w:r>
        <w:t>-compatible storage are installed/configured according to the approved architecture.</w:t>
      </w:r>
    </w:p>
    <w:p w:rsidR="00B0243E" w:rsidRDefault="004F7506">
      <w:pPr>
        <w:pStyle w:val="ListBullet"/>
        <w:spacing w:after="120" w:line="257" w:lineRule="auto"/>
        <w:contextualSpacing w:val="0"/>
      </w:pPr>
      <w:r>
        <w:t xml:space="preserve">CI/CD and </w:t>
      </w:r>
      <w:proofErr w:type="spellStart"/>
      <w:r>
        <w:t>GitOps</w:t>
      </w:r>
      <w:proofErr w:type="spellEnd"/>
      <w:r>
        <w:t xml:space="preserve"> workflow can build, scan, publish, and deploy a sample workload successfully.</w:t>
      </w:r>
    </w:p>
    <w:p w:rsidR="00B0243E" w:rsidRDefault="004F7506">
      <w:pPr>
        <w:pStyle w:val="ListBullet"/>
        <w:spacing w:after="120" w:line="257" w:lineRule="auto"/>
        <w:contextualSpacing w:val="0"/>
      </w:pPr>
      <w:r>
        <w:t>Monitoring dashboards, alerting, centralized logging, and error tracking are configured for core platform services.</w:t>
      </w:r>
    </w:p>
    <w:p w:rsidR="00B0243E" w:rsidRDefault="004F7506">
      <w:pPr>
        <w:pStyle w:val="ListBullet"/>
        <w:spacing w:after="120" w:line="257" w:lineRule="auto"/>
        <w:contextualSpacing w:val="0"/>
      </w:pPr>
      <w:r>
        <w:t>Backup and restore procedures are documented and validated through representative test cases.</w:t>
      </w:r>
    </w:p>
    <w:p w:rsidR="00B0243E" w:rsidRDefault="004F7506">
      <w:pPr>
        <w:pStyle w:val="ListBullet"/>
        <w:spacing w:after="120" w:line="257" w:lineRule="auto"/>
        <w:contextualSpacing w:val="0"/>
      </w:pPr>
      <w:r>
        <w:t>Load/stress testing and security validation are completed, with findings documented and remediation actions tracked.</w:t>
      </w:r>
    </w:p>
    <w:p w:rsidR="00B0243E" w:rsidRDefault="004F7506">
      <w:pPr>
        <w:pStyle w:val="ListBullet"/>
        <w:spacing w:after="120" w:line="257" w:lineRule="auto"/>
        <w:contextualSpacing w:val="0"/>
      </w:pPr>
      <w:r>
        <w:t>Penetration testing executive summary and remediation tracker are delivered for the approved testing scope.</w:t>
      </w:r>
    </w:p>
    <w:p w:rsidR="00B0243E" w:rsidRDefault="004F7506">
      <w:pPr>
        <w:pStyle w:val="ListBullet"/>
        <w:spacing w:after="120" w:line="257" w:lineRule="auto"/>
        <w:contextualSpacing w:val="0"/>
      </w:pPr>
      <w:r>
        <w:t>Final architecture, operations, backup/restore, monitoring, and handover documentation are delivered.</w:t>
      </w:r>
    </w:p>
    <w:p w:rsidR="00AA61DD" w:rsidRPr="00AA61DD" w:rsidRDefault="00AA61DD">
      <w:pPr>
        <w:pStyle w:val="Heading1"/>
        <w:tabs>
          <w:tab w:val="left" w:pos="0"/>
        </w:tabs>
        <w:spacing w:before="0" w:after="120" w:line="257" w:lineRule="auto"/>
      </w:pPr>
      <w:bookmarkStart w:id="28" w:name="_Toc231986268"/>
    </w:p>
    <w:p w:rsidR="00B0243E" w:rsidRDefault="004F7506">
      <w:pPr>
        <w:pStyle w:val="Heading1"/>
        <w:tabs>
          <w:tab w:val="left" w:pos="0"/>
        </w:tabs>
        <w:spacing w:before="0" w:after="120" w:line="257" w:lineRule="auto"/>
      </w:pPr>
      <w:r>
        <w:rPr>
          <w:color w:val="1F4E79"/>
        </w:rPr>
        <w:t>12. Conclusion</w:t>
      </w:r>
      <w:bookmarkEnd w:id="28"/>
    </w:p>
    <w:p w:rsidR="00B0243E" w:rsidRDefault="004F7506">
      <w:pPr>
        <w:spacing w:after="120" w:line="257" w:lineRule="auto"/>
      </w:pPr>
      <w:r>
        <w:t>The proposed Phase 1 architecture provides a secure, scalable, and portable infrastructure foundation for the EFF Foundation Educational Platform. It supports the approved AWS Hybrid Architecture direction while reducing long-term dependency on managed application services and preserving a clear path toward future bare-metal migration.</w:t>
      </w:r>
    </w:p>
    <w:p w:rsidR="00B0243E" w:rsidRDefault="004F7506">
      <w:pPr>
        <w:spacing w:after="120" w:line="257" w:lineRule="auto"/>
      </w:pPr>
      <w:r>
        <w:t xml:space="preserve">By implementing self-managed Kubernetes, PostgreSQL HA, </w:t>
      </w:r>
      <w:proofErr w:type="spellStart"/>
      <w:r>
        <w:t>ClickHouse</w:t>
      </w:r>
      <w:proofErr w:type="spellEnd"/>
      <w:r>
        <w:t xml:space="preserve"> analytics, </w:t>
      </w:r>
      <w:proofErr w:type="spellStart"/>
      <w:r>
        <w:t>MinIO</w:t>
      </w:r>
      <w:proofErr w:type="spellEnd"/>
      <w:r>
        <w:t xml:space="preserve">-compatible storage, CI/CD with </w:t>
      </w:r>
      <w:proofErr w:type="spellStart"/>
      <w:r>
        <w:t>GitOps</w:t>
      </w:r>
      <w:proofErr w:type="spellEnd"/>
      <w:r>
        <w:t>, observability, backup/DR readiness, vulnerability scanning, load testing, and penetration testing, the platform will be positioned for long-term growth and controlled future expansion into application and AI-enabled educational capabilities.</w:t>
      </w:r>
    </w:p>
    <w:sectPr w:rsidR="00B0243E">
      <w:headerReference w:type="default" r:id="rId12"/>
      <w:footerReference w:type="default" r:id="rId13"/>
      <w:pgSz w:w="12240" w:h="15840"/>
      <w:pgMar w:top="936" w:right="936" w:bottom="936" w:left="936" w:header="720" w:footer="72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47BA" w:rsidRDefault="005847BA">
      <w:pPr>
        <w:spacing w:after="0" w:line="240" w:lineRule="auto"/>
      </w:pPr>
      <w:r>
        <w:separator/>
      </w:r>
    </w:p>
  </w:endnote>
  <w:endnote w:type="continuationSeparator" w:id="0">
    <w:p w:rsidR="005847BA" w:rsidRDefault="00584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243E" w:rsidRDefault="004F7506">
    <w:pPr>
      <w:pStyle w:val="Footer"/>
      <w:jc w:val="center"/>
    </w:pPr>
    <w:r>
      <w:fldChar w:fldCharType="begin"/>
    </w:r>
    <w:r>
      <w:instrText xml:space="preserve"> PAGE </w:instrText>
    </w:r>
    <w:r>
      <w:fldChar w:fldCharType="separate"/>
    </w:r>
    <w:r>
      <w:t>12</w:t>
    </w:r>
    <w:r>
      <w:fldChar w:fldCharType="end"/>
    </w:r>
  </w:p>
  <w:p w:rsidR="00B0243E" w:rsidRDefault="00B0243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47BA" w:rsidRDefault="005847BA">
      <w:pPr>
        <w:spacing w:after="0" w:line="240" w:lineRule="auto"/>
      </w:pPr>
      <w:r>
        <w:separator/>
      </w:r>
    </w:p>
  </w:footnote>
  <w:footnote w:type="continuationSeparator" w:id="0">
    <w:p w:rsidR="005847BA" w:rsidRDefault="00584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243E" w:rsidRDefault="004F7506">
    <w:pPr>
      <w:pStyle w:val="Header"/>
      <w:jc w:val="right"/>
    </w:pPr>
    <w:r>
      <w:rPr>
        <w:color w:val="4F6F8F"/>
        <w:sz w:val="16"/>
      </w:rPr>
      <w:t>EFF Foundation Educational Platform | AWS Hybrid Cloud Infrastructure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81232"/>
    <w:multiLevelType w:val="multilevel"/>
    <w:tmpl w:val="92C4F23E"/>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pStyle w:val="Heading4"/>
      <w:suff w:val="nothing"/>
      <w:lvlText w:val="%4"/>
      <w:lvlJc w:val="left"/>
      <w:pPr>
        <w:tabs>
          <w:tab w:val="num" w:pos="0"/>
        </w:tabs>
        <w:ind w:left="0" w:firstLine="0"/>
      </w:pPr>
    </w:lvl>
    <w:lvl w:ilvl="4">
      <w:start w:val="1"/>
      <w:numFmt w:val="none"/>
      <w:pStyle w:val="Heading5"/>
      <w:suff w:val="nothing"/>
      <w:lvlText w:val="%5"/>
      <w:lvlJc w:val="left"/>
      <w:pPr>
        <w:tabs>
          <w:tab w:val="num" w:pos="0"/>
        </w:tabs>
        <w:ind w:left="0" w:firstLine="0"/>
      </w:pPr>
    </w:lvl>
    <w:lvl w:ilvl="5">
      <w:start w:val="1"/>
      <w:numFmt w:val="none"/>
      <w:pStyle w:val="Heading6"/>
      <w:suff w:val="nothing"/>
      <w:lvlText w:val="%6"/>
      <w:lvlJc w:val="left"/>
      <w:pPr>
        <w:tabs>
          <w:tab w:val="num" w:pos="0"/>
        </w:tabs>
        <w:ind w:left="0" w:firstLine="0"/>
      </w:pPr>
    </w:lvl>
    <w:lvl w:ilvl="6">
      <w:start w:val="1"/>
      <w:numFmt w:val="none"/>
      <w:pStyle w:val="Heading7"/>
      <w:suff w:val="nothing"/>
      <w:lvlText w:val="%7"/>
      <w:lvlJc w:val="left"/>
      <w:pPr>
        <w:tabs>
          <w:tab w:val="num" w:pos="0"/>
        </w:tabs>
        <w:ind w:left="0" w:firstLine="0"/>
      </w:pPr>
    </w:lvl>
    <w:lvl w:ilvl="7">
      <w:start w:val="1"/>
      <w:numFmt w:val="none"/>
      <w:pStyle w:val="Heading8"/>
      <w:suff w:val="nothing"/>
      <w:lvlText w:val="%8"/>
      <w:lvlJc w:val="left"/>
      <w:pPr>
        <w:tabs>
          <w:tab w:val="num" w:pos="0"/>
        </w:tabs>
        <w:ind w:left="0" w:firstLine="0"/>
      </w:pPr>
    </w:lvl>
    <w:lvl w:ilvl="8">
      <w:start w:val="1"/>
      <w:numFmt w:val="none"/>
      <w:pStyle w:val="Heading9"/>
      <w:suff w:val="nothing"/>
      <w:lvlText w:val="%9"/>
      <w:lvlJc w:val="left"/>
      <w:pPr>
        <w:tabs>
          <w:tab w:val="num" w:pos="0"/>
        </w:tabs>
        <w:ind w:left="0" w:firstLine="0"/>
      </w:pPr>
    </w:lvl>
  </w:abstractNum>
  <w:abstractNum w:abstractNumId="1" w15:restartNumberingAfterBreak="0">
    <w:nsid w:val="1E891261"/>
    <w:multiLevelType w:val="multilevel"/>
    <w:tmpl w:val="AC4EBD40"/>
    <w:lvl w:ilvl="0">
      <w:start w:val="1"/>
      <w:numFmt w:val="bullet"/>
      <w:pStyle w:val="ListBullet21"/>
      <w:lvlText w:val=""/>
      <w:lvlJc w:val="left"/>
      <w:pPr>
        <w:tabs>
          <w:tab w:val="num" w:pos="0"/>
        </w:tabs>
        <w:ind w:left="720"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 w15:restartNumberingAfterBreak="0">
    <w:nsid w:val="28AD3A95"/>
    <w:multiLevelType w:val="multilevel"/>
    <w:tmpl w:val="67163B6E"/>
    <w:lvl w:ilvl="0">
      <w:start w:val="1"/>
      <w:numFmt w:val="decimal"/>
      <w:pStyle w:val="ListNumber3"/>
      <w:lvlText w:val="%1."/>
      <w:lvlJc w:val="left"/>
      <w:pPr>
        <w:tabs>
          <w:tab w:val="num" w:pos="0"/>
        </w:tabs>
        <w:ind w:left="1080"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3" w15:restartNumberingAfterBreak="0">
    <w:nsid w:val="4F930ECD"/>
    <w:multiLevelType w:val="multilevel"/>
    <w:tmpl w:val="DCF66CFA"/>
    <w:lvl w:ilvl="0">
      <w:start w:val="1"/>
      <w:numFmt w:val="decimal"/>
      <w:pStyle w:val="ListNumber2"/>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4" w15:restartNumberingAfterBreak="0">
    <w:nsid w:val="59640F3E"/>
    <w:multiLevelType w:val="multilevel"/>
    <w:tmpl w:val="C2106A3C"/>
    <w:lvl w:ilvl="0">
      <w:start w:val="1"/>
      <w:numFmt w:val="bullet"/>
      <w:pStyle w:val="ListBullet31"/>
      <w:lvlText w:val=""/>
      <w:lvlJc w:val="left"/>
      <w:pPr>
        <w:tabs>
          <w:tab w:val="num" w:pos="0"/>
        </w:tabs>
        <w:ind w:left="1080"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5" w15:restartNumberingAfterBreak="0">
    <w:nsid w:val="6BAD1972"/>
    <w:multiLevelType w:val="multilevel"/>
    <w:tmpl w:val="CE2E6B38"/>
    <w:lvl w:ilvl="0">
      <w:start w:val="1"/>
      <w:numFmt w:val="decimal"/>
      <w:pStyle w:val="ListNumber"/>
      <w:lvlText w:val="%1."/>
      <w:lvlJc w:val="left"/>
      <w:pPr>
        <w:tabs>
          <w:tab w:val="num" w:pos="0"/>
        </w:tabs>
        <w:ind w:left="360"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6" w15:restartNumberingAfterBreak="0">
    <w:nsid w:val="6BD93826"/>
    <w:multiLevelType w:val="multilevel"/>
    <w:tmpl w:val="733E74B2"/>
    <w:lvl w:ilvl="0">
      <w:start w:val="1"/>
      <w:numFmt w:val="bullet"/>
      <w:pStyle w:val="ListBullet"/>
      <w:lvlText w:val=""/>
      <w:lvlJc w:val="left"/>
      <w:pPr>
        <w:tabs>
          <w:tab w:val="num" w:pos="0"/>
        </w:tabs>
        <w:ind w:left="360"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num w:numId="1">
    <w:abstractNumId w:val="0"/>
  </w:num>
  <w:num w:numId="2">
    <w:abstractNumId w:val="6"/>
  </w:num>
  <w:num w:numId="3">
    <w:abstractNumId w:val="1"/>
  </w:num>
  <w:num w:numId="4">
    <w:abstractNumId w:val="4"/>
  </w:num>
  <w:num w:numId="5">
    <w:abstractNumId w:val="5"/>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0243E"/>
    <w:rsid w:val="00092C08"/>
    <w:rsid w:val="00231230"/>
    <w:rsid w:val="003125DC"/>
    <w:rsid w:val="00316FAD"/>
    <w:rsid w:val="004E57B9"/>
    <w:rsid w:val="004F7506"/>
    <w:rsid w:val="00576F7E"/>
    <w:rsid w:val="005847BA"/>
    <w:rsid w:val="00590771"/>
    <w:rsid w:val="005C60A3"/>
    <w:rsid w:val="00870BBE"/>
    <w:rsid w:val="009F05C9"/>
    <w:rsid w:val="00A16F7A"/>
    <w:rsid w:val="00AA61DD"/>
    <w:rsid w:val="00B0243E"/>
    <w:rsid w:val="00B30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A2691"/>
  <w15:docId w15:val="{97C08588-89CB-4ECD-B043-019D61F3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F"/>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spacing w:after="200" w:line="276" w:lineRule="auto"/>
    </w:pPr>
    <w:rPr>
      <w:rFonts w:ascii="Calibri" w:eastAsia="Calibri" w:hAnsi="Calibri" w:cs="Calibri"/>
      <w:sz w:val="20"/>
    </w:rPr>
  </w:style>
  <w:style w:type="paragraph" w:styleId="Heading1">
    <w:name w:val="heading 1"/>
    <w:basedOn w:val="Normal"/>
    <w:next w:val="Normal"/>
    <w:uiPriority w:val="9"/>
    <w:qFormat/>
    <w:pPr>
      <w:keepNext/>
      <w:keepLines/>
      <w:numPr>
        <w:numId w:val="1"/>
      </w:numPr>
      <w:spacing w:before="480" w:after="0"/>
      <w:outlineLvl w:val="0"/>
    </w:pPr>
    <w:rPr>
      <w:rFonts w:eastAsia="MS Gothic" w:cs="F"/>
      <w:b/>
      <w:bCs/>
      <w:color w:val="365F91"/>
      <w:sz w:val="32"/>
      <w:szCs w:val="28"/>
    </w:rPr>
  </w:style>
  <w:style w:type="paragraph" w:styleId="Heading2">
    <w:name w:val="heading 2"/>
    <w:basedOn w:val="Normal"/>
    <w:next w:val="Normal"/>
    <w:uiPriority w:val="9"/>
    <w:unhideWhenUsed/>
    <w:qFormat/>
    <w:pPr>
      <w:keepNext/>
      <w:keepLines/>
      <w:numPr>
        <w:ilvl w:val="1"/>
        <w:numId w:val="1"/>
      </w:numPr>
      <w:spacing w:before="200" w:after="0"/>
      <w:outlineLvl w:val="1"/>
    </w:pPr>
    <w:rPr>
      <w:rFonts w:eastAsia="MS Gothic" w:cs="F"/>
      <w:b/>
      <w:bCs/>
      <w:color w:val="4F81BD"/>
      <w:sz w:val="26"/>
      <w:szCs w:val="26"/>
    </w:rPr>
  </w:style>
  <w:style w:type="paragraph" w:styleId="Heading3">
    <w:name w:val="heading 3"/>
    <w:basedOn w:val="Normal"/>
    <w:next w:val="Normal"/>
    <w:uiPriority w:val="9"/>
    <w:semiHidden/>
    <w:unhideWhenUsed/>
    <w:qFormat/>
    <w:pPr>
      <w:keepNext/>
      <w:keepLines/>
      <w:numPr>
        <w:ilvl w:val="2"/>
        <w:numId w:val="1"/>
      </w:numPr>
      <w:spacing w:before="200" w:after="0"/>
      <w:outlineLvl w:val="2"/>
    </w:pPr>
    <w:rPr>
      <w:rFonts w:eastAsia="MS Gothic" w:cs="F"/>
      <w:b/>
      <w:bCs/>
      <w:color w:val="4F81BD"/>
      <w:sz w:val="22"/>
    </w:rPr>
  </w:style>
  <w:style w:type="paragraph" w:styleId="Heading4">
    <w:name w:val="heading 4"/>
    <w:basedOn w:val="Normal"/>
    <w:next w:val="Normal"/>
    <w:uiPriority w:val="9"/>
    <w:semiHidden/>
    <w:unhideWhenUsed/>
    <w:qFormat/>
    <w:pPr>
      <w:keepNext/>
      <w:keepLines/>
      <w:numPr>
        <w:ilvl w:val="3"/>
        <w:numId w:val="1"/>
      </w:numPr>
      <w:spacing w:before="200" w:after="0"/>
      <w:outlineLvl w:val="3"/>
    </w:pPr>
    <w:rPr>
      <w:rFonts w:eastAsia="MS Gothic" w:cs="F"/>
      <w:b/>
      <w:bCs/>
      <w:i/>
      <w:iCs/>
      <w:color w:val="4F81BD"/>
    </w:rPr>
  </w:style>
  <w:style w:type="paragraph" w:styleId="Heading5">
    <w:name w:val="heading 5"/>
    <w:basedOn w:val="Normal"/>
    <w:next w:val="Normal"/>
    <w:uiPriority w:val="9"/>
    <w:semiHidden/>
    <w:unhideWhenUsed/>
    <w:qFormat/>
    <w:pPr>
      <w:keepNext/>
      <w:keepLines/>
      <w:numPr>
        <w:ilvl w:val="4"/>
        <w:numId w:val="1"/>
      </w:numPr>
      <w:spacing w:before="200" w:after="0"/>
      <w:outlineLvl w:val="4"/>
    </w:pPr>
    <w:rPr>
      <w:rFonts w:eastAsia="MS Gothic" w:cs="F"/>
      <w:color w:val="243F60"/>
    </w:rPr>
  </w:style>
  <w:style w:type="paragraph" w:styleId="Heading6">
    <w:name w:val="heading 6"/>
    <w:basedOn w:val="Normal"/>
    <w:next w:val="Normal"/>
    <w:uiPriority w:val="9"/>
    <w:semiHidden/>
    <w:unhideWhenUsed/>
    <w:qFormat/>
    <w:pPr>
      <w:keepNext/>
      <w:keepLines/>
      <w:numPr>
        <w:ilvl w:val="5"/>
        <w:numId w:val="1"/>
      </w:numPr>
      <w:spacing w:before="200" w:after="0"/>
      <w:outlineLvl w:val="5"/>
    </w:pPr>
    <w:rPr>
      <w:rFonts w:eastAsia="MS Gothic" w:cs="F"/>
      <w:i/>
      <w:iCs/>
      <w:color w:val="243F60"/>
    </w:rPr>
  </w:style>
  <w:style w:type="paragraph" w:styleId="Heading7">
    <w:name w:val="heading 7"/>
    <w:basedOn w:val="Normal"/>
    <w:next w:val="Normal"/>
    <w:qFormat/>
    <w:pPr>
      <w:keepNext/>
      <w:keepLines/>
      <w:numPr>
        <w:ilvl w:val="6"/>
        <w:numId w:val="1"/>
      </w:numPr>
      <w:spacing w:before="200" w:after="0"/>
      <w:outlineLvl w:val="6"/>
    </w:pPr>
    <w:rPr>
      <w:rFonts w:eastAsia="MS Gothic" w:cs="F"/>
      <w:i/>
      <w:iCs/>
      <w:color w:val="404040"/>
    </w:rPr>
  </w:style>
  <w:style w:type="paragraph" w:styleId="Heading8">
    <w:name w:val="heading 8"/>
    <w:basedOn w:val="Normal"/>
    <w:next w:val="Normal"/>
    <w:qFormat/>
    <w:pPr>
      <w:keepNext/>
      <w:keepLines/>
      <w:numPr>
        <w:ilvl w:val="7"/>
        <w:numId w:val="1"/>
      </w:numPr>
      <w:spacing w:before="200" w:after="0"/>
      <w:outlineLvl w:val="7"/>
    </w:pPr>
    <w:rPr>
      <w:rFonts w:eastAsia="MS Gothic" w:cs="F"/>
      <w:color w:val="4F81BD"/>
      <w:szCs w:val="20"/>
    </w:rPr>
  </w:style>
  <w:style w:type="paragraph" w:styleId="Heading9">
    <w:name w:val="heading 9"/>
    <w:basedOn w:val="Normal"/>
    <w:next w:val="Normal"/>
    <w:qFormat/>
    <w:pPr>
      <w:keepNext/>
      <w:keepLines/>
      <w:numPr>
        <w:ilvl w:val="8"/>
        <w:numId w:val="1"/>
      </w:numPr>
      <w:spacing w:before="200" w:after="0"/>
      <w:outlineLvl w:val="8"/>
    </w:pPr>
    <w:rPr>
      <w:rFonts w:eastAsia="MS Gothic" w:cs="F"/>
      <w:i/>
      <w:iCs/>
      <w:color w:val="40404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Heading1Char">
    <w:name w:val="Heading 1 Char"/>
    <w:basedOn w:val="DefaultParagraphFont"/>
    <w:qFormat/>
    <w:rPr>
      <w:rFonts w:ascii="Calibri" w:eastAsia="MS Gothic" w:hAnsi="Calibri" w:cs="F"/>
      <w:b/>
      <w:bCs/>
      <w:color w:val="365F91"/>
      <w:sz w:val="28"/>
      <w:szCs w:val="28"/>
    </w:rPr>
  </w:style>
  <w:style w:type="character" w:customStyle="1" w:styleId="Heading2Char">
    <w:name w:val="Heading 2 Char"/>
    <w:basedOn w:val="DefaultParagraphFont"/>
    <w:qFormat/>
    <w:rPr>
      <w:rFonts w:ascii="Calibri" w:eastAsia="MS Gothic" w:hAnsi="Calibri" w:cs="F"/>
      <w:b/>
      <w:bCs/>
      <w:color w:val="4F81BD"/>
      <w:sz w:val="26"/>
      <w:szCs w:val="26"/>
    </w:rPr>
  </w:style>
  <w:style w:type="character" w:customStyle="1" w:styleId="Heading3Char">
    <w:name w:val="Heading 3 Char"/>
    <w:basedOn w:val="DefaultParagraphFont"/>
    <w:qFormat/>
    <w:rPr>
      <w:rFonts w:ascii="Calibri" w:eastAsia="MS Gothic" w:hAnsi="Calibri" w:cs="F"/>
      <w:b/>
      <w:bCs/>
      <w:color w:val="4F81BD"/>
    </w:rPr>
  </w:style>
  <w:style w:type="character" w:customStyle="1" w:styleId="TitleChar">
    <w:name w:val="Title Char"/>
    <w:basedOn w:val="DefaultParagraphFont"/>
    <w:qFormat/>
    <w:rPr>
      <w:rFonts w:ascii="Calibri" w:eastAsia="MS Gothic" w:hAnsi="Calibri" w:cs="F"/>
      <w:color w:val="17365D"/>
      <w:spacing w:val="5"/>
      <w:kern w:val="2"/>
      <w:sz w:val="52"/>
      <w:szCs w:val="52"/>
    </w:rPr>
  </w:style>
  <w:style w:type="character" w:customStyle="1" w:styleId="SubtitleChar">
    <w:name w:val="Subtitle Char"/>
    <w:basedOn w:val="DefaultParagraphFont"/>
    <w:qFormat/>
    <w:rPr>
      <w:rFonts w:ascii="Calibri" w:eastAsia="MS Gothic" w:hAnsi="Calibri" w:cs="F"/>
      <w:i/>
      <w:iCs/>
      <w:color w:val="4F81BD"/>
      <w:spacing w:val="15"/>
      <w:sz w:val="24"/>
      <w:szCs w:val="24"/>
    </w:rPr>
  </w:style>
  <w:style w:type="character" w:customStyle="1" w:styleId="BodyTextChar">
    <w:name w:val="Body Text Char"/>
    <w:basedOn w:val="DefaultParagraphFont"/>
    <w:qFormat/>
  </w:style>
  <w:style w:type="character" w:customStyle="1" w:styleId="BodyText2Char">
    <w:name w:val="Body Text 2 Char"/>
    <w:basedOn w:val="DefaultParagraphFont"/>
    <w:qFormat/>
  </w:style>
  <w:style w:type="character" w:customStyle="1" w:styleId="BodyText3Char">
    <w:name w:val="Body Text 3 Char"/>
    <w:basedOn w:val="DefaultParagraphFont"/>
    <w:qFormat/>
    <w:rPr>
      <w:sz w:val="16"/>
      <w:szCs w:val="16"/>
    </w:rPr>
  </w:style>
  <w:style w:type="character" w:customStyle="1" w:styleId="MacroTextChar">
    <w:name w:val="Macro Text Char"/>
    <w:basedOn w:val="DefaultParagraphFont"/>
    <w:qFormat/>
    <w:rPr>
      <w:rFonts w:ascii="Courier" w:eastAsia="Courier" w:hAnsi="Courier" w:cs="Courier"/>
      <w:sz w:val="20"/>
      <w:szCs w:val="20"/>
    </w:rPr>
  </w:style>
  <w:style w:type="character" w:customStyle="1" w:styleId="QuoteChar">
    <w:name w:val="Quote Char"/>
    <w:basedOn w:val="DefaultParagraphFont"/>
    <w:qFormat/>
    <w:rPr>
      <w:i/>
      <w:iCs/>
      <w:color w:val="000000"/>
    </w:rPr>
  </w:style>
  <w:style w:type="character" w:customStyle="1" w:styleId="Heading4Char">
    <w:name w:val="Heading 4 Char"/>
    <w:basedOn w:val="DefaultParagraphFont"/>
    <w:qFormat/>
    <w:rPr>
      <w:rFonts w:ascii="Calibri" w:eastAsia="MS Gothic" w:hAnsi="Calibri" w:cs="F"/>
      <w:b/>
      <w:bCs/>
      <w:i/>
      <w:iCs/>
      <w:color w:val="4F81BD"/>
    </w:rPr>
  </w:style>
  <w:style w:type="character" w:customStyle="1" w:styleId="Heading5Char">
    <w:name w:val="Heading 5 Char"/>
    <w:basedOn w:val="DefaultParagraphFont"/>
    <w:qFormat/>
    <w:rPr>
      <w:rFonts w:ascii="Calibri" w:eastAsia="MS Gothic" w:hAnsi="Calibri" w:cs="F"/>
      <w:color w:val="243F60"/>
    </w:rPr>
  </w:style>
  <w:style w:type="character" w:customStyle="1" w:styleId="Heading6Char">
    <w:name w:val="Heading 6 Char"/>
    <w:basedOn w:val="DefaultParagraphFont"/>
    <w:qFormat/>
    <w:rPr>
      <w:rFonts w:ascii="Calibri" w:eastAsia="MS Gothic" w:hAnsi="Calibri" w:cs="F"/>
      <w:i/>
      <w:iCs/>
      <w:color w:val="243F60"/>
    </w:rPr>
  </w:style>
  <w:style w:type="character" w:customStyle="1" w:styleId="Heading7Char">
    <w:name w:val="Heading 7 Char"/>
    <w:basedOn w:val="DefaultParagraphFont"/>
    <w:qFormat/>
    <w:rPr>
      <w:rFonts w:ascii="Calibri" w:eastAsia="MS Gothic" w:hAnsi="Calibri" w:cs="F"/>
      <w:i/>
      <w:iCs/>
      <w:color w:val="404040"/>
    </w:rPr>
  </w:style>
  <w:style w:type="character" w:customStyle="1" w:styleId="Heading8Char">
    <w:name w:val="Heading 8 Char"/>
    <w:basedOn w:val="DefaultParagraphFont"/>
    <w:qFormat/>
    <w:rPr>
      <w:rFonts w:ascii="Calibri" w:eastAsia="MS Gothic" w:hAnsi="Calibri" w:cs="F"/>
      <w:color w:val="4F81BD"/>
      <w:sz w:val="20"/>
      <w:szCs w:val="20"/>
    </w:rPr>
  </w:style>
  <w:style w:type="character" w:customStyle="1" w:styleId="Heading9Char">
    <w:name w:val="Heading 9 Char"/>
    <w:basedOn w:val="DefaultParagraphFont"/>
    <w:qFormat/>
    <w:rPr>
      <w:rFonts w:ascii="Calibri" w:eastAsia="MS Gothic" w:hAnsi="Calibri" w:cs="F"/>
      <w:i/>
      <w:iCs/>
      <w:color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customStyle="1" w:styleId="IntenseQuoteChar">
    <w:name w:val="Intense Quote Char"/>
    <w:basedOn w:val="DefaultParagraphFont"/>
    <w:qFormat/>
    <w:rPr>
      <w:b/>
      <w:bCs/>
      <w:i/>
      <w:iCs/>
      <w:color w:val="4F81BD"/>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Hyperlink">
    <w:name w:val="Hyperlink"/>
    <w:basedOn w:val="DefaultParagraphFont"/>
    <w:rPr>
      <w:color w:val="0000FF"/>
      <w:u w:val="single"/>
    </w:rPr>
  </w:style>
  <w:style w:type="character" w:customStyle="1" w:styleId="IndexLink">
    <w:name w:val="Index Link"/>
    <w:qFormat/>
  </w:style>
  <w:style w:type="character" w:customStyle="1" w:styleId="WWCharLFO2LVL1">
    <w:name w:val="WW_CharLFO2LVL1"/>
    <w:qFormat/>
    <w:rPr>
      <w:rFonts w:ascii="Symbol" w:hAnsi="Symbol"/>
    </w:rPr>
  </w:style>
  <w:style w:type="character" w:customStyle="1" w:styleId="WWCharLFO3LVL1">
    <w:name w:val="WW_CharLFO3LVL1"/>
    <w:qFormat/>
    <w:rPr>
      <w:rFonts w:ascii="Symbol" w:hAnsi="Symbol"/>
    </w:rPr>
  </w:style>
  <w:style w:type="character" w:customStyle="1" w:styleId="WWCharLFO4LVL1">
    <w:name w:val="WW_CharLFO4LVL1"/>
    <w:qFormat/>
    <w:rPr>
      <w:rFonts w:ascii="Symbol" w:hAnsi="Symbol"/>
    </w:rPr>
  </w:style>
  <w:style w:type="character" w:customStyle="1" w:styleId="WWCharLFO5LVL1">
    <w:name w:val="WW_CharLFO5LVL1"/>
    <w:qFormat/>
    <w:rPr>
      <w:rFonts w:ascii="Symbol" w:hAnsi="Symbol"/>
    </w:rPr>
  </w:style>
  <w:style w:type="character" w:customStyle="1" w:styleId="CommentTextChar">
    <w:name w:val="Comment Text Char"/>
    <w:basedOn w:val="DefaultParagraphFont"/>
    <w:qFormat/>
    <w:rPr>
      <w:sz w:val="20"/>
      <w:szCs w:val="20"/>
    </w:rPr>
  </w:style>
  <w:style w:type="character" w:styleId="CommentReference">
    <w:name w:val="annotation reference"/>
    <w:basedOn w:val="DefaultParagraphFont"/>
    <w:qFormat/>
    <w:rPr>
      <w:sz w:val="16"/>
      <w:szCs w:val="16"/>
    </w:rPr>
  </w:style>
  <w:style w:type="character" w:customStyle="1" w:styleId="CommentSubjectChar">
    <w:name w:val="Comment Subject Char"/>
    <w:basedOn w:val="CommentTextChar"/>
    <w:qFormat/>
    <w:rPr>
      <w:b/>
      <w:bCs/>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20"/>
    </w:pPr>
  </w:style>
  <w:style w:type="paragraph" w:customStyle="1" w:styleId="Normal1">
    <w:name w:val="Normal1"/>
    <w:qFormat/>
    <w:pPr>
      <w:widowControl w:val="0"/>
      <w:suppressAutoHyphens/>
    </w:pPr>
  </w:style>
  <w:style w:type="paragraph" w:styleId="List">
    <w:name w:val="List"/>
    <w:basedOn w:val="Normal"/>
    <w:pPr>
      <w:spacing w:after="0"/>
      <w:ind w:left="360" w:hanging="360"/>
      <w:contextualSpacing/>
    </w:pPr>
  </w:style>
  <w:style w:type="paragraph" w:styleId="Caption">
    <w:name w:val="caption"/>
    <w:basedOn w:val="Normal"/>
    <w:next w:val="Normal"/>
    <w:qFormat/>
    <w:pPr>
      <w:spacing w:line="240" w:lineRule="auto"/>
    </w:pPr>
    <w:rPr>
      <w:b/>
      <w:bCs/>
      <w:color w:val="4F81BD"/>
      <w:sz w:val="18"/>
      <w:szCs w:val="18"/>
    </w:rPr>
  </w:style>
  <w:style w:type="paragraph" w:customStyle="1" w:styleId="Index">
    <w:name w:val="Index"/>
    <w:basedOn w:val="Normal"/>
    <w:qFormat/>
    <w:pPr>
      <w:suppressLineNumbers/>
    </w:pPr>
    <w:rPr>
      <w:rFonts w:cs="Lohit Devanagari"/>
      <w:sz w:val="24"/>
    </w:rPr>
  </w:style>
  <w:style w:type="paragraph" w:customStyle="1" w:styleId="HeaderandFooter">
    <w:name w:val="Header and Footer"/>
    <w:basedOn w:val="Normal"/>
    <w:qFormat/>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NoSpacing">
    <w:name w:val="No Spacing"/>
    <w:qFormat/>
    <w:pPr>
      <w:suppressAutoHyphens/>
    </w:pPr>
  </w:style>
  <w:style w:type="paragraph" w:styleId="Title">
    <w:name w:val="Title"/>
    <w:basedOn w:val="Normal"/>
    <w:next w:val="Normal"/>
    <w:uiPriority w:val="10"/>
    <w:qFormat/>
    <w:pPr>
      <w:pBdr>
        <w:bottom w:val="single" w:sz="8" w:space="4" w:color="4F81BD"/>
      </w:pBdr>
      <w:spacing w:after="300" w:line="240" w:lineRule="auto"/>
      <w:contextualSpacing/>
    </w:pPr>
    <w:rPr>
      <w:rFonts w:eastAsia="MS Gothic" w:cs="F"/>
      <w:color w:val="17365D"/>
      <w:spacing w:val="5"/>
      <w:kern w:val="2"/>
      <w:sz w:val="52"/>
      <w:szCs w:val="52"/>
    </w:rPr>
  </w:style>
  <w:style w:type="paragraph" w:styleId="Subtitle">
    <w:name w:val="Subtitle"/>
    <w:basedOn w:val="Normal"/>
    <w:next w:val="Normal"/>
    <w:uiPriority w:val="11"/>
    <w:qFormat/>
    <w:rPr>
      <w:rFonts w:eastAsia="MS Gothic" w:cs="F"/>
      <w:i/>
      <w:iCs/>
      <w:color w:val="4F81BD"/>
      <w:spacing w:val="15"/>
      <w:sz w:val="24"/>
      <w:szCs w:val="24"/>
    </w:rPr>
  </w:style>
  <w:style w:type="paragraph" w:styleId="ListParagraph">
    <w:name w:val="List Paragraph"/>
    <w:basedOn w:val="Normal"/>
    <w:qFormat/>
    <w:pPr>
      <w:spacing w:after="0"/>
      <w:ind w:left="720"/>
      <w:contextualSpacing/>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ListBullet2">
    <w:name w:val="List Bullet 2"/>
    <w:basedOn w:val="Normal"/>
    <w:pPr>
      <w:spacing w:after="0"/>
      <w:ind w:left="720" w:hanging="360"/>
      <w:contextualSpacing/>
    </w:pPr>
  </w:style>
  <w:style w:type="paragraph" w:styleId="ListBullet3">
    <w:name w:val="List Bullet 3"/>
    <w:basedOn w:val="Normal"/>
    <w:pPr>
      <w:spacing w:after="0"/>
      <w:ind w:left="1080" w:hanging="360"/>
      <w:contextualSpacing/>
    </w:pPr>
  </w:style>
  <w:style w:type="paragraph" w:styleId="ListBullet">
    <w:name w:val="List Bullet"/>
    <w:basedOn w:val="Normal"/>
    <w:qFormat/>
    <w:pPr>
      <w:numPr>
        <w:numId w:val="2"/>
      </w:numPr>
      <w:spacing w:after="0"/>
      <w:contextualSpacing/>
    </w:pPr>
  </w:style>
  <w:style w:type="paragraph" w:customStyle="1" w:styleId="ListBullet21">
    <w:name w:val="List Bullet 21"/>
    <w:basedOn w:val="Normal"/>
    <w:qFormat/>
    <w:pPr>
      <w:numPr>
        <w:numId w:val="3"/>
      </w:numPr>
      <w:spacing w:after="0"/>
      <w:contextualSpacing/>
    </w:pPr>
  </w:style>
  <w:style w:type="paragraph" w:customStyle="1" w:styleId="ListBullet31">
    <w:name w:val="List Bullet 31"/>
    <w:basedOn w:val="Normal"/>
    <w:qFormat/>
    <w:pPr>
      <w:numPr>
        <w:numId w:val="4"/>
      </w:numPr>
      <w:spacing w:after="0"/>
      <w:contextualSpacing/>
    </w:pPr>
  </w:style>
  <w:style w:type="paragraph" w:styleId="ListNumber">
    <w:name w:val="List Number"/>
    <w:basedOn w:val="Normal"/>
    <w:qFormat/>
    <w:pPr>
      <w:numPr>
        <w:numId w:val="5"/>
      </w:numPr>
      <w:spacing w:after="0"/>
      <w:contextualSpacing/>
    </w:pPr>
  </w:style>
  <w:style w:type="paragraph" w:styleId="ListNumber2">
    <w:name w:val="List Number 2"/>
    <w:basedOn w:val="Normal"/>
    <w:qFormat/>
    <w:pPr>
      <w:numPr>
        <w:numId w:val="6"/>
      </w:numPr>
      <w:spacing w:after="0"/>
      <w:contextualSpacing/>
    </w:pPr>
  </w:style>
  <w:style w:type="paragraph" w:styleId="ListNumber3">
    <w:name w:val="List Number 3"/>
    <w:basedOn w:val="Normal"/>
    <w:qFormat/>
    <w:pPr>
      <w:numPr>
        <w:numId w:val="7"/>
      </w:numPr>
      <w:spacing w:after="0"/>
      <w:contextualSpacing/>
    </w:pPr>
  </w:style>
  <w:style w:type="paragraph" w:styleId="ListContinue">
    <w:name w:val="List Continue"/>
    <w:basedOn w:val="Normal"/>
    <w:qFormat/>
    <w:pPr>
      <w:spacing w:after="120"/>
      <w:ind w:left="360"/>
      <w:contextualSpacing/>
    </w:pPr>
  </w:style>
  <w:style w:type="paragraph" w:styleId="ListContinue2">
    <w:name w:val="List Continue 2"/>
    <w:basedOn w:val="Normal"/>
    <w:qFormat/>
    <w:pPr>
      <w:spacing w:after="120"/>
      <w:ind w:left="720"/>
      <w:contextualSpacing/>
    </w:pPr>
  </w:style>
  <w:style w:type="paragraph" w:styleId="ListContinue3">
    <w:name w:val="List Continue 3"/>
    <w:basedOn w:val="Normal"/>
    <w:qFormat/>
    <w:pPr>
      <w:spacing w:after="120"/>
      <w:ind w:left="1080"/>
      <w:contextualSpacing/>
    </w:pPr>
  </w:style>
  <w:style w:type="paragraph" w:styleId="MacroText">
    <w:name w:val="macro"/>
    <w:qFormat/>
    <w:pPr>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Normal"/>
    <w:next w:val="Normal"/>
    <w:qFormat/>
    <w:rPr>
      <w:i/>
      <w:iCs/>
      <w:color w:val="000000"/>
    </w:rPr>
  </w:style>
  <w:style w:type="paragraph" w:styleId="IntenseQuote">
    <w:name w:val="Intense Quote"/>
    <w:basedOn w:val="Normal"/>
    <w:next w:val="Normal"/>
    <w:qFormat/>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styleId="TOCHeading">
    <w:name w:val="TOC Heading"/>
    <w:basedOn w:val="Heading1"/>
    <w:next w:val="Normal"/>
    <w:qFormat/>
    <w:pPr>
      <w:numPr>
        <w:numId w:val="0"/>
      </w:numPr>
    </w:p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CommentText">
    <w:name w:val="annotation text"/>
    <w:basedOn w:val="Normal1"/>
    <w:qFormat/>
    <w:rPr>
      <w:sz w:val="20"/>
      <w:szCs w:val="20"/>
    </w:rPr>
  </w:style>
  <w:style w:type="paragraph" w:styleId="CommentSubject">
    <w:name w:val="annotation subject"/>
    <w:basedOn w:val="CommentText"/>
    <w:next w:val="CommentText"/>
    <w:qFormat/>
    <w:rPr>
      <w:b/>
      <w:bCs/>
    </w:rPr>
  </w:style>
  <w:style w:type="paragraph" w:styleId="Revision">
    <w:name w:val="Revision"/>
    <w:qFormat/>
  </w:style>
  <w:style w:type="paragraph" w:customStyle="1" w:styleId="TableContents">
    <w:name w:val="Table Contents"/>
    <w:basedOn w:val="Normal"/>
    <w:qFormat/>
    <w:pPr>
      <w:widowControl w:val="0"/>
      <w:suppressLineNumbers/>
    </w:pPr>
  </w:style>
  <w:style w:type="numbering" w:customStyle="1" w:styleId="NoList1">
    <w:name w:val="No List_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1</Pages>
  <Words>4275</Words>
  <Characters>24374</Characters>
  <Application>Microsoft Office Word</Application>
  <DocSecurity>0</DocSecurity>
  <Lines>203</Lines>
  <Paragraphs>57</Paragraphs>
  <ScaleCrop>false</ScaleCrop>
  <Company/>
  <LinksUpToDate>false</LinksUpToDate>
  <CharactersWithSpaces>28592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Riseup Labs</cp:lastModifiedBy>
  <cp:revision>31</cp:revision>
  <dcterms:created xsi:type="dcterms:W3CDTF">2013-12-23T23:15:00Z</dcterms:created>
  <dcterms:modified xsi:type="dcterms:W3CDTF">2026-06-10T09:04:00Z</dcterms:modified>
  <dc:language>en-US</dc:language>
</cp:coreProperties>
</file>