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7F8C8D"/>
          <w:sz w:val="24"/>
          <w:szCs w:val="24"/>
        </w:rPr>
        <w:t xml:space="preserve">CONCEPT NOTE</w:t>
      </w:r>
    </w:p>
    <w:p>
      <w:pPr>
        <w:spacing w:after="120"/>
        <w:jc w:val="center"/>
      </w:pPr>
      <w:r>
        <w:rPr>
          <w:rFonts w:ascii="Arial" w:cs="Arial" w:eastAsia="Arial" w:hAnsi="Arial"/>
          <w:b/>
          <w:bCs/>
          <w:color w:val="1B4F72"/>
          <w:sz w:val="56"/>
          <w:szCs w:val="56"/>
        </w:rPr>
        <w:t xml:space="preserve">FibroSense</w:t>
      </w:r>
    </w:p>
    <w:p>
      <w:pPr>
        <w:spacing w:after="600"/>
        <w:jc w:val="center"/>
      </w:pPr>
      <w:r>
        <w:rPr>
          <w:rFonts w:ascii="Arial" w:cs="Arial" w:eastAsia="Arial" w:hAnsi="Arial"/>
          <w:color w:val="5D6D7E"/>
          <w:sz w:val="28"/>
          <w:szCs w:val="28"/>
        </w:rPr>
        <w:t xml:space="preserve">A Personal Fibromyalgia Intelligence System</w:t>
      </w:r>
    </w:p>
    <w:p>
      <w:pPr>
        <w:pBdr>
          <w:top w:val="single" w:color="1B4F72" w:sz="2" w:space="12"/>
        </w:pBdr>
        <w:spacing w:before="400" w:after="80"/>
        <w:jc w:val="center"/>
      </w:pPr>
      <w:r>
        <w:rPr>
          <w:color w:val="5D6D7E"/>
          <w:sz w:val="22"/>
          <w:szCs w:val="22"/>
        </w:rPr>
        <w:t xml:space="preserve">Integrating Wearable Biometrics with Symptom Intelligence</w:t>
      </w:r>
    </w:p>
    <w:p>
      <w:pPr>
        <w:spacing w:after="80"/>
        <w:jc w:val="center"/>
      </w:pPr>
      <w:r>
        <w:rPr>
          <w:color w:val="5D6D7E"/>
          <w:sz w:val="22"/>
          <w:szCs w:val="22"/>
        </w:rPr>
        <w:t xml:space="preserve">for Personalized Flare Prediction and Self-Management</w:t>
      </w:r>
    </w:p>
    <w:p>
      <w:pPr>
        <w:spacing w:before="1200"/>
      </w:pPr>
    </w:p>
    <w:p>
      <w:pPr>
        <w:spacing w:after="60"/>
        <w:jc w:val="center"/>
      </w:pPr>
      <w:r>
        <w:rPr>
          <w:color w:val="7F8C8D"/>
          <w:sz w:val="20"/>
          <w:szCs w:val="20"/>
        </w:rPr>
        <w:t xml:space="preserve">Prepared by: Sadia</w:t>
      </w:r>
    </w:p>
    <w:p>
      <w:pPr>
        <w:spacing w:after="60"/>
        <w:jc w:val="center"/>
      </w:pPr>
      <w:r>
        <w:rPr>
          <w:color w:val="7F8C8D"/>
          <w:sz w:val="20"/>
          <w:szCs w:val="20"/>
        </w:rPr>
        <w:t xml:space="preserve">Date: February 2025</w:t>
      </w:r>
    </w:p>
    <w:p>
      <w:pPr>
        <w:jc w:val="center"/>
      </w:pPr>
      <w:r>
        <w:rPr>
          <w:color w:val="7F8C8D"/>
          <w:sz w:val="20"/>
          <w:szCs w:val="20"/>
        </w:rPr>
        <w:t xml:space="preserve">Version: 1.1 — Personal Use</w:t>
      </w:r>
    </w:p>
    <w:p>
      <w:pPr>
        <w:sectPr>
          <w:pgSz w:w="12240" w:h="15840" w:orient="portrait"/>
          <w:pgMar w:top="1440" w:right="1440" w:bottom="1440" w:left="1440" w:header="708" w:footer="708" w:gutter="0"/>
          <w:pgNumType/>
          <w:docGrid w:linePitch="360"/>
        </w:sectPr>
      </w:pPr>
    </w:p>
    <w:p>
      <w:pPr>
        <w:pStyle w:val="Heading1"/>
      </w:pPr>
      <w:r>
        <w:t xml:space="preserve">1. Executive Summary</w:t>
      </w:r>
    </w:p>
    <w:p>
      <w:pPr>
        <w:spacing w:after="160" w:line="276"/>
      </w:pPr>
      <w:r>
        <w:t xml:space="preserve">FibroSense is a personal health intelligence tool that combines wearable biometric data (initially via Oura Ring) with lightweight daily symptom logging to discover individualized fibromyalgia flare patterns.</w:t>
      </w:r>
    </w:p>
    <w:p>
      <w:pPr>
        <w:spacing w:after="160" w:line="276"/>
      </w:pPr>
      <w:r>
        <w:t xml:space="preserve">Unlike existing symptom trackers that rely on manual input alone, FibroSense leverages continuous physiological monitoring — nocturnal heart rate variability (HRV), body temperature deviations, sleep architecture, and resting heart rate — to build a predictive model unique to the user. The core premise is grounded in published research demonstrating that fibromyalgia patients exhibit measurable autonomic nervous system dysregulation, particularly reduced nocturnal HRV that correlates with symptom severity.</w:t>
      </w:r>
    </w:p>
    <w:p>
      <w:pPr>
        <w:spacing w:after="160" w:line="276"/>
      </w:pPr>
      <w:r>
        <w:t xml:space="preserve">By pairing objective biometric data with subjective symptom reports and contextual triggers, FibroSense aims to identify personal flare signatures and provide early warning — enabling proactive self-management rather than reactive coping.</w:t>
      </w:r>
    </w:p>
    <w:p>
      <w:pPr>
        <w:pStyle w:val="Heading1"/>
      </w:pPr>
      <w:r>
        <w:t xml:space="preserve">2. Problem Statement</w:t>
      </w:r>
    </w:p>
    <w:p>
      <w:pPr>
        <w:pStyle w:val="Heading2"/>
      </w:pPr>
      <w:r>
        <w:t xml:space="preserve">2.1 The Fibromyalgia Challenge</w:t>
      </w:r>
    </w:p>
    <w:p>
      <w:pPr>
        <w:spacing w:after="160" w:line="276"/>
      </w:pPr>
      <w:r>
        <w:t xml:space="preserve">Fibromyalgia is a chronic condition characterized by widespread pain, fatigue, cognitive dysfunction, and sleep disturbance. It affects an estimated 2–4% of the global population, predominantly women. There is no definitive laboratory test or imaging technique to diagnose it, no single biomarker to track it, and no cure.</w:t>
      </w:r>
    </w:p>
    <w:p>
      <w:pPr>
        <w:spacing w:after="160" w:line="276"/>
      </w:pPr>
      <w:r>
        <w:t xml:space="preserve">Management is fundamentally about pattern recognition and pacing — understanding what triggers flares and how to modulate activity accordingly. Yet patients are expected to do this through intuition and memory, both of which are compromised by the very condition they are trying to manage (brain fog, fatigue, sleep disruption).</w:t>
      </w:r>
    </w:p>
    <w:p>
      <w:pPr>
        <w:pStyle w:val="Heading2"/>
      </w:pPr>
      <w:r>
        <w:t xml:space="preserve">2.2 Why Existing Tools Fall Short</w:t>
      </w:r>
    </w:p>
    <w:p>
      <w:pPr>
        <w:spacing w:after="160" w:line="276"/>
      </w:pPr>
      <w:r>
        <w:t xml:space="preserve">The current landscape of fibromyalgia management tools can be categorized into two camps, neither of which solves the core problem:</w:t>
      </w:r>
    </w:p>
    <w:p>
      <w:pPr>
        <w:spacing w:after="160" w:line="276"/>
      </w:pPr>
      <w:r>
        <w:rPr>
          <w:b/>
          <w:bCs/>
        </w:rPr>
        <w:t xml:space="preserve">Manual symptom trackers </w:t>
      </w:r>
      <w:r>
        <w:t xml:space="preserve">(Bearable, Fibromyalgia Diary, CareClinic, TIYGA) allow patients to log symptoms and triggers, but depend entirely on self-report. They cannot capture the physiological signals that may precede a flare by 24–48 hours. Logging fatigue adds friction. These tools describe what happened, not what is about to happen.</w:t>
      </w:r>
    </w:p>
    <w:p>
      <w:pPr>
        <w:spacing w:after="160" w:line="276"/>
      </w:pPr>
      <w:r>
        <w:rPr>
          <w:b/>
          <w:bCs/>
        </w:rPr>
        <w:t xml:space="preserve">Wearable health platforms </w:t>
      </w:r>
      <w:r>
        <w:t xml:space="preserve">(Oura, Fitbit, Garmin, Apple Watch) collect rich biometric data continuously and passively. But they are designed for the general wellness market — they optimize for fitness, sleep scores, and readiness. None provide fibromyalgia-specific analytics, symptom correlation, or flare-oriented pattern recognition.</w:t>
      </w:r>
    </w:p>
    <w:p>
      <w:pPr>
        <w:spacing w:after="160" w:line="276"/>
      </w:pPr>
      <w:r>
        <w:rPr>
          <w:b/>
          <w:bCs/>
        </w:rPr>
        <w:t xml:space="preserve">The gap: </w:t>
      </w:r>
      <w:r>
        <w:t xml:space="preserve">No tool bridges the two — combining continuous physiological monitoring with fibromyalgia-specific symptom intelligence and per-user pattern analysis to predict flares. This is fundamentally a personal analytics problem, not a generic tracking problem.</w:t>
      </w:r>
    </w:p>
    <w:p>
      <w:pPr>
        <w:pStyle w:val="Heading1"/>
      </w:pPr>
      <w:r>
        <w:t xml:space="preserve">3. Scientific Basis</w:t>
      </w:r>
    </w:p>
    <w:p>
      <w:pPr>
        <w:pStyle w:val="Heading2"/>
      </w:pPr>
      <w:r>
        <w:t xml:space="preserve">3.1 HRV as a Fibromyalgia Biomarker</w:t>
      </w:r>
    </w:p>
    <w:p>
      <w:pPr>
        <w:spacing w:after="160" w:line="276"/>
      </w:pPr>
      <w:r>
        <w:t xml:space="preserve">Multiple studies have established that fibromyalgia patients show significant reductions in heart rate variability compared to healthy controls, indicating autonomic nervous system dysfunction with sympathetic predominance.</w:t>
      </w:r>
    </w:p>
    <w:p>
      <w:pPr>
        <w:spacing w:after="160" w:line="276"/>
      </w:pPr>
      <w:r>
        <w:t xml:space="preserve">A key finding from Lerma et al. (Arthritis Research &amp; Therapy, 2011) demonstrated that nocturnal HRV parameters — measured during sleep when conditions are most stable — correlate with fibromyalgia symptom severity as measured by the Fibromyalgia Impact Questionnaire (FIQ). This is directly relevant because modern smart rings and wearables measure HRV continuously during sleep, providing exactly the nocturnal data stream identified as most informative in the research literature.</w:t>
      </w:r>
    </w:p>
    <w:p>
      <w:pPr>
        <w:spacing w:after="160" w:line="276"/>
      </w:pPr>
      <w:r>
        <w:t xml:space="preserve">A 2025 systematic review in npj Digital Medicine confirmed that wearable-derived HRV data could provide valuable insights into how fluctuations in autonomic function relate to daily variations in fatigue across chronic conditions, opening possibilities for personalized interventions.</w:t>
      </w:r>
    </w:p>
    <w:p>
      <w:pPr>
        <w:pStyle w:val="Heading2"/>
      </w:pPr>
      <w:r>
        <w:t xml:space="preserve">3.2 Complementary Biometric Signals</w:t>
      </w:r>
    </w:p>
    <w:p>
      <w:pPr>
        <w:spacing w:after="160" w:line="276"/>
      </w:pPr>
      <w:r>
        <w:t xml:space="preserve">Beyond HRV, several other passively-collected biometric signals have documented relevance to fibromyalgia:</w:t>
      </w:r>
    </w:p>
    <w:p>
      <w:pPr>
        <w:pStyle w:val="ListParagraph"/>
        <w:numPr>
          <w:ilvl w:val="0"/>
          <w:numId w:val="2"/>
        </w:numPr>
        <w:spacing w:after="80" w:line="276"/>
      </w:pPr>
      <w:r>
        <w:rPr>
          <w:b/>
          <w:bCs/>
        </w:rPr>
        <w:t xml:space="preserve">Body temperature deviation: </w:t>
      </w:r>
      <w:r>
        <w:t xml:space="preserve">Thermoregulatory dysfunction is common in FM; nightly temperature deviations from personal baseline may signal flare onset</w:t>
      </w:r>
    </w:p>
    <w:p>
      <w:pPr>
        <w:pStyle w:val="ListParagraph"/>
        <w:numPr>
          <w:ilvl w:val="0"/>
          <w:numId w:val="2"/>
        </w:numPr>
        <w:spacing w:after="80" w:line="276"/>
      </w:pPr>
      <w:r>
        <w:rPr>
          <w:b/>
          <w:bCs/>
        </w:rPr>
        <w:t xml:space="preserve">Sleep architecture: </w:t>
      </w:r>
      <w:r>
        <w:t xml:space="preserve">Unrefreshing sleep is a cardinal FM symptom; deep sleep and REM deficiency correlate with next-day symptom severity</w:t>
      </w:r>
    </w:p>
    <w:p>
      <w:pPr>
        <w:pStyle w:val="ListParagraph"/>
        <w:numPr>
          <w:ilvl w:val="0"/>
          <w:numId w:val="2"/>
        </w:numPr>
        <w:spacing w:after="80" w:line="276"/>
      </w:pPr>
      <w:r>
        <w:rPr>
          <w:b/>
          <w:bCs/>
        </w:rPr>
        <w:t xml:space="preserve">Resting heart rate: </w:t>
      </w:r>
      <w:r>
        <w:t xml:space="preserve">Elevated RHR signals physiological stress and sympathetic activation</w:t>
      </w:r>
    </w:p>
    <w:p>
      <w:pPr>
        <w:pStyle w:val="ListParagraph"/>
        <w:numPr>
          <w:ilvl w:val="0"/>
          <w:numId w:val="2"/>
        </w:numPr>
        <w:spacing w:after="80" w:line="276"/>
      </w:pPr>
      <w:r>
        <w:rPr>
          <w:b/>
          <w:bCs/>
        </w:rPr>
        <w:t xml:space="preserve">Blood oxygen (SpO2): </w:t>
      </w:r>
      <w:r>
        <w:t xml:space="preserve">Sleep-disordered breathing is a documented FM comorbidity</w:t>
      </w:r>
    </w:p>
    <w:p>
      <w:pPr>
        <w:pStyle w:val="ListParagraph"/>
        <w:numPr>
          <w:ilvl w:val="0"/>
          <w:numId w:val="2"/>
        </w:numPr>
        <w:spacing w:after="80" w:line="276"/>
      </w:pPr>
      <w:r>
        <w:rPr>
          <w:b/>
          <w:bCs/>
        </w:rPr>
        <w:t xml:space="preserve">Activity patterns: </w:t>
      </w:r>
      <w:r>
        <w:t xml:space="preserve">Boom-bust cycling (overexertion followed by crash) is a well-recognized flare trigger; objective activity data can quantify this pattern</w:t>
      </w:r>
    </w:p>
    <w:p>
      <w:pPr>
        <w:pStyle w:val="Heading2"/>
      </w:pPr>
      <w:r>
        <w:t xml:space="preserve">3.3 The N-of-1 Principle</w:t>
      </w:r>
    </w:p>
    <w:p>
      <w:pPr>
        <w:spacing w:after="160" w:line="276"/>
      </w:pPr>
      <w:r>
        <w:t xml:space="preserve">Fibromyalgia is highly heterogeneous. What triggers flares in one person may be irrelevant for another. Population-level models have limited utility for individual management. The most actionable approach is an n-of-1 observational study: collecting dense longitudinal data from a single individual to discover their unique physiological-symptom correlations.</w:t>
      </w:r>
    </w:p>
    <w:p>
      <w:pPr>
        <w:spacing w:after="160" w:line="276"/>
      </w:pPr>
      <w:r>
        <w:t xml:space="preserve">This is the core design philosophy of FibroSense: the system learns from one person’s data, builds that person’s model, and generates that person’s predictions. It is not a diagnostic tool. It is a personal pattern recognition engine.</w:t>
      </w:r>
    </w:p>
    <w:p>
      <w:pPr>
        <w:pStyle w:val="Heading1"/>
      </w:pPr>
      <w:r>
        <w:t xml:space="preserve">4. Proposed Solution</w:t>
      </w:r>
    </w:p>
    <w:p>
      <w:pPr>
        <w:pStyle w:val="Heading2"/>
      </w:pPr>
      <w:r>
        <w:t xml:space="preserve">4.1 System Concept</w:t>
      </w:r>
    </w:p>
    <w:p>
      <w:pPr>
        <w:spacing w:after="160" w:line="276"/>
      </w:pPr>
      <w:r>
        <w:t xml:space="preserve">FibroSense operates as a three-layer personal analytics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sz w:val="20"/>
                <w:szCs w:val="20"/>
              </w:rPr>
              <w:t xml:space="preserve">Layer</w:t>
            </w:r>
          </w:p>
        </w:tc>
        <w:tc>
          <w:tcPr>
            <w:tcW w:type="dxa" w:w="351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sz w:val="20"/>
                <w:szCs w:val="20"/>
              </w:rPr>
              <w:t xml:space="preserve">Function</w:t>
            </w:r>
          </w:p>
        </w:tc>
        <w:tc>
          <w:tcPr>
            <w:tcW w:type="dxa" w:w="351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sz w:val="20"/>
                <w:szCs w:val="20"/>
              </w:rPr>
              <w:t xml:space="preserve">Key Requirements</w:t>
            </w:r>
          </w:p>
        </w:tc>
      </w:tr>
      <w:tr>
        <w:tc>
          <w:tcPr>
            <w:tcW w:type="dxa" w:w="234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r>
              <w:rPr>
                <w:rFonts w:ascii="Arial" w:cs="Arial" w:eastAsia="Arial" w:hAnsi="Arial"/>
                <w:b w:val="false"/>
                <w:bCs w:val="false"/>
                <w:sz w:val="20"/>
                <w:szCs w:val="20"/>
              </w:rPr>
              <w:t xml:space="preserve">1. Data Ingestion</w:t>
            </w:r>
          </w:p>
        </w:tc>
        <w:tc>
          <w:tcPr>
            <w:tcW w:type="dxa" w:w="351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Automated pull of wearable biometrics + structured daily symptom input + contextual triggers</w:t>
            </w:r>
          </w:p>
        </w:tc>
        <w:tc>
          <w:tcPr>
            <w:tcW w:type="dxa" w:w="351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Wearable API access; minimal-friction symptom input (&lt;60 seconds); automated weather/environmental data</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2. Pattern Engine</w:t>
            </w:r>
          </w:p>
        </w:tc>
        <w:tc>
          <w:tcPr>
            <w:tcW w:type="dxa" w:w="351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Correlation analysis, anomaly detection, and personal flare signature identification</w:t>
            </w:r>
          </w:p>
        </w:tc>
        <w:tc>
          <w:tcPr>
            <w:tcW w:type="dxa" w:w="351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Lagged cross-correlation; rolling baselines; graduated complexity from statistical to ML as data accumulates</w:t>
            </w:r>
          </w:p>
        </w:tc>
      </w:tr>
      <w:tr>
        <w:tc>
          <w:tcPr>
            <w:tcW w:type="dxa" w:w="234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r>
              <w:rPr>
                <w:rFonts w:ascii="Arial" w:cs="Arial" w:eastAsia="Arial" w:hAnsi="Arial"/>
                <w:b w:val="false"/>
                <w:bCs w:val="false"/>
                <w:sz w:val="20"/>
                <w:szCs w:val="20"/>
              </w:rPr>
              <w:t xml:space="preserve">3. Intelligence Layer</w:t>
            </w:r>
          </w:p>
        </w:tc>
        <w:tc>
          <w:tcPr>
            <w:tcW w:type="dxa" w:w="351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Flare risk scoring, early warning, trigger reports, and trend visualization</w:t>
            </w:r>
          </w:p>
        </w:tc>
        <w:tc>
          <w:tcPr>
            <w:tcW w:type="dxa" w:w="351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Daily risk assessment; actionable insights; exportable reports for physician sharing</w:t>
            </w:r>
          </w:p>
        </w:tc>
      </w:tr>
    </w:tbl>
    <w:p>
      <w:pPr>
        <w:spacing w:after="200"/>
      </w:pPr>
    </w:p>
    <w:p>
      <w:pPr>
        <w:pStyle w:val="Heading2"/>
      </w:pPr>
      <w:r>
        <w:t xml:space="preserve">4.2 Data Model</w:t>
      </w:r>
    </w:p>
    <w:p>
      <w:pPr>
        <w:spacing w:after="160" w:line="276"/>
      </w:pPr>
      <w:r>
        <w:t xml:space="preserve">The system integrates three data streams, unified by date, to build a comprehensive daily health profile:</w:t>
      </w:r>
    </w:p>
    <w:p>
      <w:pPr>
        <w:pStyle w:val="Heading3"/>
      </w:pPr>
      <w:r>
        <w:t xml:space="preserve">Stream 1: Wearable Biometrics (automated daily pull)</w:t>
      </w:r>
    </w:p>
    <w:p>
      <w:pPr>
        <w:pStyle w:val="ListParagraph"/>
        <w:numPr>
          <w:ilvl w:val="0"/>
          <w:numId w:val="2"/>
        </w:numPr>
        <w:spacing w:after="80" w:line="276"/>
      </w:pPr>
      <w:r>
        <w:t xml:space="preserve">Sleep: total duration, efficiency, deep sleep %, REM %, latency, wake time, restfulness</w:t>
      </w:r>
    </w:p>
    <w:p>
      <w:pPr>
        <w:pStyle w:val="ListParagraph"/>
        <w:numPr>
          <w:ilvl w:val="0"/>
          <w:numId w:val="2"/>
        </w:numPr>
        <w:spacing w:after="80" w:line="276"/>
      </w:pPr>
      <w:r>
        <w:t xml:space="preserve">HRV: average nocturnal HRV (RMSSD), deviation from personal baseline, trend direction</w:t>
      </w:r>
    </w:p>
    <w:p>
      <w:pPr>
        <w:pStyle w:val="ListParagraph"/>
        <w:numPr>
          <w:ilvl w:val="0"/>
          <w:numId w:val="2"/>
        </w:numPr>
        <w:spacing w:after="80" w:line="276"/>
      </w:pPr>
      <w:r>
        <w:t xml:space="preserve">Heart rate: resting HR, lowest overnight HR, daytime average</w:t>
      </w:r>
    </w:p>
    <w:p>
      <w:pPr>
        <w:pStyle w:val="ListParagraph"/>
        <w:numPr>
          <w:ilvl w:val="0"/>
          <w:numId w:val="2"/>
        </w:numPr>
        <w:spacing w:after="80" w:line="276"/>
      </w:pPr>
      <w:r>
        <w:t xml:space="preserve">Temperature: deviation from baseline, trend direction</w:t>
      </w:r>
    </w:p>
    <w:p>
      <w:pPr>
        <w:pStyle w:val="ListParagraph"/>
        <w:numPr>
          <w:ilvl w:val="0"/>
          <w:numId w:val="2"/>
        </w:numPr>
        <w:spacing w:after="80" w:line="276"/>
      </w:pPr>
      <w:r>
        <w:t xml:space="preserve">Activity: steps, active calories, movement intensity distribution, inactivity periods</w:t>
      </w:r>
    </w:p>
    <w:p>
      <w:pPr>
        <w:pStyle w:val="ListParagraph"/>
        <w:numPr>
          <w:ilvl w:val="0"/>
          <w:numId w:val="2"/>
        </w:numPr>
        <w:spacing w:after="80" w:line="276"/>
      </w:pPr>
      <w:r>
        <w:t xml:space="preserve">SpO2: average overnight, variability</w:t>
      </w:r>
    </w:p>
    <w:p>
      <w:pPr>
        <w:pStyle w:val="ListParagraph"/>
        <w:numPr>
          <w:ilvl w:val="0"/>
          <w:numId w:val="2"/>
        </w:numPr>
        <w:spacing w:after="80" w:line="276"/>
      </w:pPr>
      <w:r>
        <w:t xml:space="preserve">Composite scores (readiness, stress) where available</w:t>
      </w:r>
    </w:p>
    <w:p>
      <w:pPr>
        <w:pStyle w:val="Heading3"/>
      </w:pPr>
      <w:r>
        <w:t xml:space="preserve">Stream 2: Symptom Log (daily user input)</w:t>
      </w:r>
    </w:p>
    <w:p>
      <w:pPr>
        <w:spacing w:after="160" w:line="276"/>
      </w:pPr>
      <w:r>
        <w:t xml:space="preserve">Designed for absolute minimal friction — the target is under 60 seconds per entry:</w:t>
      </w:r>
    </w:p>
    <w:p>
      <w:pPr>
        <w:pStyle w:val="ListParagraph"/>
        <w:numPr>
          <w:ilvl w:val="0"/>
          <w:numId w:val="2"/>
        </w:numPr>
        <w:spacing w:after="80" w:line="276"/>
      </w:pPr>
      <w:r>
        <w:t xml:space="preserve">Pain severity: 0–10 scale</w:t>
      </w:r>
    </w:p>
    <w:p>
      <w:pPr>
        <w:pStyle w:val="ListParagraph"/>
        <w:numPr>
          <w:ilvl w:val="0"/>
          <w:numId w:val="2"/>
        </w:numPr>
        <w:spacing w:after="80" w:line="276"/>
      </w:pPr>
      <w:r>
        <w:t xml:space="preserve">Pain location(s): selectable from preset body regions</w:t>
      </w:r>
    </w:p>
    <w:p>
      <w:pPr>
        <w:pStyle w:val="ListParagraph"/>
        <w:numPr>
          <w:ilvl w:val="0"/>
          <w:numId w:val="2"/>
        </w:numPr>
        <w:spacing w:after="80" w:line="276"/>
      </w:pPr>
      <w:r>
        <w:t xml:space="preserve">Fatigue severity: 0–10</w:t>
      </w:r>
    </w:p>
    <w:p>
      <w:pPr>
        <w:pStyle w:val="ListParagraph"/>
        <w:numPr>
          <w:ilvl w:val="0"/>
          <w:numId w:val="2"/>
        </w:numPr>
        <w:spacing w:after="80" w:line="276"/>
      </w:pPr>
      <w:r>
        <w:t xml:space="preserve">Cognitive function (brain fog): 0–10</w:t>
      </w:r>
    </w:p>
    <w:p>
      <w:pPr>
        <w:pStyle w:val="ListParagraph"/>
        <w:numPr>
          <w:ilvl w:val="0"/>
          <w:numId w:val="2"/>
        </w:numPr>
        <w:spacing w:after="80" w:line="276"/>
      </w:pPr>
      <w:r>
        <w:t xml:space="preserve">Mood: 0–10</w:t>
      </w:r>
    </w:p>
    <w:p>
      <w:pPr>
        <w:pStyle w:val="ListParagraph"/>
        <w:numPr>
          <w:ilvl w:val="0"/>
          <w:numId w:val="2"/>
        </w:numPr>
        <w:spacing w:after="80" w:line="276"/>
      </w:pPr>
      <w:r>
        <w:t xml:space="preserve">Flare flag: yes/no (with severity if yes)</w:t>
      </w:r>
    </w:p>
    <w:p>
      <w:pPr>
        <w:pStyle w:val="ListParagraph"/>
        <w:numPr>
          <w:ilvl w:val="0"/>
          <w:numId w:val="2"/>
        </w:numPr>
        <w:spacing w:after="80" w:line="276"/>
      </w:pPr>
      <w:r>
        <w:t xml:space="preserve">Optional free-text notes</w:t>
      </w:r>
    </w:p>
    <w:p>
      <w:pPr>
        <w:pStyle w:val="Heading3"/>
      </w:pPr>
      <w:r>
        <w:t xml:space="preserve">Stream 3: Contextual Triggers (automated + manual)</w:t>
      </w:r>
    </w:p>
    <w:p>
      <w:pPr>
        <w:pStyle w:val="ListParagraph"/>
        <w:numPr>
          <w:ilvl w:val="0"/>
          <w:numId w:val="2"/>
        </w:numPr>
        <w:spacing w:after="80" w:line="276"/>
      </w:pPr>
      <w:r>
        <w:t xml:space="preserve">Weather: barometric pressure, ambient temperature, humidity (automated via location-based API)</w:t>
      </w:r>
    </w:p>
    <w:p>
      <w:pPr>
        <w:pStyle w:val="ListParagraph"/>
        <w:numPr>
          <w:ilvl w:val="0"/>
          <w:numId w:val="2"/>
        </w:numPr>
        <w:spacing w:after="80" w:line="276"/>
      </w:pPr>
      <w:r>
        <w:t xml:space="preserve">Menstrual cycle phase (manual or synced from wearable if tracked)</w:t>
      </w:r>
    </w:p>
    <w:p>
      <w:pPr>
        <w:pStyle w:val="ListParagraph"/>
        <w:numPr>
          <w:ilvl w:val="0"/>
          <w:numId w:val="2"/>
        </w:numPr>
        <w:spacing w:after="80" w:line="276"/>
      </w:pPr>
      <w:r>
        <w:t xml:space="preserve">Stress events (manual tag)</w:t>
      </w:r>
    </w:p>
    <w:p>
      <w:pPr>
        <w:pStyle w:val="ListParagraph"/>
        <w:numPr>
          <w:ilvl w:val="0"/>
          <w:numId w:val="2"/>
        </w:numPr>
        <w:spacing w:after="80" w:line="276"/>
      </w:pPr>
      <w:r>
        <w:t xml:space="preserve">Medication or supplement changes (manual log)</w:t>
      </w:r>
    </w:p>
    <w:p>
      <w:pPr>
        <w:pStyle w:val="ListParagraph"/>
        <w:numPr>
          <w:ilvl w:val="0"/>
          <w:numId w:val="2"/>
        </w:numPr>
        <w:spacing w:after="80" w:line="276"/>
      </w:pPr>
      <w:r>
        <w:t xml:space="preserve">Diet flags (manual — e.g., alcohol, sugar, processed food)</w:t>
      </w:r>
    </w:p>
    <w:p>
      <w:pPr>
        <w:pStyle w:val="ListParagraph"/>
        <w:numPr>
          <w:ilvl w:val="0"/>
          <w:numId w:val="2"/>
        </w:numPr>
        <w:spacing w:after="80" w:line="276"/>
      </w:pPr>
      <w:r>
        <w:t xml:space="preserve">Exercise type and perceived exertion (partial automation from wearable activity detection)</w:t>
      </w:r>
    </w:p>
    <w:p>
      <w:pPr>
        <w:pStyle w:val="Heading2"/>
      </w:pPr>
      <w:r>
        <w:t xml:space="preserve">4.3 Analytics Approach</w:t>
      </w:r>
    </w:p>
    <w:p>
      <w:pPr>
        <w:spacing w:after="160" w:line="276"/>
      </w:pPr>
      <w:r>
        <w:t xml:space="preserve">The analytics follow a deliberate progression from observation to prediction, respecting the data requirements at each stage:</w:t>
      </w:r>
    </w:p>
    <w:p>
      <w:pPr>
        <w:spacing w:after="160" w:line="276"/>
      </w:pPr>
      <w:r>
        <w:rPr>
          <w:b/>
          <w:bCs/>
        </w:rPr>
        <w:t xml:space="preserve">Phase 1 — Descriptive (Weeks 1–4): </w:t>
      </w:r>
      <w:r>
        <w:t xml:space="preserve">Accumulate baseline data. Visualize trends across all three data streams on a unified timeline. Identify obvious patterns through visual inspection. No predictive claims. The value at this stage is simply having all data in one place for the first time.</w:t>
      </w:r>
    </w:p>
    <w:p>
      <w:pPr>
        <w:spacing w:after="160" w:line="276"/>
      </w:pPr>
      <w:r>
        <w:rPr>
          <w:b/>
          <w:bCs/>
        </w:rPr>
        <w:t xml:space="preserve">Phase 2 — Correlational (Weeks 4–12): </w:t>
      </w:r>
      <w:r>
        <w:t xml:space="preserve">Run lagged correlation analysis across all biometric-symptom pairs. Key questions: Does HRV drop 24–48 hours before a flare? Does temperature deviation predict symptom onset? Do activity spikes predict crashes 1–3 days later? Identify the strongest personal predictors and their lead times.</w:t>
      </w:r>
    </w:p>
    <w:p>
      <w:pPr>
        <w:spacing w:after="160" w:line="276"/>
      </w:pPr>
      <w:r>
        <w:rPr>
          <w:b/>
          <w:bCs/>
        </w:rPr>
        <w:t xml:space="preserve">Phase 3 — Predictive (12+ weeks): </w:t>
      </w:r>
      <w:r>
        <w:t xml:space="preserve">With sufficient labeled data (flare days vs. non-flare days), train a classifier on pre-flare biometric patterns. Generate a daily flare risk score. Threshold-based early warnings: ‘Your current biometric pattern resembles the 48-hour pre-flare signature observed in your last several flares.’</w:t>
      </w:r>
    </w:p>
    <w:p>
      <w:pPr>
        <w:pStyle w:val="Heading1"/>
      </w:pPr>
      <w:r>
        <w:t xml:space="preserve">5. Key Design Principles</w:t>
      </w:r>
    </w:p>
    <w:p>
      <w:pPr>
        <w:spacing w:after="160" w:line="276"/>
      </w:pPr>
      <w:r>
        <w:t xml:space="preserve">Regardless of implementation choices, the system must adhere to these non-negotiable principles:</w:t>
      </w:r>
    </w:p>
    <w:p>
      <w:pPr>
        <w:spacing w:after="160" w:line="276"/>
      </w:pPr>
      <w:r>
        <w:rPr>
          <w:b/>
          <w:bCs/>
        </w:rPr>
        <w:t xml:space="preserve">1. Privacy first. </w:t>
      </w:r>
      <w:r>
        <w:t xml:space="preserve">All health data must remain under the user’s control. Local-first storage by default. No data leaves the user’s infrastructure unless they explicitly choose to export or share. No third-party analytics or telemetry.</w:t>
      </w:r>
    </w:p>
    <w:p>
      <w:pPr>
        <w:spacing w:after="160" w:line="276"/>
      </w:pPr>
      <w:r>
        <w:rPr>
          <w:b/>
          <w:bCs/>
        </w:rPr>
        <w:t xml:space="preserve">2. Minimal friction input. </w:t>
      </w:r>
      <w:r>
        <w:t xml:space="preserve">Symptom logging must take under 60 seconds. If it takes longer, compliance will collapse within weeks. The biometric side must be fully automated — no manual data entry for wearable metrics.</w:t>
      </w:r>
    </w:p>
    <w:p>
      <w:pPr>
        <w:spacing w:after="160" w:line="276"/>
      </w:pPr>
      <w:r>
        <w:rPr>
          <w:b/>
          <w:bCs/>
        </w:rPr>
        <w:t xml:space="preserve">3. Personal, not population. </w:t>
      </w:r>
      <w:r>
        <w:t xml:space="preserve">Every model, every baseline, every correlation is computed from the individual’s own data. Population averages are used only for initial calibration before personal baselines are established.</w:t>
      </w:r>
    </w:p>
    <w:p>
      <w:pPr>
        <w:spacing w:after="160" w:line="276"/>
      </w:pPr>
      <w:r>
        <w:rPr>
          <w:b/>
          <w:bCs/>
        </w:rPr>
        <w:t xml:space="preserve">4. Honest uncertainty. </w:t>
      </w:r>
      <w:r>
        <w:t xml:space="preserve">The system should never overstate its confidence. Early on, insights are observational (‘your HRV was lower than usual last night’). Predictive claims only emerge after sufficient data validation. Confidence intervals and caveats are always visible.</w:t>
      </w:r>
    </w:p>
    <w:p>
      <w:pPr>
        <w:spacing w:after="160" w:line="276"/>
      </w:pPr>
      <w:r>
        <w:rPr>
          <w:b/>
          <w:bCs/>
        </w:rPr>
        <w:t xml:space="preserve">5. Insight over obsession. </w:t>
      </w:r>
      <w:r>
        <w:t xml:space="preserve">The design should promote weekly reflection, not anxious daily microanalysis. Summaries and trends take priority over raw daily numbers. Clear disclaimer that this is a self-management tool, not a medical device.</w:t>
      </w:r>
    </w:p>
    <w:p>
      <w:pPr>
        <w:spacing w:after="160" w:line="276"/>
      </w:pPr>
      <w:r>
        <w:rPr>
          <w:b/>
          <w:bCs/>
        </w:rPr>
        <w:t xml:space="preserve">6. Open and extensible. </w:t>
      </w:r>
      <w:r>
        <w:t xml:space="preserve">The data model and analytics should not be locked to a single wearable or platform. While Oura Ring is the initial data source, the architecture should accommodate additional inputs (other wearables, manual biometric measurements, lab results) without structural redesign.</w:t>
      </w:r>
    </w:p>
    <w:p>
      <w:pPr>
        <w:pStyle w:val="Heading1"/>
      </w:pPr>
      <w:r>
        <w:t xml:space="preserve">6. MVP Scope</w:t>
      </w:r>
    </w:p>
    <w:p>
      <w:pPr>
        <w:spacing w:after="160" w:line="276"/>
      </w:pPr>
      <w:r>
        <w:t xml:space="preserve">The minimum viable product focuses on proving the core hypothesis: that wearable biometrics contain actionable signal for personal fibromyalgia flare prediction.</w:t>
      </w:r>
    </w:p>
    <w:p>
      <w:pPr>
        <w:pStyle w:val="Heading2"/>
      </w:pPr>
      <w:r>
        <w:t xml:space="preserve">6.1 In Scope</w:t>
      </w:r>
    </w:p>
    <w:p>
      <w:pPr>
        <w:pStyle w:val="ListParagraph"/>
        <w:numPr>
          <w:ilvl w:val="0"/>
          <w:numId w:val="3"/>
        </w:numPr>
        <w:spacing w:after="80" w:line="276"/>
      </w:pPr>
      <w:r>
        <w:rPr>
          <w:b/>
          <w:bCs/>
        </w:rPr>
        <w:t xml:space="preserve">Automated daily wearable data ingestion </w:t>
      </w:r>
      <w:r>
        <w:t xml:space="preserve">(sleep, HRV, temperature, heart rate, activity, readiness)</w:t>
      </w:r>
    </w:p>
    <w:p>
      <w:pPr>
        <w:pStyle w:val="ListParagraph"/>
        <w:numPr>
          <w:ilvl w:val="0"/>
          <w:numId w:val="3"/>
        </w:numPr>
        <w:spacing w:after="80" w:line="276"/>
      </w:pPr>
      <w:r>
        <w:rPr>
          <w:b/>
          <w:bCs/>
        </w:rPr>
        <w:t xml:space="preserve">Daily symptom logger </w:t>
      </w:r>
      <w:r>
        <w:t xml:space="preserve">(pain, fatigue, brain fog, mood, flare flag — 5 core fields, under 60 seconds)</w:t>
      </w:r>
    </w:p>
    <w:p>
      <w:pPr>
        <w:pStyle w:val="ListParagraph"/>
        <w:numPr>
          <w:ilvl w:val="0"/>
          <w:numId w:val="3"/>
        </w:numPr>
        <w:spacing w:after="80" w:line="276"/>
      </w:pPr>
      <w:r>
        <w:rPr>
          <w:b/>
          <w:bCs/>
        </w:rPr>
        <w:t xml:space="preserve">Unified timeline view </w:t>
      </w:r>
      <w:r>
        <w:t xml:space="preserve">(biometrics and symptoms overlaid on a single time axis)</w:t>
      </w:r>
    </w:p>
    <w:p>
      <w:pPr>
        <w:pStyle w:val="ListParagraph"/>
        <w:numPr>
          <w:ilvl w:val="0"/>
          <w:numId w:val="3"/>
        </w:numPr>
        <w:spacing w:after="80" w:line="276"/>
      </w:pPr>
      <w:r>
        <w:rPr>
          <w:b/>
          <w:bCs/>
        </w:rPr>
        <w:t xml:space="preserve">Correlation analysis </w:t>
      </w:r>
      <w:r>
        <w:t xml:space="preserve">(which biometric metrics most strongly correlate with flare days)</w:t>
      </w:r>
    </w:p>
    <w:p>
      <w:pPr>
        <w:pStyle w:val="ListParagraph"/>
        <w:numPr>
          <w:ilvl w:val="0"/>
          <w:numId w:val="3"/>
        </w:numPr>
        <w:spacing w:after="80" w:line="276"/>
      </w:pPr>
      <w:r>
        <w:rPr>
          <w:b/>
          <w:bCs/>
        </w:rPr>
        <w:t xml:space="preserve">Lagged analysis </w:t>
      </w:r>
      <w:r>
        <w:t xml:space="preserve">(do biometric changes precede flares by 24–48 hours?)</w:t>
      </w:r>
    </w:p>
    <w:p>
      <w:pPr>
        <w:pStyle w:val="ListParagraph"/>
        <w:numPr>
          <w:ilvl w:val="0"/>
          <w:numId w:val="3"/>
        </w:numPr>
        <w:spacing w:after="80" w:line="276"/>
      </w:pPr>
      <w:r>
        <w:rPr>
          <w:b/>
          <w:bCs/>
        </w:rPr>
        <w:t xml:space="preserve">Interactive dashboard </w:t>
      </w:r>
      <w:r>
        <w:t xml:space="preserve">(trend charts, daily overview, correlation heatmap)</w:t>
      </w:r>
    </w:p>
    <w:p>
      <w:pPr>
        <w:pStyle w:val="Heading2"/>
      </w:pPr>
      <w:r>
        <w:t xml:space="preserve">6.2 Out of Scope for MVP</w:t>
      </w:r>
    </w:p>
    <w:p>
      <w:pPr>
        <w:pStyle w:val="ListParagraph"/>
        <w:numPr>
          <w:ilvl w:val="0"/>
          <w:numId w:val="2"/>
        </w:numPr>
        <w:spacing w:after="80" w:line="276"/>
      </w:pPr>
      <w:r>
        <w:t xml:space="preserve">ML-based flare prediction (requires 12+ weeks of data)</w:t>
      </w:r>
    </w:p>
    <w:p>
      <w:pPr>
        <w:pStyle w:val="ListParagraph"/>
        <w:numPr>
          <w:ilvl w:val="0"/>
          <w:numId w:val="2"/>
        </w:numPr>
        <w:spacing w:after="80" w:line="276"/>
      </w:pPr>
      <w:r>
        <w:t xml:space="preserve">Native mobile application</w:t>
      </w:r>
    </w:p>
    <w:p>
      <w:pPr>
        <w:pStyle w:val="ListParagraph"/>
        <w:numPr>
          <w:ilvl w:val="0"/>
          <w:numId w:val="2"/>
        </w:numPr>
        <w:spacing w:after="80" w:line="276"/>
      </w:pPr>
      <w:r>
        <w:t xml:space="preserve">Multi-user or multi-device support</w:t>
      </w:r>
    </w:p>
    <w:p>
      <w:pPr>
        <w:pStyle w:val="ListParagraph"/>
        <w:numPr>
          <w:ilvl w:val="0"/>
          <w:numId w:val="2"/>
        </w:numPr>
        <w:spacing w:after="80" w:line="276"/>
      </w:pPr>
      <w:r>
        <w:t xml:space="preserve">Integration with health platforms (Apple Health, Google Fit)</w:t>
      </w:r>
    </w:p>
    <w:p>
      <w:pPr>
        <w:pStyle w:val="ListParagraph"/>
        <w:numPr>
          <w:ilvl w:val="0"/>
          <w:numId w:val="2"/>
        </w:numPr>
        <w:spacing w:after="80" w:line="276"/>
      </w:pPr>
      <w:r>
        <w:t xml:space="preserve">Medication tracking and efficacy analysis</w:t>
      </w:r>
    </w:p>
    <w:p>
      <w:pPr>
        <w:pStyle w:val="ListParagraph"/>
        <w:numPr>
          <w:ilvl w:val="0"/>
          <w:numId w:val="2"/>
        </w:numPr>
        <w:spacing w:after="80" w:line="276"/>
      </w:pPr>
      <w:r>
        <w:t xml:space="preserve">Physician-facing formatted reports</w:t>
      </w:r>
    </w:p>
    <w:p>
      <w:pPr>
        <w:pStyle w:val="Heading1"/>
      </w:pPr>
      <w:r>
        <w:t xml:space="preserve">7. Development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200"/>
        <w:gridCol w:w="2800"/>
        <w:gridCol w:w="2800"/>
      </w:tblGrid>
      <w:tr>
        <w:tc>
          <w:tcPr>
            <w:tcW w:type="dxa" w:w="15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sz w:val="20"/>
                <w:szCs w:val="20"/>
              </w:rPr>
              <w:t xml:space="preserve">Phase</w:t>
            </w:r>
          </w:p>
        </w:tc>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sz w:val="20"/>
                <w:szCs w:val="20"/>
              </w:rPr>
              <w:t xml:space="preserve">Timeline</w:t>
            </w:r>
          </w:p>
        </w:tc>
        <w:tc>
          <w:tcPr>
            <w:tcW w:type="dxa" w:w="2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sz w:val="20"/>
                <w:szCs w:val="20"/>
              </w:rPr>
              <w:t xml:space="preserve">Deliverables</w:t>
            </w:r>
          </w:p>
        </w:tc>
        <w:tc>
          <w:tcPr>
            <w:tcW w:type="dxa" w:w="2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sz w:val="20"/>
                <w:szCs w:val="20"/>
              </w:rPr>
              <w:t xml:space="preserve">Success Criteria</w:t>
            </w:r>
          </w:p>
        </w:tc>
      </w:tr>
      <w:tr>
        <w:tc>
          <w:tcPr>
            <w:tcW w:type="dxa" w:w="156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r>
              <w:rPr>
                <w:rFonts w:ascii="Arial" w:cs="Arial" w:eastAsia="Arial" w:hAnsi="Arial"/>
                <w:b w:val="false"/>
                <w:bCs w:val="false"/>
                <w:sz w:val="20"/>
                <w:szCs w:val="20"/>
              </w:rPr>
              <w:t xml:space="preserve">1. Foundation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Week 1–2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Wearable API integration; data storage; daily ingestion; symptom logger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Automated daily data collection; symptom entry under 60 seconds</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2. Visualization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Week 3–4</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Dashboard; unified timeline; daily summary view</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Biometrics and symptoms visible on a single timeline</w:t>
            </w:r>
          </w:p>
        </w:tc>
      </w:tr>
      <w:tr>
        <w:tc>
          <w:tcPr>
            <w:tcW w:type="dxa" w:w="156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r>
              <w:rPr>
                <w:rFonts w:ascii="Arial" w:cs="Arial" w:eastAsia="Arial" w:hAnsi="Arial"/>
                <w:b w:val="false"/>
                <w:bCs w:val="false"/>
                <w:sz w:val="20"/>
                <w:szCs w:val="20"/>
              </w:rPr>
              <w:t xml:space="preserve">3. Analytics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Week 5–8</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Correlation engine; lagged analysis; trigger identification; heatmaps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Top 3 personal biometric predictors of flares identified</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4. Prediction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Week 12+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Flare risk scoring; early warning system; historical pattern matching</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Measurable flare prediction accuracy on held-out data</w:t>
            </w:r>
          </w:p>
        </w:tc>
      </w:tr>
    </w:tbl>
    <w:p>
      <w:pPr>
        <w:spacing w:after="200"/>
      </w:pPr>
    </w:p>
    <w:p>
      <w:pPr>
        <w:pStyle w:val="Heading1"/>
      </w:pPr>
      <w:r>
        <w:t xml:space="preserve">8. Expected Outcomes</w:t>
      </w:r>
    </w:p>
    <w:p>
      <w:pPr>
        <w:pStyle w:val="ListParagraph"/>
        <w:numPr>
          <w:ilvl w:val="0"/>
          <w:numId w:val="2"/>
        </w:numPr>
        <w:spacing w:after="80" w:line="276"/>
      </w:pPr>
      <w:r>
        <w:rPr>
          <w:b/>
          <w:bCs/>
        </w:rPr>
        <w:t xml:space="preserve">Personal flare signature: </w:t>
      </w:r>
      <w:r>
        <w:t xml:space="preserve">A data-driven understanding of which biometric patterns precede flares for this specific individual</w:t>
      </w:r>
    </w:p>
    <w:p>
      <w:pPr>
        <w:pStyle w:val="ListParagraph"/>
        <w:numPr>
          <w:ilvl w:val="0"/>
          <w:numId w:val="2"/>
        </w:numPr>
        <w:spacing w:after="80" w:line="276"/>
      </w:pPr>
      <w:r>
        <w:rPr>
          <w:b/>
          <w:bCs/>
        </w:rPr>
        <w:t xml:space="preserve">Early warning capability: </w:t>
      </w:r>
      <w:r>
        <w:t xml:space="preserve">24–48 hour advance notice of elevated flare risk, enabling proactive pacing and rest</w:t>
      </w:r>
    </w:p>
    <w:p>
      <w:pPr>
        <w:pStyle w:val="ListParagraph"/>
        <w:numPr>
          <w:ilvl w:val="0"/>
          <w:numId w:val="2"/>
        </w:numPr>
        <w:spacing w:after="80" w:line="276"/>
      </w:pPr>
      <w:r>
        <w:rPr>
          <w:b/>
          <w:bCs/>
        </w:rPr>
        <w:t xml:space="preserve">Trigger clarity: </w:t>
      </w:r>
      <w:r>
        <w:t xml:space="preserve">Quantified evidence of which factors (sleep quality, activity levels, weather, cycle phase) most strongly influence symptom severity</w:t>
      </w:r>
    </w:p>
    <w:p>
      <w:pPr>
        <w:pStyle w:val="ListParagraph"/>
        <w:numPr>
          <w:ilvl w:val="0"/>
          <w:numId w:val="2"/>
        </w:numPr>
        <w:spacing w:after="80" w:line="276"/>
      </w:pPr>
      <w:r>
        <w:rPr>
          <w:b/>
          <w:bCs/>
        </w:rPr>
        <w:t xml:space="preserve">Physician communication: </w:t>
      </w:r>
      <w:r>
        <w:t xml:space="preserve">Objective, longitudinal data to supplement subjective symptom reports in clinical conversations</w:t>
      </w:r>
    </w:p>
    <w:p>
      <w:pPr>
        <w:pStyle w:val="ListParagraph"/>
        <w:numPr>
          <w:ilvl w:val="0"/>
          <w:numId w:val="2"/>
        </w:numPr>
        <w:spacing w:after="80" w:line="276"/>
      </w:pPr>
      <w:r>
        <w:rPr>
          <w:b/>
          <w:bCs/>
        </w:rPr>
        <w:t xml:space="preserve">Self-management agency: </w:t>
      </w:r>
      <w:r>
        <w:t xml:space="preserve">Transition from reactive coping to informed, data-driven decisions about daily activity and energy allocation</w:t>
      </w:r>
    </w:p>
    <w:p>
      <w:pPr>
        <w:pStyle w:val="Heading1"/>
      </w:pPr>
      <w:r>
        <w:t xml:space="preserve">9.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sz w:val="20"/>
                <w:szCs w:val="20"/>
              </w:rPr>
              <w:t xml:space="preserve">Risk</w:t>
            </w:r>
          </w:p>
        </w:tc>
        <w:tc>
          <w:tcPr>
            <w:tcW w:type="dxa" w:w="312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sz w:val="20"/>
                <w:szCs w:val="20"/>
              </w:rPr>
              <w:t xml:space="preserve">Impact</w:t>
            </w:r>
          </w:p>
        </w:tc>
        <w:tc>
          <w:tcPr>
            <w:tcW w:type="dxa" w:w="312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sz w:val="20"/>
                <w:szCs w:val="20"/>
              </w:rPr>
              <w:t xml:space="preserve">Mitigation</w:t>
            </w:r>
          </w:p>
        </w:tc>
      </w:tr>
      <w:tr>
        <w:tc>
          <w:tcPr>
            <w:tcW w:type="dxa" w:w="312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r>
              <w:rPr>
                <w:rFonts w:ascii="Arial" w:cs="Arial" w:eastAsia="Arial" w:hAnsi="Arial"/>
                <w:b w:val="false"/>
                <w:bCs w:val="false"/>
                <w:sz w:val="20"/>
                <w:szCs w:val="20"/>
              </w:rPr>
              <w:t xml:space="preserve">Wearable API changes or deprecation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Data ingestion disruption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Cache all data locally on pull; abstract data source layer to allow wearable substitution; CSV export as fallback</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Symptom logging fatigue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Data gaps degrade analytics quality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Ultra-minimal input design; default to previous day values; reminder mechanisms; imputation for occasional gaps</w:t>
            </w:r>
          </w:p>
        </w:tc>
      </w:tr>
      <w:tr>
        <w:tc>
          <w:tcPr>
            <w:tcW w:type="dxa" w:w="312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r>
              <w:rPr>
                <w:rFonts w:ascii="Arial" w:cs="Arial" w:eastAsia="Arial" w:hAnsi="Arial"/>
                <w:b w:val="false"/>
                <w:bCs w:val="false"/>
                <w:sz w:val="20"/>
                <w:szCs w:val="20"/>
              </w:rPr>
              <w:t xml:space="preserve">Insufficient data for prediction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Weak or unreliable predictive models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Phased approach — descriptive and correlational value precedes prediction; ML is Phase 4, not MVP</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Over-reliance on data / health anxiety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Psychological burden from constant monitoring</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Design for weekly reflection over daily obsession; confidence intervals always shown; explicit disclaimer: not a medical device</w:t>
            </w:r>
          </w:p>
        </w:tc>
      </w:tr>
      <w:tr>
        <w:tc>
          <w:tcPr>
            <w:tcW w:type="dxa" w:w="312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r>
              <w:rPr>
                <w:rFonts w:ascii="Arial" w:cs="Arial" w:eastAsia="Arial" w:hAnsi="Arial"/>
                <w:b w:val="false"/>
                <w:bCs w:val="false"/>
                <w:sz w:val="20"/>
                <w:szCs w:val="20"/>
              </w:rPr>
              <w:t xml:space="preserve">Wearable data accuracy limitations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False signals or missed patterns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Multi-signal approach — no single metric drives predictions; validate against subjective experience; treat as directional, not diagnostic</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Confounding variables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Spurious correlations mistaken for causal triggers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Require consistent patterns over multiple flare cycles; statistical significance thresholds; user-validated trigger confirmation</w:t>
            </w:r>
          </w:p>
        </w:tc>
      </w:tr>
    </w:tbl>
    <w:p>
      <w:pPr>
        <w:spacing w:after="200"/>
      </w:pPr>
    </w:p>
    <w:p>
      <w:pPr>
        <w:pStyle w:val="Heading1"/>
      </w:pPr>
      <w:r>
        <w:t xml:space="preserve">10. Future Extensions</w:t>
      </w:r>
    </w:p>
    <w:p>
      <w:pPr>
        <w:spacing w:after="160" w:line="276"/>
      </w:pPr>
      <w:r>
        <w:t xml:space="preserve">Once the core system is validated through personal use, potential extensions include:</w:t>
      </w:r>
    </w:p>
    <w:p>
      <w:pPr>
        <w:pStyle w:val="ListParagraph"/>
        <w:numPr>
          <w:ilvl w:val="0"/>
          <w:numId w:val="2"/>
        </w:numPr>
        <w:spacing w:after="80" w:line="276"/>
      </w:pPr>
      <w:r>
        <w:t xml:space="preserve">Multi-wearable support (Apple Watch, Garmin, Fitbit) via unified data abstraction layer</w:t>
      </w:r>
    </w:p>
    <w:p>
      <w:pPr>
        <w:pStyle w:val="ListParagraph"/>
        <w:numPr>
          <w:ilvl w:val="0"/>
          <w:numId w:val="2"/>
        </w:numPr>
        <w:spacing w:after="80" w:line="276"/>
      </w:pPr>
      <w:r>
        <w:t xml:space="preserve">Medication and supplement tracking with efficacy analysis</w:t>
      </w:r>
    </w:p>
    <w:p>
      <w:pPr>
        <w:pStyle w:val="ListParagraph"/>
        <w:numPr>
          <w:ilvl w:val="0"/>
          <w:numId w:val="2"/>
        </w:numPr>
        <w:spacing w:after="80" w:line="276"/>
      </w:pPr>
      <w:r>
        <w:t xml:space="preserve">LLM-powered natural language daily summaries and contextual insights</w:t>
      </w:r>
    </w:p>
    <w:p>
      <w:pPr>
        <w:pStyle w:val="ListParagraph"/>
        <w:numPr>
          <w:ilvl w:val="0"/>
          <w:numId w:val="2"/>
        </w:numPr>
        <w:spacing w:after="80" w:line="276"/>
      </w:pPr>
      <w:r>
        <w:t xml:space="preserve">Exportable physician reports with longitudinal trends formatted for clinical review</w:t>
      </w:r>
    </w:p>
    <w:p>
      <w:pPr>
        <w:pStyle w:val="ListParagraph"/>
        <w:numPr>
          <w:ilvl w:val="0"/>
          <w:numId w:val="2"/>
        </w:numPr>
        <w:spacing w:after="80" w:line="276"/>
      </w:pPr>
      <w:r>
        <w:t xml:space="preserve">Barometric pressure alerts based on personal weather-symptom correlations</w:t>
      </w:r>
    </w:p>
    <w:p>
      <w:pPr>
        <w:pStyle w:val="ListParagraph"/>
        <w:numPr>
          <w:ilvl w:val="0"/>
          <w:numId w:val="2"/>
        </w:numPr>
        <w:spacing w:after="80" w:line="276"/>
      </w:pPr>
      <w:r>
        <w:t xml:space="preserve">Integration with health platforms (Apple Health, Google Health Connect) for broader data inputs</w:t>
      </w:r>
    </w:p>
    <w:p>
      <w:pPr>
        <w:pStyle w:val="ListParagraph"/>
        <w:numPr>
          <w:ilvl w:val="0"/>
          <w:numId w:val="2"/>
        </w:numPr>
        <w:spacing w:after="80" w:line="276"/>
      </w:pPr>
      <w:r>
        <w:t xml:space="preserve">Open-source release for the fibromyalgia community, with anonymized optional data sharing for research</w:t>
      </w:r>
    </w:p>
    <w:p>
      <w:pPr>
        <w:spacing w:before="600"/>
      </w:pPr>
    </w:p>
    <w:p>
      <w:pPr>
        <w:pBdr>
          <w:top w:val="single" w:color="1B4F72" w:sz="2" w:space="12"/>
        </w:pBdr>
        <w:spacing w:before="200" w:after="100"/>
        <w:jc w:val="center"/>
      </w:pPr>
      <w:r>
        <w:rPr>
          <w:i/>
          <w:iCs/>
          <w:color w:val="5D6D7E"/>
          <w:sz w:val="22"/>
          <w:szCs w:val="22"/>
        </w:rPr>
        <w:t xml:space="preserve">“The goal is not to be a patient who tracks data.</w:t>
      </w:r>
    </w:p>
    <w:p>
      <w:pPr>
        <w:jc w:val="center"/>
      </w:pPr>
      <w:r>
        <w:rPr>
          <w:i/>
          <w:iCs/>
          <w:color w:val="5D6D7E"/>
          <w:sz w:val="22"/>
          <w:szCs w:val="22"/>
        </w:rPr>
        <w:t xml:space="preserve">It is to be a person who understands their body well enough to stay ahead of it.”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5A5A6"/>
        <w:sz w:val="16"/>
        <w:szCs w:val="16"/>
      </w:rPr>
      <w:t xml:space="preserve">Page </w:t>
    </w:r>
    <w:r>
      <w:rPr>
        <w:color w:val="95A5A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5A5A6"/>
        <w:sz w:val="16"/>
        <w:szCs w:val="16"/>
      </w:rPr>
      <w:t xml:space="preserve">FibroSense — Concept Note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1B4F72"/>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2C3E5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2026-02-24T05:47:58.804Z</dcterms:created>
  <dcterms:modified xsi:type="dcterms:W3CDTF">2026-02-24T05:47:58.805Z</dcterms:modified>
</cp:coreProperties>
</file>

<file path=docProps/custom.xml><?xml version="1.0" encoding="utf-8"?>
<Properties xmlns="http://schemas.openxmlformats.org/officeDocument/2006/custom-properties" xmlns:vt="http://schemas.openxmlformats.org/officeDocument/2006/docPropsVTypes"/>
</file>