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b/>
          <w:bCs/>
          <w:color w:val="6B00FF"/>
          <w:sz w:val="72"/>
          <w:szCs w:val="72"/>
        </w:rPr>
        <w:t xml:space="preserve">URBAN GROWTH LABS</w:t>
      </w:r>
    </w:p>
    <w:p>
      <w:pPr>
        <w:spacing w:after="60"/>
      </w:pPr>
      <w:r>
        <w:rPr>
          <w:b/>
          <w:bCs/>
          <w:color w:val="1A1433"/>
          <w:sz w:val="24"/>
          <w:szCs w:val="24"/>
        </w:rPr>
        <w:t xml:space="preserve">DATA.  STRATEGY.  GROWTH.  EXECUTION.</w:t>
      </w:r>
    </w:p>
    <w:p>
      <w:pPr>
        <w:spacing w:after="480"/>
      </w:pPr>
      <w:r>
        <w:rPr>
          <w:i/>
          <w:iCs/>
          <w:color w:val="555555"/>
          <w:sz w:val="24"/>
          <w:szCs w:val="24"/>
        </w:rPr>
        <w:t xml:space="preserve">Growth isn’t luck. It’s a system.</w:t>
      </w:r>
    </w:p>
    <w:p>
      <w:pPr>
        <w:spacing w:after="80"/>
      </w:pPr>
      <w:r>
        <w:rPr>
          <w:b/>
          <w:bCs/>
          <w:color w:val="1A1433"/>
          <w:sz w:val="40"/>
          <w:szCs w:val="40"/>
        </w:rPr>
        <w:t xml:space="preserve">Business Plan</w:t>
      </w:r>
    </w:p>
    <w:p>
      <w:pPr>
        <w:spacing w:after="600"/>
      </w:pPr>
      <w:r>
        <w:rPr>
          <w:color w:val="555555"/>
          <w:sz w:val="24"/>
          <w:szCs w:val="24"/>
        </w:rPr>
        <w:t xml:space="preserve">A data-driven marketing agency for New York City small businesses</w:t>
      </w:r>
    </w:p>
    <w:p>
      <w:pPr>
        <w:spacing w:after="60" w:line="276"/>
      </w:pPr>
      <w:r>
        <w:rPr>
          <w:b/>
          <w:bCs/>
          <w:color w:val="1A1433"/>
        </w:rPr>
        <w:t xml:space="preserve">Prepared by:  </w:t>
      </w:r>
      <w:r>
        <w:rPr>
          <w:b/>
          <w:bCs/>
          <w:color w:val="000000"/>
          <w:shd w:fill="FFE600" w:val="clear"/>
        </w:rPr>
        <w:t xml:space="preserve">[Founder Name]</w:t>
      </w:r>
    </w:p>
    <w:p>
      <w:pPr>
        <w:spacing w:after="60" w:line="276"/>
      </w:pPr>
      <w:r>
        <w:rPr>
          <w:b/>
          <w:bCs/>
          <w:color w:val="1A1433"/>
        </w:rPr>
        <w:t xml:space="preserve">Date:  </w:t>
      </w:r>
      <w:r>
        <w:rPr>
          <w:b/>
          <w:bCs/>
          <w:color w:val="000000"/>
          <w:shd w:fill="FFE600" w:val="clear"/>
        </w:rPr>
        <w:t xml:space="preserve">[Month, Year]</w:t>
      </w:r>
    </w:p>
    <w:p>
      <w:pPr>
        <w:spacing w:after="600" w:line="276"/>
      </w:pPr>
      <w:r>
        <w:rPr>
          <w:b/>
          <w:bCs/>
          <w:color w:val="1A1433"/>
        </w:rPr>
        <w:t xml:space="preserve">Version:  </w:t>
      </w:r>
      <w:r>
        <w:rPr>
          <w:color w:val="1A1433"/>
        </w:rPr>
        <w:t xml:space="preserve">Draft 1</w:t>
      </w:r>
    </w:p>
    <w:p>
      <w:r>
        <w:rPr>
          <w:i/>
          <w:iCs/>
          <w:color w:val="555555"/>
          <w:sz w:val="18"/>
          <w:szCs w:val="18"/>
        </w:rPr>
        <w:t xml:space="preserve">CONFIDENTIAL — for internal and investor use only</w:t>
      </w:r>
    </w:p>
    <w:p>
      <w:pPr>
        <w:spacing w:before="360"/>
      </w:pPr>
      <w:r>
        <w:rPr>
          <w:i/>
          <w:iCs/>
          <w:color w:val="555555"/>
          <w:sz w:val="18"/>
          <w:szCs w:val="18"/>
        </w:rPr>
        <w:t xml:space="preserve">Note: Highlighted fields are placeholders to complete or replace with your own figures.</w:t>
      </w:r>
    </w:p>
    <w:p>
      <w:r>
        <w:br w:type="page"/>
      </w:r>
    </w:p>
    <w:p>
      <w:pPr>
        <w:pStyle w:val="Heading1"/>
        <w:pBdr>
          <w:bottom w:val="single" w:color="6B00FF" w:sz="8" w:space="4"/>
        </w:pBdr>
      </w:pPr>
      <w:r>
        <w:t xml:space="preserve">Contents</w:t>
      </w:r>
    </w:p>
    <w:p>
      <w:pPr>
        <w:spacing w:after="140" w:line="276"/>
      </w:pPr>
      <w:r>
        <w:rPr>
          <w:b w:val="false"/>
          <w:bCs w:val="false"/>
          <w:i/>
          <w:iCs/>
          <w:color w:val="555555"/>
          <w:sz w:val="20"/>
          <w:szCs w:val="20"/>
        </w:rPr>
        <w:t xml:space="preserve">Right-click the table below in Word and choose “Update Field”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6B00FF" w:sz="8" w:space="4"/>
        </w:pBdr>
      </w:pPr>
      <w:r>
        <w:t xml:space="preserve">1. Executive Summary</w:t>
      </w:r>
    </w:p>
    <w:p>
      <w:pPr>
        <w:spacing w:after="140" w:line="276"/>
      </w:pPr>
      <w:r>
        <w:rPr>
          <w:b w:val="false"/>
          <w:bCs w:val="false"/>
          <w:i w:val="false"/>
          <w:iCs w:val="false"/>
          <w:color w:val="1A1433"/>
        </w:rPr>
        <w:t xml:space="preserve">Urban Growth Labs is a New York City–based marketing agency that helps small and medium-sized businesses grow through data-driven strategy and high-quality creative execution. The agency serves local operators — barbershops, restaurants, smoothie bars, coffee shops, salons — and entrepreneurs who need a complete, modern marketing approach but lack the time, in-house expertise, or budget to build one.</w:t>
      </w:r>
    </w:p>
    <w:p>
      <w:pPr>
        <w:spacing w:after="140" w:line="276"/>
      </w:pPr>
      <w:r>
        <w:rPr>
          <w:b w:val="false"/>
          <w:bCs w:val="false"/>
          <w:i w:val="false"/>
          <w:iCs w:val="false"/>
          <w:color w:val="1A1433"/>
        </w:rPr>
        <w:t xml:space="preserve">Unlike full-service agencies that spread themselves thin, Urban Growth Labs deliberately offers a focused set of services it executes exceptionally well: social media, website design and infrastructure, and graphic design. Around these, it builds an end-to-end (A-to-Z) pipeline aimed at each client’s highest-converting channels, supported by data analysis, marketing automation, and market research.</w:t>
      </w:r>
    </w:p>
    <w:p>
      <w:pPr>
        <w:pStyle w:val="Heading2"/>
      </w:pPr>
      <w:r>
        <w:t xml:space="preserve">Why it wins</w:t>
      </w:r>
    </w:p>
    <w:p>
      <w:pPr>
        <w:pStyle w:val="ListParagraph"/>
        <w:numPr>
          <w:ilvl w:val="0"/>
          <w:numId w:val="2"/>
        </w:numPr>
        <w:spacing w:after="80" w:line="276"/>
      </w:pPr>
      <w:r>
        <w:rPr>
          <w:b/>
          <w:bCs/>
          <w:color w:val="1A1433"/>
        </w:rPr>
        <w:t xml:space="preserve">Focused excellence. </w:t>
      </w:r>
      <w:r>
        <w:rPr>
          <w:color w:val="1A1433"/>
        </w:rPr>
        <w:t xml:space="preserve">A few services done extremely well, not a long menu done averagely.</w:t>
      </w:r>
    </w:p>
    <w:p>
      <w:pPr>
        <w:pStyle w:val="ListParagraph"/>
        <w:numPr>
          <w:ilvl w:val="0"/>
          <w:numId w:val="2"/>
        </w:numPr>
        <w:spacing w:after="80" w:line="276"/>
      </w:pPr>
      <w:r>
        <w:rPr>
          <w:b/>
          <w:bCs/>
          <w:color w:val="1A1433"/>
        </w:rPr>
        <w:t xml:space="preserve">Proven operator. </w:t>
      </w:r>
      <w:r>
        <w:rPr>
          <w:color w:val="1A1433"/>
        </w:rPr>
        <w:t xml:space="preserve">The founder brings 5–7+ years of digital marketing experience and a track record of increasing engagement across social, website, and email for two brands.</w:t>
      </w:r>
    </w:p>
    <w:p>
      <w:pPr>
        <w:pStyle w:val="ListParagraph"/>
        <w:numPr>
          <w:ilvl w:val="0"/>
          <w:numId w:val="2"/>
        </w:numPr>
        <w:spacing w:after="80" w:line="276"/>
      </w:pPr>
      <w:r>
        <w:rPr>
          <w:b/>
          <w:bCs/>
          <w:color w:val="1A1433"/>
        </w:rPr>
        <w:t xml:space="preserve">Pipeline thinking. </w:t>
      </w:r>
      <w:r>
        <w:rPr>
          <w:color w:val="1A1433"/>
        </w:rPr>
        <w:t xml:space="preserve">Every engagement is built as a system that moves prospects from discovery to conversion on the channels that actually perform for that business.</w:t>
      </w:r>
    </w:p>
    <w:p>
      <w:pPr>
        <w:pStyle w:val="ListParagraph"/>
        <w:numPr>
          <w:ilvl w:val="0"/>
          <w:numId w:val="2"/>
        </w:numPr>
        <w:spacing w:after="80" w:line="276"/>
      </w:pPr>
      <w:r>
        <w:rPr>
          <w:b/>
          <w:bCs/>
          <w:color w:val="1A1433"/>
        </w:rPr>
        <w:t xml:space="preserve">Built for the city. </w:t>
      </w:r>
      <w:r>
        <w:rPr>
          <w:color w:val="1A1433"/>
        </w:rPr>
        <w:t xml:space="preserve">A distinctly New York brand and a mission to make professional marketing affordable for underserved neighborhoods.</w:t>
      </w:r>
    </w:p>
    <w:p>
      <w:pPr>
        <w:pStyle w:val="Heading2"/>
      </w:pPr>
      <w:r>
        <w:t xml:space="preserve">The ask</w:t>
      </w:r>
    </w:p>
    <w:p>
      <w:pPr>
        <w:spacing w:after="140" w:line="276"/>
      </w:pPr>
      <w:r>
        <w:rPr>
          <w:color w:val="1A1433"/>
        </w:rPr>
        <w:t xml:space="preserve">Urban Growth Labs is seeking </w:t>
      </w:r>
      <w:r>
        <w:rPr>
          <w:b/>
          <w:bCs/>
          <w:color w:val="000000"/>
          <w:shd w:fill="FFE600" w:val="clear"/>
        </w:rPr>
        <w:t xml:space="preserve">[funding amount / or “no outside funding”]</w:t>
      </w:r>
      <w:r>
        <w:rPr>
          <w:color w:val="1A1433"/>
        </w:rPr>
        <w:t xml:space="preserve"> to </w:t>
      </w:r>
      <w:r>
        <w:rPr>
          <w:b/>
          <w:bCs/>
          <w:color w:val="000000"/>
          <w:shd w:fill="FFE600" w:val="clear"/>
        </w:rPr>
        <w:t xml:space="preserve">[use of funds]</w:t>
      </w:r>
      <w:r>
        <w:rPr>
          <w:color w:val="1A1433"/>
        </w:rPr>
        <w:t xml:space="preserve">, with a path to </w:t>
      </w:r>
      <w:r>
        <w:rPr>
          <w:b/>
          <w:bCs/>
          <w:color w:val="000000"/>
          <w:shd w:fill="FFE600" w:val="clear"/>
        </w:rPr>
        <w:t xml:space="preserve">[revenue / profitability target]</w:t>
      </w:r>
      <w:r>
        <w:rPr>
          <w:color w:val="1A1433"/>
        </w:rPr>
        <w:t xml:space="preserve"> by </w:t>
      </w:r>
      <w:r>
        <w:rPr>
          <w:b/>
          <w:bCs/>
          <w:color w:val="000000"/>
          <w:shd w:fill="FFE600" w:val="clear"/>
        </w:rPr>
        <w:t xml:space="preserve">[target date]</w:t>
      </w:r>
      <w:r>
        <w:rPr>
          <w:color w:val="1A1433"/>
        </w:rPr>
        <w:t xml:space="preserve">.</w:t>
      </w:r>
    </w:p>
    <w:p>
      <w:pPr>
        <w:pStyle w:val="Heading1"/>
        <w:pBdr>
          <w:bottom w:val="single" w:color="6B00FF" w:sz="8" w:space="4"/>
        </w:pBdr>
      </w:pPr>
      <w:r>
        <w:t xml:space="preserve">2. Company Overview</w:t>
      </w:r>
    </w:p>
    <w:p>
      <w:pPr>
        <w:pStyle w:val="Heading2"/>
      </w:pPr>
      <w:r>
        <w:t xml:space="preserve">Mission</w:t>
      </w:r>
    </w:p>
    <w:p>
      <w:pPr>
        <w:spacing w:after="140" w:line="276"/>
      </w:pPr>
      <w:r>
        <w:rPr>
          <w:b w:val="false"/>
          <w:bCs w:val="false"/>
          <w:i w:val="false"/>
          <w:iCs w:val="false"/>
          <w:color w:val="1A1433"/>
        </w:rPr>
        <w:t xml:space="preserve">To help small and medium-sized businesses in New York City and beyond grow through tailored, data-driven marketing — and to make that growth genuinely accessible to underserved communities.</w:t>
      </w:r>
    </w:p>
    <w:p>
      <w:pPr>
        <w:pStyle w:val="Heading2"/>
      </w:pPr>
      <w:r>
        <w:t xml:space="preserve">Vision</w:t>
      </w:r>
    </w:p>
    <w:p>
      <w:pPr>
        <w:spacing w:after="140" w:line="276"/>
      </w:pPr>
      <w:r>
        <w:rPr>
          <w:b w:val="false"/>
          <w:bCs w:val="false"/>
          <w:i w:val="false"/>
          <w:iCs w:val="false"/>
          <w:color w:val="1A1433"/>
        </w:rPr>
        <w:t xml:space="preserve">To become the go-to marketing agency for New York City’s local businesses, and a catalyst for reinvestment — in businesses, schools, and public spaces — across the neighborhoods we serve.</w:t>
      </w:r>
    </w:p>
    <w:p>
      <w:pPr>
        <w:pStyle w:val="Heading2"/>
      </w:pPr>
      <w: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Value</w:t>
            </w:r>
          </w:p>
        </w:tc>
        <w:tc>
          <w:tcPr>
            <w:tcW w:type="dxa" w:w="74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What it means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Curious</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Ask more. Dig deeper. Start every engagement with questions, not assumptions.</w:t>
            </w:r>
          </w:p>
        </w:tc>
      </w:tr>
      <w:tr>
        <w:tc>
          <w:tcPr>
            <w:tcW w:type="dxa" w:w="19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Bold</w:t>
            </w:r>
          </w:p>
        </w:tc>
        <w:tc>
          <w:tcPr>
            <w:tcW w:type="dxa" w:w="74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Challenge norms. Create impact. Make recommendations clients can act 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Intelligent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Data-first, always learning. Decisions are grounded in evidence.</w:t>
            </w:r>
          </w:p>
        </w:tc>
      </w:tr>
      <w:tr>
        <w:tc>
          <w:tcPr>
            <w:tcW w:type="dxa" w:w="19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Adaptive</w:t>
            </w:r>
          </w:p>
        </w:tc>
        <w:tc>
          <w:tcPr>
            <w:tcW w:type="dxa" w:w="74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Move fast, evolve faster, in an always-changing urban landscape.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Impactful</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Real results, real change. Measure what matters.</w:t>
            </w:r>
          </w:p>
        </w:tc>
      </w:tr>
    </w:tbl>
    <w:p>
      <w:pPr>
        <w:spacing w:after="140" w:line="276"/>
      </w:pPr>
      <w:r>
        <w:rPr>
          <w:b w:val="false"/>
          <w:bCs w:val="false"/>
          <w:i w:val="false"/>
          <w:iCs w:val="false"/>
          <w:color w:val="1A1433"/>
        </w:rPr>
        <w:t xml:space="preserve"/>
      </w:r>
    </w:p>
    <w:p>
      <w:pPr>
        <w:pStyle w:val="Heading2"/>
      </w:pPr>
      <w:r>
        <w:t xml:space="preserve">Company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Legal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[Legal entity name]</w:t>
            </w:r>
          </w:p>
        </w:tc>
      </w:tr>
      <w:tr>
        <w:tc>
          <w:tcPr>
            <w:tcW w:type="dxa" w:w="30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Structure</w:t>
            </w:r>
          </w:p>
        </w:tc>
        <w:tc>
          <w:tcPr>
            <w:tcW w:type="dxa" w:w="63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[LLC / S-Corp / other]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Founded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[Month, Year]</w:t>
            </w:r>
          </w:p>
        </w:tc>
      </w:tr>
      <w:tr>
        <w:tc>
          <w:tcPr>
            <w:tcW w:type="dxa" w:w="30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Headquarters</w:t>
            </w:r>
          </w:p>
        </w:tc>
        <w:tc>
          <w:tcPr>
            <w:tcW w:type="dxa" w:w="63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[Neighborhood, Borough, NYC]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Founder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[Founder Name]</w:t>
            </w:r>
          </w:p>
        </w:tc>
      </w:tr>
      <w:tr>
        <w:tc>
          <w:tcPr>
            <w:tcW w:type="dxa" w:w="30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Website</w:t>
            </w:r>
          </w:p>
        </w:tc>
        <w:tc>
          <w:tcPr>
            <w:tcW w:type="dxa" w:w="63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[URL]</w:t>
            </w:r>
          </w:p>
        </w:tc>
      </w:tr>
    </w:tbl>
    <w:p>
      <w:pPr>
        <w:pStyle w:val="Heading1"/>
        <w:pBdr>
          <w:bottom w:val="single" w:color="6B00FF" w:sz="8" w:space="4"/>
        </w:pBdr>
      </w:pPr>
      <w:r>
        <w:t xml:space="preserve">3. The Opportunity</w:t>
      </w:r>
    </w:p>
    <w:p>
      <w:pPr>
        <w:spacing w:after="140" w:line="276"/>
      </w:pPr>
      <w:r>
        <w:rPr>
          <w:b w:val="false"/>
          <w:bCs w:val="false"/>
          <w:i w:val="false"/>
          <w:iCs w:val="false"/>
          <w:color w:val="1A1433"/>
        </w:rPr>
        <w:t xml:space="preserve">New York City is one of the densest small-business markets in the country, and it is growing. City officials report that NYC recently saw the largest number of small businesses in its history, with one in five created since 2022. Industry estimates place the total at roughly 183,000 small businesses across the five boroughs (figure to verify with current data).</w:t>
      </w:r>
    </w:p>
    <w:p>
      <w:pPr>
        <w:pStyle w:val="Heading2"/>
      </w:pPr>
      <w:r>
        <w:t xml:space="preserve">The problem</w:t>
      </w:r>
    </w:p>
    <w:p>
      <w:pPr>
        <w:pStyle w:val="ListParagraph"/>
        <w:numPr>
          <w:ilvl w:val="0"/>
          <w:numId w:val="2"/>
        </w:numPr>
        <w:spacing w:after="80" w:line="276"/>
      </w:pPr>
      <w:r>
        <w:rPr>
          <w:color w:val="1A1433"/>
        </w:rPr>
        <w:t xml:space="preserve">Local operators — barbershops, restaurants, smoothie bars, coffee shops, salons — rarely have the time or expertise to market themselves effectively in a fast-moving digital landscape.</w:t>
      </w:r>
    </w:p>
    <w:p>
      <w:pPr>
        <w:pStyle w:val="ListParagraph"/>
        <w:numPr>
          <w:ilvl w:val="0"/>
          <w:numId w:val="2"/>
        </w:numPr>
        <w:spacing w:after="80" w:line="276"/>
      </w:pPr>
      <w:r>
        <w:rPr>
          <w:color w:val="1A1433"/>
        </w:rPr>
        <w:t xml:space="preserve">Many agencies either overcharge these businesses, over-promise a full service menu they can’t all deliver well, or overlook underserved neighborhoods entirely.</w:t>
      </w:r>
    </w:p>
    <w:p>
      <w:pPr>
        <w:pStyle w:val="ListParagraph"/>
        <w:numPr>
          <w:ilvl w:val="0"/>
          <w:numId w:val="2"/>
        </w:numPr>
        <w:spacing w:after="80" w:line="276"/>
      </w:pPr>
      <w:r>
        <w:rPr>
          <w:color w:val="1A1433"/>
        </w:rPr>
        <w:t xml:space="preserve">Owners are left with inconsistent social media, dated or non-existent websites, and no coherent system connecting their marketing to actual revenue.</w:t>
      </w:r>
    </w:p>
    <w:p>
      <w:pPr>
        <w:pStyle w:val="Heading2"/>
      </w:pPr>
      <w:r>
        <w:t xml:space="preserve">The opportunity</w:t>
      </w:r>
    </w:p>
    <w:p>
      <w:pPr>
        <w:spacing w:after="140" w:line="276"/>
      </w:pPr>
      <w:r>
        <w:rPr>
          <w:b w:val="false"/>
          <w:bCs w:val="false"/>
          <w:i w:val="false"/>
          <w:iCs w:val="false"/>
          <w:color w:val="1A1433"/>
        </w:rPr>
        <w:t xml:space="preserve">A focused, affordable, results-driven agency that does a few things exceptionally well — and assembles them into a real pipeline — can win trust quickly in this market, especially in communities that established agencies ignore.</w:t>
      </w:r>
    </w:p>
    <w:p>
      <w:pPr>
        <w:pStyle w:val="Heading1"/>
        <w:pBdr>
          <w:bottom w:val="single" w:color="6B00FF" w:sz="8" w:space="4"/>
        </w:pBdr>
      </w:pPr>
      <w:r>
        <w:t xml:space="preserve">4. Market &amp; Audience</w:t>
      </w:r>
    </w:p>
    <w:p>
      <w:pPr>
        <w:pStyle w:val="Heading2"/>
      </w:pPr>
      <w:r>
        <w:t xml:space="preserve">Who we serve</w:t>
      </w:r>
    </w:p>
    <w:p>
      <w:pPr>
        <w:pStyle w:val="ListParagraph"/>
        <w:numPr>
          <w:ilvl w:val="0"/>
          <w:numId w:val="2"/>
        </w:numPr>
        <w:spacing w:after="80" w:line="276"/>
      </w:pPr>
      <w:r>
        <w:rPr>
          <w:color w:val="1A1433"/>
        </w:rPr>
        <w:t xml:space="preserve">Local NYC business owners: barbershops, restaurants, smoothie bars, coffee shops, salons, and similar storefront businesses.</w:t>
      </w:r>
    </w:p>
    <w:p>
      <w:pPr>
        <w:pStyle w:val="ListParagraph"/>
        <w:numPr>
          <w:ilvl w:val="0"/>
          <w:numId w:val="2"/>
        </w:numPr>
        <w:spacing w:after="80" w:line="276"/>
      </w:pPr>
      <w:r>
        <w:rPr>
          <w:color w:val="1A1433"/>
        </w:rPr>
        <w:t xml:space="preserve">Entrepreneurs who need a fresh marketing plan and everything from A to Z.</w:t>
      </w:r>
    </w:p>
    <w:p>
      <w:pPr>
        <w:pStyle w:val="Heading2"/>
      </w:pPr>
      <w:r>
        <w:t xml:space="preserve">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Segment</w:t>
            </w:r>
          </w:p>
        </w:tc>
        <w:tc>
          <w:tcPr>
            <w:tcW w:type="dxa" w:w="350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Primary need</w:t>
            </w:r>
          </w:p>
        </w:tc>
        <w:tc>
          <w:tcPr>
            <w:tcW w:type="dxa" w:w="32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Why Urban Growth Labs fits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Storefront / service businesses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Steady local visibility and bookings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Strong social + local web presence that drives foot traffic</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Food &amp; beverage</w:t>
            </w:r>
          </w:p>
        </w:tc>
        <w:tc>
          <w:tcPr>
            <w:tcW w:type="dxa" w:w="35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Appetite appeal and repeat customers</w:t>
            </w:r>
          </w:p>
        </w:tc>
        <w:tc>
          <w:tcPr>
            <w:tcW w:type="dxa" w:w="32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Graphic design, menus, and content that convert browsers to buyers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New entrepreneurs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A complete launch toolkit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End-to-end pipeline: brand, site, and channels built from scratch</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Community-serving businesses</w:t>
            </w:r>
          </w:p>
        </w:tc>
        <w:tc>
          <w:tcPr>
            <w:tcW w:type="dxa" w:w="35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Affordable, trustworthy marketing</w:t>
            </w:r>
          </w:p>
        </w:tc>
        <w:tc>
          <w:tcPr>
            <w:tcW w:type="dxa" w:w="32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Accessible pricing and a local, mission-aligned partner</w:t>
            </w:r>
          </w:p>
        </w:tc>
      </w:tr>
    </w:tbl>
    <w:p>
      <w:pPr>
        <w:spacing w:after="140" w:line="276"/>
      </w:pPr>
      <w:r>
        <w:rPr>
          <w:b w:val="false"/>
          <w:bCs w:val="false"/>
          <w:i w:val="false"/>
          <w:iCs w:val="false"/>
          <w:color w:val="1A1433"/>
        </w:rPr>
        <w:t xml:space="preserve"/>
      </w:r>
    </w:p>
    <w:p>
      <w:pPr>
        <w:pStyle w:val="Heading2"/>
      </w:pPr>
      <w:r>
        <w:t xml:space="preserve">Market sizing</w:t>
      </w:r>
    </w:p>
    <w:p>
      <w:pPr>
        <w:spacing w:after="140" w:line="276"/>
      </w:pPr>
      <w:r>
        <w:rPr>
          <w:b w:val="false"/>
          <w:bCs w:val="false"/>
          <w:i w:val="false"/>
          <w:iCs w:val="false"/>
          <w:color w:val="1A1433"/>
        </w:rPr>
        <w:t xml:space="preserve">Complete with researched figures specific to your service area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Measure</w:t>
            </w:r>
          </w:p>
        </w:tc>
        <w:tc>
          <w:tcPr>
            <w:tcW w:type="dxa" w:w="312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Definition</w:t>
            </w:r>
          </w:p>
        </w:tc>
        <w:tc>
          <w:tcPr>
            <w:tcW w:type="dxa" w:w="312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TAM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All NYC SMBs that could use marketing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 / # to research]</w:t>
            </w:r>
          </w:p>
        </w:tc>
      </w:tr>
      <w:tr>
        <w:tc>
          <w:tcPr>
            <w:tcW w:type="dxa" w:w="312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SAM</w:t>
            </w:r>
          </w:p>
        </w:tc>
        <w:tc>
          <w:tcPr>
            <w:tcW w:type="dxa" w:w="312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SMBs in your target neighborhoods and service lines</w:t>
            </w:r>
          </w:p>
        </w:tc>
        <w:tc>
          <w:tcPr>
            <w:tcW w:type="dxa" w:w="312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 / # to research]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SOM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Realistic share in years 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 / # to research]</w:t>
            </w:r>
          </w:p>
        </w:tc>
      </w:tr>
    </w:tbl>
    <w:p>
      <w:pPr>
        <w:spacing w:after="140" w:line="276"/>
      </w:pPr>
      <w:r>
        <w:rPr>
          <w:b w:val="false"/>
          <w:bCs w:val="false"/>
          <w:i w:val="false"/>
          <w:iCs w:val="false"/>
          <w:color w:val="1A1433"/>
        </w:rPr>
        <w:t xml:space="preserve"/>
      </w:r>
    </w:p>
    <w:p>
      <w:pPr>
        <w:spacing w:after="140" w:line="276"/>
      </w:pPr>
      <w:r>
        <w:rPr>
          <w:b w:val="false"/>
          <w:bCs w:val="false"/>
          <w:i/>
          <w:iCs/>
          <w:color w:val="555555"/>
        </w:rPr>
        <w:t xml:space="preserve">Geographic focus: begin in underserved neighborhoods — including the founder’s hometown — then expand across the boroughs and beyond.</w:t>
      </w:r>
    </w:p>
    <w:p>
      <w:pPr>
        <w:pStyle w:val="Heading1"/>
        <w:pBdr>
          <w:bottom w:val="single" w:color="6B00FF" w:sz="8" w:space="4"/>
        </w:pBdr>
      </w:pPr>
      <w:r>
        <w:t xml:space="preserve">5. Services &amp; Offerings</w:t>
      </w:r>
    </w:p>
    <w:p>
      <w:pPr>
        <w:spacing w:after="140" w:line="276"/>
      </w:pPr>
      <w:r>
        <w:rPr>
          <w:b w:val="false"/>
          <w:bCs w:val="false"/>
          <w:i w:val="false"/>
          <w:iCs w:val="false"/>
          <w:color w:val="1A1433"/>
        </w:rPr>
        <w:t xml:space="preserve">Urban Growth Labs leads with three core service lines it does extremely well, then layers analytical and automation capabilities to build a complete pipeline.</w:t>
      </w:r>
    </w:p>
    <w:p>
      <w:pPr>
        <w:pStyle w:val="Heading2"/>
      </w:pPr>
      <w:r>
        <w:t xml:space="preserve">Core service lines</w:t>
      </w:r>
    </w:p>
    <w:p>
      <w:pPr>
        <w:pStyle w:val="Heading3"/>
      </w:pPr>
      <w:r>
        <w:t xml:space="preserve">Social media</w:t>
      </w:r>
    </w:p>
    <w:p>
      <w:pPr>
        <w:pStyle w:val="ListParagraph"/>
        <w:numPr>
          <w:ilvl w:val="0"/>
          <w:numId w:val="2"/>
        </w:numPr>
        <w:spacing w:after="80" w:line="276"/>
      </w:pPr>
      <w:r>
        <w:rPr>
          <w:color w:val="1A1433"/>
        </w:rPr>
        <w:t xml:space="preserve">Channel strategy, content calendars, creative, and community management focused on the platforms that convert for each client.</w:t>
      </w:r>
    </w:p>
    <w:p>
      <w:pPr>
        <w:pStyle w:val="Heading3"/>
      </w:pPr>
      <w:r>
        <w:t xml:space="preserve">Website design &amp; infrastructure</w:t>
      </w:r>
    </w:p>
    <w:p>
      <w:pPr>
        <w:pStyle w:val="ListParagraph"/>
        <w:numPr>
          <w:ilvl w:val="0"/>
          <w:numId w:val="2"/>
        </w:numPr>
        <w:spacing w:after="80" w:line="276"/>
      </w:pPr>
      <w:r>
        <w:rPr>
          <w:color w:val="1A1433"/>
        </w:rPr>
        <w:t xml:space="preserve">Design, build, and the underlying infrastructure — fast, modern, conversion-focused sites with the tracking and integrations needed to measure results.</w:t>
      </w:r>
    </w:p>
    <w:p>
      <w:pPr>
        <w:pStyle w:val="Heading3"/>
      </w:pPr>
      <w:r>
        <w:t xml:space="preserve">Graphic design</w:t>
      </w:r>
    </w:p>
    <w:p>
      <w:pPr>
        <w:pStyle w:val="ListParagraph"/>
        <w:numPr>
          <w:ilvl w:val="0"/>
          <w:numId w:val="2"/>
        </w:numPr>
        <w:spacing w:after="80" w:line="276"/>
      </w:pPr>
      <w:r>
        <w:rPr>
          <w:color w:val="1A1433"/>
        </w:rPr>
        <w:t xml:space="preserve">Brand identity, social creative, menus, flyers, and the visual system that ties a business’s presence together.</w:t>
      </w:r>
    </w:p>
    <w:p>
      <w:pPr>
        <w:pStyle w:val="Heading2"/>
      </w:pPr>
      <w:r>
        <w:t xml:space="preserve">Pipeline capabilities (applied selectively)</w:t>
      </w:r>
    </w:p>
    <w:p>
      <w:pPr>
        <w:spacing w:after="140" w:line="276"/>
      </w:pPr>
      <w:r>
        <w:rPr>
          <w:b w:val="false"/>
          <w:bCs w:val="false"/>
          <w:i w:val="false"/>
          <w:iCs w:val="false"/>
          <w:color w:val="1A1433"/>
        </w:rPr>
        <w:t xml:space="preserve">Deployed where they strengthen the highest-converting channels rather than sold as standalone products:</w:t>
      </w:r>
    </w:p>
    <w:p>
      <w:pPr>
        <w:pStyle w:val="ListParagraph"/>
        <w:numPr>
          <w:ilvl w:val="0"/>
          <w:numId w:val="2"/>
        </w:numPr>
        <w:spacing w:after="80" w:line="276"/>
      </w:pPr>
      <w:r>
        <w:rPr>
          <w:b/>
          <w:bCs/>
          <w:color w:val="1A1433"/>
        </w:rPr>
        <w:t xml:space="preserve">Data analysis </w:t>
      </w:r>
      <w:r>
        <w:rPr>
          <w:color w:val="1A1433"/>
        </w:rPr>
        <w:t xml:space="preserve">— turn channel and site data into decisions.</w:t>
      </w:r>
    </w:p>
    <w:p>
      <w:pPr>
        <w:pStyle w:val="ListParagraph"/>
        <w:numPr>
          <w:ilvl w:val="0"/>
          <w:numId w:val="2"/>
        </w:numPr>
        <w:spacing w:after="80" w:line="276"/>
      </w:pPr>
      <w:r>
        <w:rPr>
          <w:b/>
          <w:bCs/>
          <w:color w:val="1A1433"/>
        </w:rPr>
        <w:t xml:space="preserve">Marketing automation </w:t>
      </w:r>
      <w:r>
        <w:rPr>
          <w:color w:val="1A1433"/>
        </w:rPr>
        <w:t xml:space="preserve">— email and workflow systems that nurture and retain customers.</w:t>
      </w:r>
    </w:p>
    <w:p>
      <w:pPr>
        <w:pStyle w:val="ListParagraph"/>
        <w:numPr>
          <w:ilvl w:val="0"/>
          <w:numId w:val="2"/>
        </w:numPr>
        <w:spacing w:after="80" w:line="276"/>
      </w:pPr>
      <w:r>
        <w:rPr>
          <w:b/>
          <w:bCs/>
          <w:color w:val="1A1433"/>
        </w:rPr>
        <w:t xml:space="preserve">AI marketing </w:t>
      </w:r>
      <w:r>
        <w:rPr>
          <w:color w:val="1A1433"/>
        </w:rPr>
        <w:t xml:space="preserve">— modern tooling to produce, test, and scale work faster.</w:t>
      </w:r>
    </w:p>
    <w:p>
      <w:pPr>
        <w:pStyle w:val="ListParagraph"/>
        <w:numPr>
          <w:ilvl w:val="0"/>
          <w:numId w:val="2"/>
        </w:numPr>
        <w:spacing w:after="80" w:line="276"/>
      </w:pPr>
      <w:r>
        <w:rPr>
          <w:b/>
          <w:bCs/>
          <w:color w:val="1A1433"/>
        </w:rPr>
        <w:t xml:space="preserve">Market research </w:t>
      </w:r>
      <w:r>
        <w:rPr>
          <w:color w:val="1A1433"/>
        </w:rPr>
        <w:t xml:space="preserve">— audience and competitor insight that informs the plan.</w:t>
      </w:r>
    </w:p>
    <w:p>
      <w:pPr>
        <w:pStyle w:val="Heading1"/>
        <w:pBdr>
          <w:bottom w:val="single" w:color="6B00FF" w:sz="8" w:space="4"/>
        </w:pBdr>
      </w:pPr>
      <w:r>
        <w:t xml:space="preserve">6. Competitive Landscape &amp; Differentiation</w:t>
      </w:r>
    </w:p>
    <w:p>
      <w:pPr>
        <w:spacing w:after="140" w:line="276"/>
      </w:pPr>
      <w:r>
        <w:rPr>
          <w:b w:val="false"/>
          <w:bCs w:val="false"/>
          <w:i w:val="false"/>
          <w:iCs w:val="false"/>
          <w:color w:val="1A1433"/>
        </w:rPr>
        <w:t xml:space="preserve">The competition is other small-to-mid-sized marketing agencies serving the same SMB segment, alongside freelancers and DIY tools.</w:t>
      </w:r>
    </w:p>
    <w:p>
      <w:pPr>
        <w:pStyle w:val="Heading2"/>
      </w:pPr>
      <w:r>
        <w:t xml:space="preserve">How we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
            </w:r>
          </w:p>
        </w:tc>
        <w:tc>
          <w:tcPr>
            <w:tcW w:type="dxa" w:w="234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Urban Growth Labs</w:t>
            </w:r>
          </w:p>
        </w:tc>
        <w:tc>
          <w:tcPr>
            <w:tcW w:type="dxa" w:w="234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Typical full-service agency</w:t>
            </w:r>
          </w:p>
        </w:tc>
        <w:tc>
          <w:tcPr>
            <w:tcW w:type="dxa" w:w="234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Freelancer / DIY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Focus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A few services done exceptionally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Broad menu, uneven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One-off tasks</w:t>
            </w:r>
          </w:p>
        </w:tc>
      </w:tr>
      <w:tr>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Approach</w:t>
            </w:r>
          </w:p>
        </w:tc>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End-to-end pipeline on best channels</w:t>
            </w:r>
          </w:p>
        </w:tc>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Siloed deliverables</w:t>
            </w:r>
          </w:p>
        </w:tc>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No 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Pricing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Accessible, SMB-friendly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Often out of reach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Cheap but inconsistent</w:t>
            </w:r>
          </w:p>
        </w:tc>
      </w:tr>
      <w:tr>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Local fit</w:t>
            </w:r>
          </w:p>
        </w:tc>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NYC-native, community-focused</w:t>
            </w:r>
          </w:p>
        </w:tc>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Generic</w:t>
            </w:r>
          </w:p>
        </w:tc>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Variable</w:t>
            </w:r>
          </w:p>
        </w:tc>
      </w:tr>
    </w:tbl>
    <w:p>
      <w:pPr>
        <w:spacing w:after="140" w:line="276"/>
      </w:pPr>
      <w:r>
        <w:rPr>
          <w:b w:val="false"/>
          <w:bCs w:val="false"/>
          <w:i w:val="false"/>
          <w:iCs w:val="false"/>
          <w:color w:val="1A1433"/>
        </w:rPr>
        <w:t xml:space="preserve"/>
      </w:r>
    </w:p>
    <w:p>
      <w:pPr>
        <w:pStyle w:val="Heading2"/>
      </w:pPr>
      <w:r>
        <w:t xml:space="preserve">Our edge</w:t>
      </w:r>
    </w:p>
    <w:p>
      <w:pPr>
        <w:pStyle w:val="ListParagraph"/>
        <w:numPr>
          <w:ilvl w:val="0"/>
          <w:numId w:val="2"/>
        </w:numPr>
        <w:spacing w:after="80" w:line="276"/>
      </w:pPr>
      <w:r>
        <w:rPr>
          <w:color w:val="1A1433"/>
        </w:rPr>
        <w:t xml:space="preserve">Focused excellence instead of an over-promised service menu.</w:t>
      </w:r>
    </w:p>
    <w:p>
      <w:pPr>
        <w:pStyle w:val="ListParagraph"/>
        <w:numPr>
          <w:ilvl w:val="0"/>
          <w:numId w:val="2"/>
        </w:numPr>
        <w:spacing w:after="80" w:line="276"/>
      </w:pPr>
      <w:r>
        <w:rPr>
          <w:color w:val="1A1433"/>
        </w:rPr>
        <w:t xml:space="preserve">An A-to-Z pipeline built around each client’s highest-converting channels.</w:t>
      </w:r>
    </w:p>
    <w:p>
      <w:pPr>
        <w:pStyle w:val="ListParagraph"/>
        <w:numPr>
          <w:ilvl w:val="0"/>
          <w:numId w:val="2"/>
        </w:numPr>
        <w:spacing w:after="80" w:line="276"/>
      </w:pPr>
      <w:r>
        <w:rPr>
          <w:color w:val="1A1433"/>
        </w:rPr>
        <w:t xml:space="preserve">A founder with 5–7+ years of experience and proven engagement growth across social, website, and email for two brands.</w:t>
      </w:r>
    </w:p>
    <w:p>
      <w:pPr>
        <w:pStyle w:val="ListParagraph"/>
        <w:numPr>
          <w:ilvl w:val="0"/>
          <w:numId w:val="2"/>
        </w:numPr>
        <w:spacing w:after="80" w:line="276"/>
      </w:pPr>
      <w:r>
        <w:rPr>
          <w:color w:val="1A1433"/>
        </w:rPr>
        <w:t xml:space="preserve">A distinctly New York brand and a commitment to affordability for underserved communities.</w:t>
      </w:r>
    </w:p>
    <w:p>
      <w:pPr>
        <w:pStyle w:val="Heading2"/>
      </w:pPr>
      <w:r>
        <w:t xml:space="preserve">Competitor notes (to complete from your own research)</w:t>
      </w:r>
    </w:p>
    <w:p>
      <w:pPr>
        <w:spacing w:after="140" w:line="276"/>
      </w:pPr>
      <w:r>
        <w:rPr>
          <w:b/>
          <w:bCs/>
          <w:color w:val="1A1433"/>
        </w:rPr>
        <w:t xml:space="preserve">What competitors do well: </w:t>
      </w:r>
      <w:r>
        <w:rPr>
          <w:b/>
          <w:bCs/>
          <w:color w:val="000000"/>
          <w:shd w:fill="FFE600" w:val="clear"/>
        </w:rPr>
        <w:t xml:space="preserve">[notes]</w:t>
      </w:r>
    </w:p>
    <w:p>
      <w:pPr>
        <w:spacing w:after="140" w:line="276"/>
      </w:pPr>
      <w:r>
        <w:rPr>
          <w:b/>
          <w:bCs/>
          <w:color w:val="1A1433"/>
        </w:rPr>
        <w:t xml:space="preserve">What they do poorly that we will avoid: </w:t>
      </w:r>
      <w:r>
        <w:rPr>
          <w:b/>
          <w:bCs/>
          <w:color w:val="000000"/>
          <w:shd w:fill="FFE600" w:val="clear"/>
        </w:rPr>
        <w:t xml:space="preserve">[notes]</w:t>
      </w:r>
    </w:p>
    <w:p>
      <w:pPr>
        <w:spacing w:after="140" w:line="276"/>
      </w:pPr>
      <w:r>
        <w:rPr>
          <w:b/>
          <w:bCs/>
          <w:color w:val="1A1433"/>
        </w:rPr>
        <w:t xml:space="preserve">How they promote (channels): </w:t>
      </w:r>
      <w:r>
        <w:rPr>
          <w:b/>
          <w:bCs/>
          <w:color w:val="000000"/>
          <w:shd w:fill="FFE600" w:val="clear"/>
        </w:rPr>
        <w:t xml:space="preserve">[notes]</w:t>
      </w:r>
    </w:p>
    <w:p>
      <w:pPr>
        <w:pStyle w:val="Heading1"/>
        <w:pBdr>
          <w:bottom w:val="single" w:color="6B00FF" w:sz="8" w:space="4"/>
        </w:pBdr>
      </w:pPr>
      <w:r>
        <w:t xml:space="preserve">7. Brand Identity</w:t>
      </w:r>
    </w:p>
    <w:p>
      <w:pPr>
        <w:spacing w:after="140" w:line="276"/>
      </w:pPr>
      <w:r>
        <w:rPr>
          <w:b w:val="false"/>
          <w:bCs w:val="false"/>
          <w:i w:val="false"/>
          <w:iCs w:val="false"/>
          <w:color w:val="1A1433"/>
        </w:rPr>
        <w:t xml:space="preserve">The brand is professional but slightly laid-back, with a classic New York feel — cool, urban, experimental, scientific, and energetic. The visual world blends a city skyline, a lab flask, and live data, signaling that growth here is engineered, not left to chance.</w:t>
      </w:r>
    </w:p>
    <w:p>
      <w:pPr>
        <w:pStyle w:val="Heading2"/>
      </w:pPr>
      <w:r>
        <w:t xml:space="preserve">Positioning &amp; taglines</w:t>
      </w:r>
    </w:p>
    <w:p>
      <w:pPr>
        <w:pStyle w:val="ListParagraph"/>
        <w:numPr>
          <w:ilvl w:val="0"/>
          <w:numId w:val="2"/>
        </w:numPr>
        <w:spacing w:after="80" w:line="276"/>
      </w:pPr>
      <w:r>
        <w:rPr>
          <w:color w:val="1A1433"/>
        </w:rPr>
        <w:t xml:space="preserve">Growth isn’t luck. It’s a system.</w:t>
      </w:r>
    </w:p>
    <w:p>
      <w:pPr>
        <w:pStyle w:val="ListParagraph"/>
        <w:numPr>
          <w:ilvl w:val="0"/>
          <w:numId w:val="2"/>
        </w:numPr>
        <w:spacing w:after="80" w:line="276"/>
      </w:pPr>
      <w:r>
        <w:rPr>
          <w:color w:val="1A1433"/>
        </w:rPr>
        <w:t xml:space="preserve">Data. Strategy. Growth. Execution.</w:t>
      </w:r>
    </w:p>
    <w:p>
      <w:pPr>
        <w:pStyle w:val="ListParagraph"/>
        <w:numPr>
          <w:ilvl w:val="0"/>
          <w:numId w:val="2"/>
        </w:numPr>
        <w:spacing w:after="80" w:line="276"/>
      </w:pPr>
      <w:r>
        <w:rPr>
          <w:color w:val="1A1433"/>
        </w:rPr>
        <w:t xml:space="preserve">We turn data into real growth.</w:t>
      </w:r>
    </w:p>
    <w:p>
      <w:pPr>
        <w:pStyle w:val="ListParagraph"/>
        <w:numPr>
          <w:ilvl w:val="0"/>
          <w:numId w:val="2"/>
        </w:numPr>
        <w:spacing w:after="80" w:line="276"/>
      </w:pPr>
      <w:r>
        <w:rPr>
          <w:color w:val="1A1433"/>
        </w:rPr>
        <w:t xml:space="preserve">Built for the city. Engineered for growth.</w:t>
      </w:r>
    </w:p>
    <w:p>
      <w:pPr>
        <w:pStyle w:val="Heading2"/>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#6B00FF</w:t>
            </w:r>
          </w:p>
        </w:tc>
        <w:tc>
          <w:tcPr>
            <w:tcW w:type="dxa" w:w="15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#A259FF</w:t>
            </w:r>
          </w:p>
        </w:tc>
        <w:tc>
          <w:tcPr>
            <w:tcW w:type="dxa" w:w="15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#D6B3FF</w:t>
            </w:r>
          </w:p>
        </w:tc>
        <w:tc>
          <w:tcPr>
            <w:tcW w:type="dxa" w:w="15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#F2E9FF</w:t>
            </w:r>
          </w:p>
        </w:tc>
        <w:tc>
          <w:tcPr>
            <w:tcW w:type="dxa" w:w="15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#FFE600</w:t>
            </w:r>
          </w:p>
        </w:tc>
        <w:tc>
          <w:tcPr>
            <w:tcW w:type="dxa" w:w="156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#1A1433</w:t>
            </w:r>
          </w:p>
        </w:tc>
      </w:tr>
    </w:tbl>
    <w:p>
      <w:pPr>
        <w:spacing w:after="160" w:line="276"/>
      </w:pPr>
      <w:r>
        <w:rPr>
          <w:b w:val="false"/>
          <w:bCs w:val="false"/>
          <w:i/>
          <w:iCs/>
          <w:color w:val="555555"/>
        </w:rPr>
        <w:t xml:space="preserve">Electric purples carry the brand, a high-voltage yellow (#FFE600) accents key moments, and deep near-black (#1A1433 / #0A0714) grounds it.</w:t>
      </w:r>
    </w:p>
    <w:p>
      <w:pPr>
        <w:pStyle w:val="Heading2"/>
      </w:pPr>
      <w:r>
        <w:t xml:space="preserve">Typography</w:t>
      </w:r>
    </w:p>
    <w:p>
      <w:pPr>
        <w:pStyle w:val="ListParagraph"/>
        <w:numPr>
          <w:ilvl w:val="0"/>
          <w:numId w:val="2"/>
        </w:numPr>
        <w:spacing w:after="80" w:line="276"/>
      </w:pPr>
      <w:r>
        <w:rPr>
          <w:b/>
          <w:bCs/>
          <w:color w:val="1A1433"/>
        </w:rPr>
        <w:t xml:space="preserve">Montserrat Bold </w:t>
      </w:r>
      <w:r>
        <w:rPr>
          <w:color w:val="1A1433"/>
        </w:rPr>
        <w:t xml:space="preserve">— headlines. Strong, modern, impactful.</w:t>
      </w:r>
    </w:p>
    <w:p>
      <w:pPr>
        <w:pStyle w:val="ListParagraph"/>
        <w:numPr>
          <w:ilvl w:val="0"/>
          <w:numId w:val="2"/>
        </w:numPr>
        <w:spacing w:after="80" w:line="276"/>
      </w:pPr>
      <w:r>
        <w:rPr>
          <w:b/>
          <w:bCs/>
          <w:color w:val="1A1433"/>
        </w:rPr>
        <w:t xml:space="preserve">Inter Regular </w:t>
      </w:r>
      <w:r>
        <w:rPr>
          <w:color w:val="1A1433"/>
        </w:rPr>
        <w:t xml:space="preserve">— body copy. Clean, readable, data-driven.</w:t>
      </w:r>
    </w:p>
    <w:p>
      <w:pPr>
        <w:pStyle w:val="Heading2"/>
      </w:pPr>
      <w:r>
        <w:t xml:space="preserve">Personality in three words</w:t>
      </w:r>
    </w:p>
    <w:p>
      <w:pPr>
        <w:spacing w:after="140" w:line="276"/>
      </w:pPr>
      <w:r>
        <w:rPr>
          <w:b w:val="false"/>
          <w:bCs w:val="false"/>
          <w:i w:val="false"/>
          <w:iCs w:val="false"/>
          <w:color w:val="1A1433"/>
        </w:rPr>
        <w:t xml:space="preserve">Insight. Experiment. Growth.</w:t>
      </w:r>
    </w:p>
    <w:p>
      <w:pPr>
        <w:pStyle w:val="Heading1"/>
        <w:pBdr>
          <w:bottom w:val="single" w:color="6B00FF" w:sz="8" w:space="4"/>
        </w:pBdr>
      </w:pPr>
      <w:r>
        <w:t xml:space="preserve">8. Go-to-Market &amp; Marketing Strategy</w:t>
      </w:r>
    </w:p>
    <w:p>
      <w:pPr>
        <w:spacing w:after="140" w:line="276"/>
      </w:pPr>
      <w:r>
        <w:rPr>
          <w:b w:val="false"/>
          <w:bCs w:val="false"/>
          <w:i w:val="false"/>
          <w:iCs w:val="false"/>
          <w:color w:val="1A1433"/>
        </w:rPr>
        <w:t xml:space="preserve">Urban Growth Labs markets itself the way it markets clients — the agency’s own presence is the proof of concept.</w:t>
      </w:r>
    </w:p>
    <w:p>
      <w:pPr>
        <w:pStyle w:val="Heading2"/>
      </w:pPr>
      <w:r>
        <w:t xml:space="preserve">Acquisition channels</w:t>
      </w:r>
    </w:p>
    <w:p>
      <w:pPr>
        <w:pStyle w:val="ListParagraph"/>
        <w:numPr>
          <w:ilvl w:val="0"/>
          <w:numId w:val="2"/>
        </w:numPr>
        <w:spacing w:after="80" w:line="276"/>
      </w:pPr>
      <w:r>
        <w:rPr>
          <w:color w:val="1A1433"/>
        </w:rPr>
        <w:t xml:space="preserve">Organic social showcasing case studies, before/after work, and results.</w:t>
      </w:r>
    </w:p>
    <w:p>
      <w:pPr>
        <w:pStyle w:val="ListParagraph"/>
        <w:numPr>
          <w:ilvl w:val="0"/>
          <w:numId w:val="2"/>
        </w:numPr>
        <w:spacing w:after="80" w:line="276"/>
      </w:pPr>
      <w:r>
        <w:rPr>
          <w:color w:val="1A1433"/>
        </w:rPr>
        <w:t xml:space="preserve">A flagship website and local SEO that ranks for neighborhood and service searches.</w:t>
      </w:r>
    </w:p>
    <w:p>
      <w:pPr>
        <w:pStyle w:val="ListParagraph"/>
        <w:numPr>
          <w:ilvl w:val="0"/>
          <w:numId w:val="2"/>
        </w:numPr>
        <w:spacing w:after="80" w:line="276"/>
      </w:pPr>
      <w:r>
        <w:rPr>
          <w:color w:val="1A1433"/>
        </w:rPr>
        <w:t xml:space="preserve">Referrals and word-of-mouth from happy local clients.</w:t>
      </w:r>
    </w:p>
    <w:p>
      <w:pPr>
        <w:pStyle w:val="ListParagraph"/>
        <w:numPr>
          <w:ilvl w:val="0"/>
          <w:numId w:val="2"/>
        </w:numPr>
        <w:spacing w:after="80" w:line="276"/>
      </w:pPr>
      <w:r>
        <w:rPr>
          <w:color w:val="1A1433"/>
        </w:rPr>
        <w:t xml:space="preserve">Community partnerships with local leaders and organizations in target neighborhoods.</w:t>
      </w:r>
    </w:p>
    <w:p>
      <w:pPr>
        <w:pStyle w:val="ListParagraph"/>
        <w:numPr>
          <w:ilvl w:val="0"/>
          <w:numId w:val="2"/>
        </w:numPr>
        <w:spacing w:after="80" w:line="276"/>
      </w:pPr>
      <w:r>
        <w:rPr>
          <w:color w:val="1A1433"/>
        </w:rPr>
        <w:t xml:space="preserve">Direct outreach to nearby storefront businesses.</w:t>
      </w:r>
    </w:p>
    <w:p>
      <w:pPr>
        <w:pStyle w:val="Heading2"/>
      </w:pPr>
      <w:r>
        <w:t xml:space="preserve">Funnel</w:t>
      </w:r>
    </w:p>
    <w:p>
      <w:pPr>
        <w:pStyle w:val="ListParagraph"/>
        <w:numPr>
          <w:ilvl w:val="0"/>
          <w:numId w:val="3"/>
        </w:numPr>
        <w:spacing w:after="80" w:line="276"/>
      </w:pPr>
      <w:r>
        <w:rPr>
          <w:color w:val="1A1433"/>
        </w:rPr>
        <w:t xml:space="preserve">Attract — content and local search bring businesses in.</w:t>
      </w:r>
    </w:p>
    <w:p>
      <w:pPr>
        <w:pStyle w:val="ListParagraph"/>
        <w:numPr>
          <w:ilvl w:val="0"/>
          <w:numId w:val="3"/>
        </w:numPr>
        <w:spacing w:after="80" w:line="276"/>
      </w:pPr>
      <w:r>
        <w:rPr>
          <w:color w:val="1A1433"/>
        </w:rPr>
        <w:t xml:space="preserve">Convert — portfolio, clear packages, and a simple consultation.</w:t>
      </w:r>
    </w:p>
    <w:p>
      <w:pPr>
        <w:pStyle w:val="ListParagraph"/>
        <w:numPr>
          <w:ilvl w:val="0"/>
          <w:numId w:val="3"/>
        </w:numPr>
        <w:spacing w:after="80" w:line="276"/>
      </w:pPr>
      <w:r>
        <w:rPr>
          <w:color w:val="1A1433"/>
        </w:rPr>
        <w:t xml:space="preserve">Deliver — the A-to-Z pipeline produces visible results.</w:t>
      </w:r>
    </w:p>
    <w:p>
      <w:pPr>
        <w:pStyle w:val="ListParagraph"/>
        <w:numPr>
          <w:ilvl w:val="0"/>
          <w:numId w:val="3"/>
        </w:numPr>
        <w:spacing w:after="80" w:line="276"/>
      </w:pPr>
      <w:r>
        <w:rPr>
          <w:color w:val="1A1433"/>
        </w:rPr>
        <w:t xml:space="preserve">Retain &amp; refer — reporting, retainers, and referrals compound growth.</w:t>
      </w:r>
    </w:p>
    <w:p>
      <w:pPr>
        <w:pStyle w:val="Heading2"/>
      </w:pPr>
      <w:r>
        <w:t xml:space="preserve">Targets (to set)</w:t>
      </w:r>
    </w:p>
    <w:p>
      <w:pPr>
        <w:spacing w:after="140" w:line="276"/>
      </w:pPr>
      <w:r>
        <w:rPr>
          <w:b/>
          <w:bCs/>
          <w:color w:val="1A1433"/>
        </w:rPr>
        <w:t xml:space="preserve">Clients in year 1: </w:t>
      </w:r>
      <w:r>
        <w:rPr>
          <w:b/>
          <w:bCs/>
          <w:color w:val="000000"/>
          <w:shd w:fill="FFE600" w:val="clear"/>
        </w:rPr>
        <w:t xml:space="preserve">[#]</w:t>
      </w:r>
      <w:r>
        <w:rPr>
          <w:b/>
          <w:bCs/>
          <w:color w:val="1A1433"/>
        </w:rPr>
        <w:t xml:space="preserve">    ·    Lead-to-client rate: </w:t>
      </w:r>
      <w:r>
        <w:rPr>
          <w:b/>
          <w:bCs/>
          <w:color w:val="000000"/>
          <w:shd w:fill="FFE600" w:val="clear"/>
        </w:rPr>
        <w:t xml:space="preserve">[%]</w:t>
      </w:r>
      <w:r>
        <w:rPr>
          <w:b/>
          <w:bCs/>
          <w:color w:val="1A1433"/>
        </w:rPr>
        <w:t xml:space="preserve">    ·    Avg. revenue per client: </w:t>
      </w:r>
      <w:r>
        <w:rPr>
          <w:b/>
          <w:bCs/>
          <w:color w:val="000000"/>
          <w:shd w:fill="FFE600" w:val="clear"/>
        </w:rPr>
        <w:t xml:space="preserve">[$]</w:t>
      </w:r>
    </w:p>
    <w:p>
      <w:pPr>
        <w:pStyle w:val="Heading1"/>
        <w:pBdr>
          <w:bottom w:val="single" w:color="6B00FF" w:sz="8" w:space="4"/>
        </w:pBdr>
      </w:pPr>
      <w:r>
        <w:t xml:space="preserve">9. Service Delivery &amp; Operations</w:t>
      </w:r>
    </w:p>
    <w:p>
      <w:pPr>
        <w:spacing w:after="140" w:line="276"/>
      </w:pPr>
      <w:r>
        <w:rPr>
          <w:b w:val="false"/>
          <w:bCs w:val="false"/>
          <w:i w:val="false"/>
          <w:iCs w:val="false"/>
          <w:color w:val="1A1433"/>
        </w:rPr>
        <w:t xml:space="preserve">Every engagement follows the Urban Growth Labs method — a repeatable system that keeps work disciplined and outcomes measurable.</w:t>
      </w:r>
    </w:p>
    <w:p>
      <w:pPr>
        <w:pStyle w:val="Heading2"/>
      </w:pPr>
      <w:r>
        <w:t xml:space="preserve">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Phase</w:t>
            </w:r>
          </w:p>
        </w:tc>
        <w:tc>
          <w:tcPr>
            <w:tcW w:type="dxa" w:w="702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What happens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Discover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Research the business, audience, and competitors. Audit current channels and find the gaps.</w:t>
            </w:r>
          </w:p>
        </w:tc>
      </w:tr>
      <w:tr>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Strategize</w:t>
            </w:r>
          </w:p>
        </w:tc>
        <w:tc>
          <w:tcPr>
            <w:tcW w:type="dxa" w:w="702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Plan the pipeline around the highest-converting channels and set the metrics that matter.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Execute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Build and launch — site, social, and creative — then test and optimize.</w:t>
            </w:r>
          </w:p>
        </w:tc>
      </w:tr>
      <w:tr>
        <w:tc>
          <w:tcPr>
            <w:tcW w:type="dxa" w:w="234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Grow</w:t>
            </w:r>
          </w:p>
        </w:tc>
        <w:tc>
          <w:tcPr>
            <w:tcW w:type="dxa" w:w="702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Scale what works, report results, and reinvest in the next opportunity.</w:t>
            </w:r>
          </w:p>
        </w:tc>
      </w:tr>
    </w:tbl>
    <w:p>
      <w:pPr>
        <w:spacing w:after="80" w:line="276"/>
      </w:pPr>
      <w:r>
        <w:rPr>
          <w:b w:val="false"/>
          <w:bCs w:val="false"/>
          <w:i w:val="false"/>
          <w:iCs w:val="false"/>
          <w:color w:val="1A1433"/>
        </w:rPr>
        <w:t xml:space="preserve"/>
      </w:r>
    </w:p>
    <w:p>
      <w:pPr>
        <w:spacing w:after="140" w:line="276"/>
      </w:pPr>
      <w:r>
        <w:rPr>
          <w:b w:val="false"/>
          <w:bCs w:val="false"/>
          <w:i/>
          <w:iCs/>
          <w:color w:val="555555"/>
        </w:rPr>
        <w:t xml:space="preserve">Operating rhythm: Plan. Test. Optimize. Scale.</w:t>
      </w:r>
    </w:p>
    <w:p>
      <w:pPr>
        <w:pStyle w:val="Heading2"/>
      </w:pPr>
      <w:r>
        <w:t xml:space="preserve">Tools &amp; stack</w:t>
      </w:r>
    </w:p>
    <w:p>
      <w:pPr>
        <w:spacing w:after="140" w:line="276"/>
      </w:pPr>
      <w:r>
        <w:rPr>
          <w:b/>
          <w:bCs/>
          <w:color w:val="000000"/>
          <w:shd w:fill="FFE600" w:val="clear"/>
        </w:rPr>
        <w:t xml:space="preserve">[List your core tools — design, web, analytics, automation, AI]</w:t>
      </w:r>
    </w:p>
    <w:p>
      <w:pPr>
        <w:pStyle w:val="Heading2"/>
      </w:pPr>
      <w:r>
        <w:t xml:space="preserve">Team &amp; roles</w:t>
      </w:r>
    </w:p>
    <w:p>
      <w:pPr>
        <w:spacing w:after="140" w:line="276"/>
      </w:pPr>
      <w:r>
        <w:rPr>
          <w:b/>
          <w:bCs/>
          <w:color w:val="1A1433"/>
        </w:rPr>
        <w:t xml:space="preserve">Today: </w:t>
      </w:r>
      <w:r>
        <w:rPr>
          <w:b/>
          <w:bCs/>
          <w:color w:val="000000"/>
          <w:shd w:fill="FFE600" w:val="clear"/>
        </w:rPr>
        <w:t xml:space="preserve">[solo founder / current team]</w:t>
      </w:r>
      <w:r>
        <w:rPr>
          <w:b/>
          <w:bCs/>
          <w:color w:val="1A1433"/>
        </w:rPr>
        <w:t xml:space="preserve">    ·    First hires: </w:t>
      </w:r>
      <w:r>
        <w:rPr>
          <w:b/>
          <w:bCs/>
          <w:color w:val="000000"/>
          <w:shd w:fill="FFE600" w:val="clear"/>
        </w:rPr>
        <w:t xml:space="preserve">[roles and timing]</w:t>
      </w:r>
    </w:p>
    <w:p>
      <w:pPr>
        <w:pStyle w:val="Heading1"/>
        <w:pBdr>
          <w:bottom w:val="single" w:color="6B00FF" w:sz="8" w:space="4"/>
        </w:pBdr>
      </w:pPr>
      <w:r>
        <w:t xml:space="preserve">10. Pricing Model</w:t>
      </w:r>
    </w:p>
    <w:p>
      <w:pPr>
        <w:spacing w:after="140" w:line="276"/>
      </w:pPr>
      <w:r>
        <w:rPr>
          <w:b w:val="false"/>
          <w:bCs w:val="false"/>
          <w:i w:val="false"/>
          <w:iCs w:val="false"/>
          <w:color w:val="1A1433"/>
        </w:rPr>
        <w:t xml:space="preserve">Pricing is built to stay accessible for SMBs while reflecting the value of an end-to-end pipeline. A typical structure blends project work, monthly retainers, and tiered packages, with an affordable entry tier for businesses in underserved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Offer</w:t>
            </w:r>
          </w:p>
        </w:tc>
        <w:tc>
          <w:tcPr>
            <w:tcW w:type="dxa" w:w="33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What’s included</w:t>
            </w:r>
          </w:p>
        </w:tc>
        <w:tc>
          <w:tcPr>
            <w:tcW w:type="dxa" w:w="33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Price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[Starter]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Entry package for small local businesses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[Growth]</w:t>
            </w:r>
          </w:p>
        </w:tc>
        <w:tc>
          <w:tcPr>
            <w:tcW w:type="dxa" w:w="33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Core pipeline across social + web + design</w:t>
            </w:r>
          </w:p>
        </w:tc>
        <w:tc>
          <w:tcPr>
            <w:tcW w:type="dxa" w:w="33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 / mo]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[Scale]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Full pipeline with automation and analytics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 / mo]</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[Project]</w:t>
            </w:r>
          </w:p>
        </w:tc>
        <w:tc>
          <w:tcPr>
            <w:tcW w:type="dxa" w:w="33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One-off builds (e.g., website, brand)</w:t>
            </w:r>
          </w:p>
        </w:tc>
        <w:tc>
          <w:tcPr>
            <w:tcW w:type="dxa" w:w="33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r>
    </w:tbl>
    <w:p>
      <w:pPr>
        <w:spacing w:after="140" w:line="276"/>
      </w:pPr>
      <w:r>
        <w:rPr>
          <w:b w:val="false"/>
          <w:bCs w:val="false"/>
          <w:i w:val="false"/>
          <w:iCs w:val="false"/>
          <w:color w:val="1A1433"/>
        </w:rPr>
        <w:t xml:space="preserve"/>
      </w:r>
    </w:p>
    <w:p>
      <w:pPr>
        <w:spacing w:after="140" w:line="276"/>
      </w:pPr>
      <w:r>
        <w:rPr>
          <w:b w:val="false"/>
          <w:bCs w:val="false"/>
          <w:i/>
          <w:iCs/>
          <w:color w:val="555555"/>
        </w:rPr>
        <w:t xml:space="preserve">Consider a sliding-scale or community rate for qualifying neighborhood businesses (see Section 13).</w:t>
      </w:r>
    </w:p>
    <w:p>
      <w:pPr>
        <w:pStyle w:val="Heading1"/>
        <w:pBdr>
          <w:bottom w:val="single" w:color="6B00FF" w:sz="8" w:space="4"/>
        </w:pBdr>
      </w:pPr>
      <w:r>
        <w:t xml:space="preserve">11. Financial Plan</w:t>
      </w:r>
    </w:p>
    <w:p>
      <w:pPr>
        <w:spacing w:after="140" w:line="276"/>
      </w:pPr>
      <w:r>
        <w:rPr>
          <w:b w:val="false"/>
          <w:bCs w:val="false"/>
          <w:i w:val="false"/>
          <w:iCs w:val="false"/>
          <w:color w:val="1A1433"/>
        </w:rPr>
        <w:t xml:space="preserve">All figures below are placeholders. Replace them with your own assumptions; nothing here is invented for you.</w:t>
      </w:r>
    </w:p>
    <w:p>
      <w:pPr>
        <w:pStyle w:val="Heading2"/>
      </w:pPr>
      <w:r>
        <w:t xml:space="preserve">Revenue streams</w:t>
      </w:r>
    </w:p>
    <w:p>
      <w:pPr>
        <w:pStyle w:val="ListParagraph"/>
        <w:numPr>
          <w:ilvl w:val="0"/>
          <w:numId w:val="2"/>
        </w:numPr>
        <w:spacing w:after="80" w:line="276"/>
      </w:pPr>
      <w:r>
        <w:rPr>
          <w:color w:val="1A1433"/>
        </w:rPr>
        <w:t xml:space="preserve">Monthly retainers (recurring) — the primary, most predictable revenue.</w:t>
      </w:r>
    </w:p>
    <w:p>
      <w:pPr>
        <w:pStyle w:val="ListParagraph"/>
        <w:numPr>
          <w:ilvl w:val="0"/>
          <w:numId w:val="2"/>
        </w:numPr>
        <w:spacing w:after="80" w:line="276"/>
      </w:pPr>
      <w:r>
        <w:rPr>
          <w:color w:val="1A1433"/>
        </w:rPr>
        <w:t xml:space="preserve">Project fees (websites, brand identities, one-off builds).</w:t>
      </w:r>
    </w:p>
    <w:p>
      <w:pPr>
        <w:pStyle w:val="ListParagraph"/>
        <w:numPr>
          <w:ilvl w:val="0"/>
          <w:numId w:val="2"/>
        </w:numPr>
        <w:spacing w:after="80" w:line="276"/>
      </w:pPr>
      <w:r>
        <w:rPr>
          <w:color w:val="1A1433"/>
        </w:rPr>
        <w:t xml:space="preserve">Add-on services (automation setup, analytics, research).</w:t>
      </w:r>
    </w:p>
    <w:p>
      <w:pPr>
        <w:pStyle w:val="Heading2"/>
      </w:pPr>
      <w:r>
        <w:t xml:space="preserve">Startup costs</w:t>
      </w:r>
    </w:p>
    <w:p>
      <w:pPr>
        <w:spacing w:after="140" w:line="276"/>
      </w:pPr>
      <w:r>
        <w:rPr>
          <w:b w:val="false"/>
          <w:bCs w:val="false"/>
          <w:i/>
          <w:iCs/>
          <w:color w:val="555555"/>
        </w:rPr>
        <w:t xml:space="preserve">For reference, NYC small-business startup costs commonly run in the range of roughly $40,000–$100,000 depending on the industry; a marketing agency is asset-light, so yours may be lower. Build your own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Line item</w:t>
            </w:r>
          </w:p>
        </w:tc>
        <w:tc>
          <w:tcPr>
            <w:tcW w:type="dxa" w:w="46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Estimated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Legal / formation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r>
      <w:tr>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Software &amp; tools (annual)</w:t>
            </w:r>
          </w:p>
        </w:tc>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Equipment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r>
      <w:tr>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Brand &amp; website (own)</w:t>
            </w:r>
          </w:p>
        </w:tc>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Marketing &amp;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r>
      <w:tr>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Working capital / buffer</w:t>
            </w:r>
          </w:p>
        </w:tc>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r>
    </w:tbl>
    <w:p>
      <w:pPr>
        <w:spacing w:after="140" w:line="276"/>
      </w:pPr>
      <w:r>
        <w:rPr>
          <w:b w:val="false"/>
          <w:bCs w:val="false"/>
          <w:i w:val="false"/>
          <w:iCs w:val="false"/>
          <w:color w:val="1A1433"/>
        </w:rPr>
        <w:t xml:space="preserve"/>
      </w:r>
    </w:p>
    <w:p>
      <w:pPr>
        <w:pStyle w:val="Heading2"/>
      </w:pPr>
      <w:r>
        <w:t xml:space="preserve">3-year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
            </w:r>
          </w:p>
        </w:tc>
        <w:tc>
          <w:tcPr>
            <w:tcW w:type="dxa" w:w="20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Year 1</w:t>
            </w:r>
          </w:p>
        </w:tc>
        <w:tc>
          <w:tcPr>
            <w:tcW w:type="dxa" w:w="20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Year 2</w:t>
            </w:r>
          </w:p>
        </w:tc>
        <w:tc>
          <w:tcPr>
            <w:tcW w:type="dxa" w:w="20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Clients (avg.)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r>
      <w:tr>
        <w:tc>
          <w:tcPr>
            <w:tcW w:type="dxa" w:w="312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Revenue</w:t>
            </w:r>
          </w:p>
        </w:tc>
        <w:tc>
          <w:tcPr>
            <w:tcW w:type="dxa" w:w="20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c>
          <w:tcPr>
            <w:tcW w:type="dxa" w:w="20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c>
          <w:tcPr>
            <w:tcW w:type="dxa" w:w="20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Costs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w:t>
            </w:r>
          </w:p>
        </w:tc>
      </w:tr>
      <w:tr>
        <w:tc>
          <w:tcPr>
            <w:tcW w:type="dxa" w:w="312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Net</w:t>
            </w:r>
          </w:p>
        </w:tc>
        <w:tc>
          <w:tcPr>
            <w:tcW w:type="dxa" w:w="20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c>
          <w:tcPr>
            <w:tcW w:type="dxa" w:w="20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c>
          <w:tcPr>
            <w:tcW w:type="dxa" w:w="20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w:t>
            </w:r>
          </w:p>
        </w:tc>
      </w:tr>
    </w:tbl>
    <w:p>
      <w:pPr>
        <w:spacing w:after="140" w:line="276"/>
      </w:pPr>
      <w:r>
        <w:rPr>
          <w:b w:val="false"/>
          <w:bCs w:val="false"/>
          <w:i w:val="false"/>
          <w:iCs w:val="false"/>
          <w:color w:val="1A1433"/>
        </w:rPr>
        <w:t xml:space="preserve"/>
      </w:r>
    </w:p>
    <w:p>
      <w:pPr>
        <w:pStyle w:val="Heading2"/>
      </w:pPr>
      <w:r>
        <w:t xml:space="preserve">Funding</w:t>
      </w:r>
    </w:p>
    <w:p>
      <w:pPr>
        <w:spacing w:after="140" w:line="276"/>
      </w:pPr>
      <w:r>
        <w:rPr>
          <w:b/>
          <w:bCs/>
          <w:color w:val="1A1433"/>
        </w:rPr>
        <w:t xml:space="preserve">Need: </w:t>
      </w:r>
      <w:r>
        <w:rPr>
          <w:b/>
          <w:bCs/>
          <w:color w:val="000000"/>
          <w:shd w:fill="FFE600" w:val="clear"/>
        </w:rPr>
        <w:t xml:space="preserve">[amount or “self-funded”]</w:t>
      </w:r>
      <w:r>
        <w:rPr>
          <w:b/>
          <w:bCs/>
          <w:color w:val="1A1433"/>
        </w:rPr>
        <w:t xml:space="preserve">    ·    Use of funds: </w:t>
      </w:r>
      <w:r>
        <w:rPr>
          <w:b/>
          <w:bCs/>
          <w:color w:val="000000"/>
          <w:shd w:fill="FFE600" w:val="clear"/>
        </w:rPr>
        <w:t xml:space="preserve">[breakdown]</w:t>
      </w:r>
    </w:p>
    <w:p>
      <w:pPr>
        <w:pStyle w:val="Heading1"/>
        <w:pBdr>
          <w:bottom w:val="single" w:color="6B00FF" w:sz="8" w:space="4"/>
        </w:pBdr>
      </w:pPr>
      <w:r>
        <w:t xml:space="preserve">12. Milestones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Phase</w:t>
            </w:r>
          </w:p>
        </w:tc>
        <w:tc>
          <w:tcPr>
            <w:tcW w:type="dxa" w:w="33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Focus</w:t>
            </w:r>
          </w:p>
        </w:tc>
        <w:tc>
          <w:tcPr>
            <w:tcW w:type="dxa" w:w="33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[Phase 1 — Launch]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Entity, brand, website, first offers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[date]</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[Phase 2 — First clients]</w:t>
            </w:r>
          </w:p>
        </w:tc>
        <w:tc>
          <w:tcPr>
            <w:tcW w:type="dxa" w:w="33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Land and deliver initial engagements</w:t>
            </w:r>
          </w:p>
        </w:tc>
        <w:tc>
          <w:tcPr>
            <w:tcW w:type="dxa" w:w="33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 clients by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[Phase 3 — Systematize]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Refine pipeline, retainers, case studies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hd w:fill="FFE600" w:val="clear"/>
              </w:rPr>
              <w:t xml:space="preserve">[date]</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[Phase 4 — Scale]</w:t>
            </w:r>
          </w:p>
        </w:tc>
        <w:tc>
          <w:tcPr>
            <w:tcW w:type="dxa" w:w="33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Expand neighborhoods, add capacity/hires</w:t>
            </w:r>
          </w:p>
        </w:tc>
        <w:tc>
          <w:tcPr>
            <w:tcW w:type="dxa" w:w="33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bCs/>
                <w:color w:val="000000"/>
                <w:shd w:fill="FFE600" w:val="clear"/>
              </w:rPr>
              <w:t xml:space="preserve">[date]</w:t>
            </w:r>
          </w:p>
        </w:tc>
      </w:tr>
    </w:tbl>
    <w:p>
      <w:pPr>
        <w:pStyle w:val="Heading1"/>
        <w:pBdr>
          <w:bottom w:val="single" w:color="6B00FF" w:sz="8" w:space="4"/>
        </w:pBdr>
      </w:pPr>
      <w:r>
        <w:t xml:space="preserve">13. Community Impact Commitment</w:t>
      </w:r>
    </w:p>
    <w:p>
      <w:pPr>
        <w:spacing w:after="140" w:line="276"/>
      </w:pPr>
      <w:r>
        <w:rPr>
          <w:b w:val="false"/>
          <w:bCs w:val="false"/>
          <w:i w:val="false"/>
          <w:iCs w:val="false"/>
          <w:color w:val="1A1433"/>
        </w:rPr>
        <w:t xml:space="preserve">A defining purpose of Urban Growth Labs is to make professional marketing affordable and feasible for business owners in underserved communities — and to work alongside community leaders so investment flows not only into businesses, but into schools, public facilities, and the wider neighborhood.</w:t>
      </w:r>
    </w:p>
    <w:p>
      <w:pPr>
        <w:pStyle w:val="Heading2"/>
      </w:pPr>
      <w:r>
        <w:t xml:space="preserve">How this shows up</w:t>
      </w:r>
    </w:p>
    <w:p>
      <w:pPr>
        <w:pStyle w:val="ListParagraph"/>
        <w:numPr>
          <w:ilvl w:val="0"/>
          <w:numId w:val="2"/>
        </w:numPr>
        <w:spacing w:after="80" w:line="276"/>
      </w:pPr>
      <w:r>
        <w:rPr>
          <w:color w:val="1A1433"/>
        </w:rPr>
        <w:t xml:space="preserve">Accessible or sliding-scale pricing for qualifying neighborhood businesses.</w:t>
      </w:r>
    </w:p>
    <w:p>
      <w:pPr>
        <w:pStyle w:val="ListParagraph"/>
        <w:numPr>
          <w:ilvl w:val="0"/>
          <w:numId w:val="2"/>
        </w:numPr>
        <w:spacing w:after="80" w:line="276"/>
      </w:pPr>
      <w:r>
        <w:rPr>
          <w:color w:val="1A1433"/>
        </w:rPr>
        <w:t xml:space="preserve">Partnerships with local leaders and community organizations.</w:t>
      </w:r>
    </w:p>
    <w:p>
      <w:pPr>
        <w:pStyle w:val="ListParagraph"/>
        <w:numPr>
          <w:ilvl w:val="0"/>
          <w:numId w:val="2"/>
        </w:numPr>
        <w:spacing w:after="80" w:line="276"/>
      </w:pPr>
      <w:r>
        <w:rPr>
          <w:color w:val="1A1433"/>
        </w:rPr>
        <w:t xml:space="preserve">Reinvestment of time and resources into the founder’s home community and beyond.</w:t>
      </w:r>
    </w:p>
    <w:p>
      <w:pPr>
        <w:pStyle w:val="Heading2"/>
      </w:pPr>
      <w:r>
        <w:t xml:space="preserve">Structure (to define)</w:t>
      </w:r>
    </w:p>
    <w:p>
      <w:pPr>
        <w:spacing w:after="140" w:line="276"/>
      </w:pPr>
      <w:r>
        <w:rPr>
          <w:b/>
          <w:bCs/>
          <w:color w:val="000000"/>
          <w:shd w:fill="FFE600" w:val="clear"/>
        </w:rPr>
        <w:t xml:space="preserve">[e.g., a fixed share of pro-bono or reduced-rate engagements, or a community fund — specify the model and goal]</w:t>
      </w:r>
    </w:p>
    <w:p>
      <w:pPr>
        <w:pStyle w:val="Heading1"/>
        <w:pBdr>
          <w:bottom w:val="single" w:color="6B00FF" w:sz="8" w:space="4"/>
        </w:pBdr>
      </w:pPr>
      <w:r>
        <w:t xml:space="preserve">14.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Risk</w:t>
            </w:r>
          </w:p>
        </w:tc>
        <w:tc>
          <w:tcPr>
            <w:tcW w:type="dxa" w:w="4680"/>
            <w:tcBorders>
              <w:top w:val="single" w:color="CCCCCC" w:sz="1"/>
              <w:left w:val="single" w:color="CCCCCC" w:sz="1"/>
              <w:bottom w:val="single" w:color="CCCCCC" w:sz="1"/>
              <w:right w:val="single" w:color="CCCCCC" w:sz="1"/>
            </w:tcBorders>
            <w:shd w:fill="6B00FF" w:val="clear"/>
            <w:tcMar>
              <w:top w:type="dxa" w:w="80"/>
              <w:left w:type="dxa" w:w="120"/>
              <w:bottom w:type="dxa" w:w="80"/>
              <w:right w:type="dxa" w:w="120"/>
            </w:tcMar>
          </w:tcPr>
          <w:p>
            <w:r>
              <w:rPr>
                <w:b/>
                <w:bCs/>
                <w:color w:val="FFFFFF"/>
                <w:sz w:val="21"/>
                <w:szCs w:val="21"/>
              </w:rPr>
              <w:t xml:space="preserve">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Client concentration (revenue from too few clients)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Build a pipeline of leads; favor recurring retainers across several clients.</w:t>
            </w:r>
          </w:p>
        </w:tc>
      </w:tr>
      <w:tr>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Founder bandwidth as demand grows</w:t>
            </w:r>
          </w:p>
        </w:tc>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Productize delivery, document the method, and hire ahead of capacity limits.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Price pressure from low-cost competitors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Compete on results and pipeline value, not the lowest price.</w:t>
            </w:r>
          </w:p>
        </w:tc>
      </w:tr>
      <w:tr>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Scope creep on projects</w:t>
            </w:r>
          </w:p>
        </w:tc>
        <w:tc>
          <w:tcPr>
            <w:tcW w:type="dxa" w:w="468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b w:val="false"/>
                <w:bCs w:val="false"/>
                <w:color w:val="1A1433"/>
                <w:sz w:val="21"/>
                <w:szCs w:val="21"/>
              </w:rPr>
              <w:t xml:space="preserve">Clear packages, written scopes, and change-order pricing.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Seasonality / local economic swings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433"/>
                <w:sz w:val="21"/>
                <w:szCs w:val="21"/>
              </w:rPr>
              <w:t xml:space="preserve">Diversify client mix across industries and neighborhoods.</w:t>
            </w:r>
          </w:p>
        </w:tc>
      </w:tr>
    </w:tbl>
    <w:p>
      <w:pPr>
        <w:pStyle w:val="Heading1"/>
        <w:pBdr>
          <w:bottom w:val="single" w:color="6B00FF" w:sz="8" w:space="4"/>
        </w:pBdr>
      </w:pPr>
      <w:r>
        <w:t xml:space="preserve">15. To Complete Before Sharing</w:t>
      </w:r>
    </w:p>
    <w:p>
      <w:pPr>
        <w:spacing w:after="140" w:line="276"/>
      </w:pPr>
      <w:r>
        <w:rPr>
          <w:b w:val="false"/>
          <w:bCs w:val="false"/>
          <w:i w:val="false"/>
          <w:iCs w:val="false"/>
          <w:color w:val="1A1433"/>
        </w:rPr>
        <w:t xml:space="preserve">This draft is structurally complete and grounded in your brand brief and mood board. Fill in the highlighted placeholders, focusing on:</w:t>
      </w:r>
    </w:p>
    <w:p>
      <w:pPr>
        <w:pStyle w:val="ListParagraph"/>
        <w:numPr>
          <w:ilvl w:val="0"/>
          <w:numId w:val="2"/>
        </w:numPr>
        <w:spacing w:after="80" w:line="276"/>
      </w:pPr>
      <w:r>
        <w:rPr>
          <w:color w:val="1A1433"/>
        </w:rPr>
        <w:t xml:space="preserve">Founder name, legal structure, location, and founding date (Sections 1–2).</w:t>
      </w:r>
    </w:p>
    <w:p>
      <w:pPr>
        <w:pStyle w:val="ListParagraph"/>
        <w:numPr>
          <w:ilvl w:val="0"/>
          <w:numId w:val="2"/>
        </w:numPr>
        <w:spacing w:after="80" w:line="276"/>
      </w:pPr>
      <w:r>
        <w:rPr>
          <w:color w:val="1A1433"/>
        </w:rPr>
        <w:t xml:space="preserve">Verified market sizing and current NYC small-business data (Section 4).</w:t>
      </w:r>
    </w:p>
    <w:p>
      <w:pPr>
        <w:pStyle w:val="ListParagraph"/>
        <w:numPr>
          <w:ilvl w:val="0"/>
          <w:numId w:val="2"/>
        </w:numPr>
        <w:spacing w:after="80" w:line="276"/>
      </w:pPr>
      <w:r>
        <w:rPr>
          <w:color w:val="1A1433"/>
        </w:rPr>
        <w:t xml:space="preserve">Competitor research notes (Section 6).</w:t>
      </w:r>
    </w:p>
    <w:p>
      <w:pPr>
        <w:pStyle w:val="ListParagraph"/>
        <w:numPr>
          <w:ilvl w:val="0"/>
          <w:numId w:val="2"/>
        </w:numPr>
        <w:spacing w:after="80" w:line="276"/>
      </w:pPr>
      <w:r>
        <w:rPr>
          <w:color w:val="1A1433"/>
        </w:rPr>
        <w:t xml:space="preserve">Pricing for each package (Section 10).</w:t>
      </w:r>
    </w:p>
    <w:p>
      <w:pPr>
        <w:pStyle w:val="ListParagraph"/>
        <w:numPr>
          <w:ilvl w:val="0"/>
          <w:numId w:val="2"/>
        </w:numPr>
        <w:spacing w:after="80" w:line="276"/>
      </w:pPr>
      <w:r>
        <w:rPr>
          <w:color w:val="1A1433"/>
        </w:rPr>
        <w:t xml:space="preserve">Financials: startup costs, projections, and funding (Section 11).</w:t>
      </w:r>
    </w:p>
    <w:p>
      <w:pPr>
        <w:pStyle w:val="ListParagraph"/>
        <w:numPr>
          <w:ilvl w:val="0"/>
          <w:numId w:val="2"/>
        </w:numPr>
        <w:spacing w:after="80" w:line="276"/>
      </w:pPr>
      <w:r>
        <w:rPr>
          <w:color w:val="1A1433"/>
        </w:rPr>
        <w:t xml:space="preserve">Roadmap dates and targets (Section 12).</w:t>
      </w:r>
    </w:p>
    <w:p>
      <w:pPr>
        <w:pStyle w:val="ListParagraph"/>
        <w:numPr>
          <w:ilvl w:val="0"/>
          <w:numId w:val="2"/>
        </w:numPr>
        <w:spacing w:after="80" w:line="276"/>
      </w:pPr>
      <w:r>
        <w:rPr>
          <w:color w:val="1A1433"/>
        </w:rPr>
        <w:t xml:space="preserve">The structure of your community commitment (Section 13).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Urban Growth Labs  ·  Business Plan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B00F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A1B73"/>
      <w:sz w:val="25"/>
      <w:szCs w:val="25"/>
    </w:rPr>
  </w:style>
  <w:style w:type="paragraph" w:styleId="Heading3">
    <w:name w:val="Heading 3"/>
    <w:basedOn w:val="Normal"/>
    <w:next w:val="Normal"/>
    <w:qFormat/>
    <w:pPr>
      <w:spacing w:after="60" w:before="140"/>
      <w:outlineLvl w:val="2"/>
    </w:pPr>
    <w:rPr>
      <w:rFonts w:ascii="Arial" w:cs="Arial" w:eastAsia="Arial" w:hAnsi="Arial"/>
      <w:b/>
      <w:bCs/>
      <w:color w:val="1A14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2026-06-26T21:53:17.192Z</dcterms:created>
  <dcterms:modified xsi:type="dcterms:W3CDTF">2026-06-26T21:53:17.192Z</dcterms:modified>
</cp:coreProperties>
</file>

<file path=docProps/custom.xml><?xml version="1.0" encoding="utf-8"?>
<Properties xmlns="http://schemas.openxmlformats.org/officeDocument/2006/custom-properties" xmlns:vt="http://schemas.openxmlformats.org/officeDocument/2006/docPropsVTypes"/>
</file>