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220" w:after="80"/>
      </w:pPr>
      <w:r>
        <w:rPr>
          <w:b/>
          <w:color w:val="0F172A"/>
          <w:sz w:val="34"/>
        </w:rPr>
        <w:t>EvacPulse AI — Project Overview (Problem, Solution &amp; System Architecture)</w:t>
      </w:r>
    </w:p>
    <w:p>
      <w:pPr>
        <w:spacing w:before="50" w:after="50"/>
      </w:pPr>
      <w:r>
        <w:rPr>
          <w:b/>
          <w:color w:val="1E293B"/>
          <w:sz w:val="21"/>
        </w:rPr>
        <w:t xml:space="preserve">Challenge 4: </w:t>
      </w:r>
      <w:r>
        <w:rPr>
          <w:color w:val="1E293B"/>
          <w:sz w:val="21"/>
        </w:rPr>
        <w:t xml:space="preserve">Adaptive Evacuation Readiness &amp; Vulnerable Community Planning (Agents for Impact 2026)</w:t>
      </w:r>
    </w:p>
    <w:p>
      <w:pPr>
        <w:spacing w:before="50" w:after="50"/>
      </w:pPr>
      <w:r>
        <w:rPr>
          <w:b/>
          <w:color w:val="1E293B"/>
          <w:sz w:val="21"/>
        </w:rPr>
        <w:t xml:space="preserve">Live Cloud Run App: </w:t>
      </w:r>
      <w:r>
        <w:rPr>
          <w:color w:val="1E293B"/>
          <w:sz w:val="21"/>
        </w:rPr>
        <w:t xml:space="preserve">https://evacuation-readiness-agent-360663039447.us-central1.run.app</w:t>
      </w:r>
    </w:p>
    <w:p>
      <w:pPr>
        <w:spacing w:before="220" w:after="80"/>
      </w:pPr>
      <w:r>
        <w:rPr>
          <w:b/>
          <w:color w:val="0369A1"/>
          <w:sz w:val="26"/>
        </w:rPr>
        <w:t>1. The Problem: Why Static Evacuation Plans Fail Vulnerable Residents</w:t>
      </w:r>
    </w:p>
    <w:p>
      <w:pPr>
        <w:spacing w:before="50" w:after="50"/>
      </w:pPr>
      <w:r>
        <w:rPr>
          <w:color w:val="1E293B"/>
          <w:sz w:val="21"/>
        </w:rPr>
        <w:t xml:space="preserve">When hurricanes strike, evacuation plans assume residents can drive inland. Fatalities concentrate among people who cannot self-evacuate: carless families, seniors in wheelchairs, and patients dependent on electric medical devices (oxygen concentrators, dialysis, ventilators).</w:t>
      </w:r>
    </w:p>
    <w:p>
      <w:pPr>
        <w:spacing w:before="50" w:after="50"/>
      </w:pPr>
      <w:r>
        <w:rPr>
          <w:b/>
          <w:color w:val="1E293B"/>
          <w:sz w:val="21"/>
        </w:rPr>
        <w:t xml:space="preserve">• Missing Paperwork != Missing Access (UNRECORDED != NO): </w:t>
      </w:r>
      <w:r>
        <w:rPr>
          <w:color w:val="1E293B"/>
          <w:sz w:val="21"/>
        </w:rPr>
        <w:t xml:space="preserve">88% of Florida's 2,793 FEMA shelters have NULL (unrecorded) wheelchair access. Treating NULL as No discards 90% of capacity; treating it as Yes endangers wheelchair users.</w:t>
      </w:r>
    </w:p>
    <w:p>
      <w:pPr>
        <w:spacing w:before="50" w:after="50"/>
      </w:pPr>
      <w:r>
        <w:rPr>
          <w:b/>
          <w:color w:val="1E293B"/>
          <w:sz w:val="21"/>
        </w:rPr>
        <w:t xml:space="preserve">• Stale 2022 Registries &amp; Storm-Surge Flood Zones: </w:t>
      </w:r>
      <w:r>
        <w:rPr>
          <w:color w:val="1E293B"/>
          <w:sz w:val="21"/>
        </w:rPr>
        <w:t xml:space="preserve">Static FEMA/CMS tables cannot tell if a building closed, changed its operating name, or sits inside a coastal storm-surge (SLOSH) flood zone.</w:t>
      </w:r>
    </w:p>
    <w:p>
      <w:pPr>
        <w:spacing w:before="50" w:after="50"/>
      </w:pPr>
      <w:r>
        <w:rPr>
          <w:b/>
          <w:color w:val="1E293B"/>
          <w:sz w:val="21"/>
        </w:rPr>
        <w:t xml:space="preserve">• Straight-Line Distance vs. Real Street Drive Time: </w:t>
      </w:r>
      <w:r>
        <w:rPr>
          <w:color w:val="1E293B"/>
          <w:sz w:val="21"/>
        </w:rPr>
        <w:t xml:space="preserve">BigQuery ST_DISTANCE gives straight-line distance, not real road travel times across bridges needed to stage transit buses 48 hours early.</w:t>
      </w:r>
    </w:p>
    <w:p>
      <w:pPr>
        <w:spacing w:before="50" w:after="50"/>
      </w:pPr>
      <w:r>
        <w:rPr>
          <w:b/>
          <w:color w:val="1E293B"/>
          <w:sz w:val="21"/>
        </w:rPr>
        <w:t xml:space="preserve">• Disconnected Clinical Power Data: </w:t>
      </w:r>
      <w:r>
        <w:rPr>
          <w:color w:val="1E293B"/>
          <w:sz w:val="21"/>
        </w:rPr>
        <w:t xml:space="preserve">County-level HHS emPOWER counts and CMS nursing homes are disconnected from nearby shelters with confirmed backup generators.</w:t>
      </w:r>
    </w:p>
    <w:p>
      <w:pPr>
        <w:spacing w:before="220" w:after="80"/>
      </w:pPr>
      <w:r>
        <w:rPr>
          <w:b/>
          <w:color w:val="0369A1"/>
          <w:sz w:val="26"/>
        </w:rPr>
        <w:t>2. Our Solution: EvacPulse AI</w:t>
      </w:r>
    </w:p>
    <w:p>
      <w:pPr>
        <w:spacing w:before="50" w:after="50"/>
      </w:pPr>
      <w:r>
        <w:rPr>
          <w:color w:val="1E293B"/>
          <w:sz w:val="21"/>
        </w:rPr>
        <w:t xml:space="preserve">EvacPulse AI is a voice- and map-driven readiness agent covering all 67 Florida counties that connects historical federal spatial data (the memory) with live Grounding with Google Maps (the eyes) in a plain-English workspace for non-technical planners.</w:t>
      </w:r>
    </w:p>
    <w:p>
      <w:pPr>
        <w:spacing w:before="50" w:after="50"/>
      </w:pPr>
      <w:r>
        <w:rPr>
          <w:b/>
          <w:color w:val="1E293B"/>
          <w:sz w:val="21"/>
        </w:rPr>
        <w:t xml:space="preserve">• Dynamic 67-County Switching: </w:t>
      </w:r>
      <w:r>
        <w:rPr>
          <w:color w:val="1E293B"/>
          <w:sz w:val="21"/>
        </w:rPr>
        <w:t xml:space="preserve">Parallel BigQuery spatial audits instantly update KPIs, checklists, and map pins for any Florida county.</w:t>
      </w:r>
    </w:p>
    <w:p>
      <w:pPr>
        <w:spacing w:before="50" w:after="50"/>
      </w:pPr>
      <w:r>
        <w:rPr>
          <w:b/>
          <w:color w:val="1E293B"/>
          <w:sz w:val="21"/>
        </w:rPr>
        <w:t xml:space="preserve">• Voice-Triggered Natural Briefing: </w:t>
      </w:r>
      <w:r>
        <w:rPr>
          <w:color w:val="1E293B"/>
          <w:sz w:val="21"/>
        </w:rPr>
        <w:t xml:space="preserve">Tap the mic to ask by voice; Gemini 2.5 Flash TTS (Kore) speaks a concise, paraphrased summary only on voice input (with Stop and Replay controls).</w:t>
      </w:r>
    </w:p>
    <w:p>
      <w:pPr>
        <w:spacing w:before="50" w:after="50"/>
      </w:pPr>
      <w:r>
        <w:rPr>
          <w:b/>
          <w:color w:val="1E293B"/>
          <w:sz w:val="21"/>
        </w:rPr>
        <w:t xml:space="preserve">• Role-Adaptive Views &amp; In-Map Overlays: </w:t>
      </w:r>
      <w:r>
        <w:rPr>
          <w:color w:val="1E293B"/>
          <w:sz w:val="21"/>
        </w:rPr>
        <w:t xml:space="preserve">Switches between Local Emergency Planner View (unverified shelters, red storm-surge circles, 48h bus routes) and Hospital &amp; Nursing Home View (CMS nursing homes, emPOWER oxygen/dialysis patients, 10 km generator-shelter routes) overlaid directly on Google Maps Road/Satellite tiles.</w:t>
      </w:r>
    </w:p>
    <w:p>
      <w:pPr>
        <w:spacing w:before="50" w:after="50"/>
      </w:pPr>
      <w:r>
        <w:rPr>
          <w:b/>
          <w:color w:val="1E293B"/>
          <w:sz w:val="21"/>
        </w:rPr>
        <w:t xml:space="preserve">• Live Grounding with Google Maps &amp; Street Routing: </w:t>
      </w:r>
      <w:r>
        <w:rPr>
          <w:color w:val="1E293B"/>
          <w:sz w:val="21"/>
        </w:rPr>
        <w:t xml:space="preserve">Verifies live building status, catches facility renamings (Page Rehabilitation to Calusa Harbour), checks wheelchair entrances, and compares straight-line distance vs. real street drive time.</w:t>
      </w:r>
    </w:p>
    <w:p>
      <w:pPr>
        <w:spacing w:before="50" w:after="50"/>
      </w:pPr>
      <w:r>
        <w:rPr>
          <w:b/>
          <w:color w:val="1E293B"/>
          <w:sz w:val="21"/>
        </w:rPr>
        <w:t xml:space="preserve">• Live BigQuery Write-Back &amp; Equity Audit: </w:t>
      </w:r>
      <w:r>
        <w:rPr>
          <w:color w:val="1E293B"/>
          <w:sz w:val="21"/>
        </w:rPr>
        <w:t xml:space="preserve">Audits reporting bias in high-vulnerability (SVI &gt;= 0.75) tracts and saves field inspection updates directly back to BigQuery (shelter_assessments).</w:t>
      </w:r>
    </w:p>
    <w:p>
      <w:pPr>
        <w:spacing w:before="220" w:after="80"/>
      </w:pPr>
      <w:r>
        <w:rPr>
          <w:b/>
          <w:color w:val="0369A1"/>
          <w:sz w:val="26"/>
        </w:rPr>
        <w:t>3. System Architecture (4-Tier Flow Diagram &amp; Component Stack)</w:t>
      </w:r>
    </w:p>
    <w:p>
      <w:pPr>
        <w:spacing w:before="50" w:after="50"/>
      </w:pPr>
      <w:r>
        <w:rPr>
          <w:color w:val="1E293B"/>
          <w:sz w:val="21"/>
        </w:rPr>
        <w:t xml:space="preserve">Below is the end-to-end architecture connecting the geospatial/voice UI, Cloud Run FastAPI server, Google ADK multi-agent orchestrator, Managed BigQuery MCP, and live Grounding with Google Maps:</w:t>
      </w:r>
    </w:p>
    <w:tbl>
      <w:tblPr>
        <w:tblW w:w="9000" w:type="dxa"/>
        <w:tblBorders>
          <w:top w:val="single" w:sz="8" w:space="0" w:color="0284C7"/>
          <w:left w:val="single" w:sz="8" w:space="0" w:color="0284C7"/>
          <w:bottom w:val="single" w:sz="8" w:space="0" w:color="0284C7"/>
          <w:right w:val="single" w:sz="8" w:space="0" w:color="0284C7"/>
          <w:insideH w:val="single" w:sz="4" w:space="0" w:color="CBD5E1"/>
        </w:tblBorders>
      </w:tblPr>
      <w:tr>
        <w:tc>
          <w:tcPr>
            <w:tcW w:w="9000" w:type="dxa"/>
            <w:shd w:val="clear" w:color="auto" w:fill="E0F2FE"/>
            <w:tcMar>
              <w:top w:w="120" w:type="dxa"/>
              <w:bottom w:w="120" w:type="dxa"/>
              <w:left w:w="180" w:type="dxa"/>
              <w:right w:w="180" w:type="dxa"/>
            </w:tcMar>
          </w:tcPr>
          <w:p>
            <w:pPr>
              <w:spacing w:before="50" w:after="50"/>
              <w:jc w:val="center"/>
            </w:pPr>
            <w:r>
              <w:rPr>
                <w:b/>
                <w:color w:val="0369A1"/>
                <w:sz w:val="22"/>
              </w:rPr>
              <w:t xml:space="preserve">TIER 1: CLIENT WORKSPACE UI (agent/static/index.html)</w:t>
            </w:r>
          </w:p>
          <w:p>
            <w:pPr>
              <w:spacing w:before="50" w:after="50"/>
              <w:jc w:val="center"/>
            </w:pPr>
            <w:r>
              <w:rPr>
                <w:color w:val="334155"/>
                <w:sz w:val="19"/>
              </w:rPr>
              <w:t xml:space="preserve">67-County Selector  |  Role Switcher (Planner vs. Hospital)  |  Leaflet + Google Maps Overlays  |  Voice Mic &amp; Stop/Replay Controls</w:t>
            </w:r>
          </w:p>
        </w:tc>
      </w:tr>
      <w:tr>
        <w:tc>
          <w:tcPr>
            <w:tcW w:w="9000" w:type="dxa"/>
            <w:shd w:val="clear" w:color="auto" w:fill="FFFFFF"/>
          </w:tcPr>
          <w:p>
            <w:pPr>
              <w:spacing w:before="50" w:after="50"/>
              <w:jc w:val="center"/>
            </w:pPr>
            <w:r>
              <w:rPr>
                <w:b/>
                <w:color w:val="0284C7"/>
                <w:sz w:val="19"/>
              </w:rPr>
              <w:t xml:space="preserve">⬇  HTTPS REST API Calls (/api/persona-action, /api/chat, /api/verify-place, /api/field-assessment, /api/voice-tts)  ⬇</w:t>
            </w:r>
          </w:p>
        </w:tc>
      </w:tr>
      <w:tr>
        <w:tc>
          <w:tcPr>
            <w:tcW w:w="9000" w:type="dxa"/>
            <w:shd w:val="clear" w:color="auto" w:fill="F1F5F9"/>
            <w:tcMar>
              <w:top w:w="120" w:type="dxa"/>
              <w:bottom w:w="120" w:type="dxa"/>
              <w:left w:w="180" w:type="dxa"/>
              <w:right w:w="180" w:type="dxa"/>
            </w:tcMar>
          </w:tcPr>
          <w:p>
            <w:pPr>
              <w:spacing w:before="50" w:after="50"/>
              <w:jc w:val="center"/>
            </w:pPr>
            <w:r>
              <w:rPr>
                <w:b/>
                <w:color w:val="0F172A"/>
                <w:sz w:val="22"/>
              </w:rPr>
              <w:t xml:space="preserve">TIER 2: CLOUD RUN APPLICATION RUNTIME (agent/server.py)</w:t>
            </w:r>
          </w:p>
          <w:p>
            <w:pPr>
              <w:spacing w:before="50" w:after="50"/>
              <w:jc w:val="center"/>
            </w:pPr>
            <w:r>
              <w:rPr>
                <w:color w:val="334155"/>
                <w:sz w:val="19"/>
              </w:rPr>
              <w:t xml:space="preserve">Serverless FastAPI Container on Google Cloud Run  |  Async ADK Runner Session Manager  |  4-Worker ThreadPoolExecutor</w:t>
            </w:r>
          </w:p>
        </w:tc>
      </w:tr>
      <w:tr>
        <w:tc>
          <w:tcPr>
            <w:tcW w:w="9000" w:type="dxa"/>
            <w:shd w:val="clear" w:color="auto" w:fill="FFFFFF"/>
          </w:tcPr>
          <w:p>
            <w:pPr>
              <w:spacing w:before="50" w:after="50"/>
              <w:jc w:val="center"/>
            </w:pPr>
            <w:r>
              <w:rPr>
                <w:b/>
                <w:color w:val="0284C7"/>
                <w:sz w:val="19"/>
              </w:rPr>
              <w:t xml:space="preserve">⬇  ADK Multi-Agent Dispatch &amp; Voice Multimodal Synthesis  ⬇</w:t>
            </w:r>
          </w:p>
        </w:tc>
      </w:tr>
      <w:tr>
        <w:tc>
          <w:tcPr>
            <w:tcW w:w="9000" w:type="dxa"/>
            <w:shd w:val="clear" w:color="auto" w:fill="FEF3C7"/>
            <w:tcMar>
              <w:top w:w="120" w:type="dxa"/>
              <w:bottom w:w="120" w:type="dxa"/>
              <w:left w:w="180" w:type="dxa"/>
              <w:right w:w="180" w:type="dxa"/>
            </w:tcMar>
          </w:tcPr>
          <w:p>
            <w:pPr>
              <w:spacing w:before="50" w:after="50"/>
              <w:jc w:val="center"/>
            </w:pPr>
            <w:r>
              <w:rPr>
                <w:b/>
                <w:color w:val="92400E"/>
                <w:sz w:val="22"/>
              </w:rPr>
              <w:t xml:space="preserve">TIER 3: GOOGLE ADK MULTI-AGENT SYSTEM (agent/evacuation_agent/agent.py)</w:t>
            </w:r>
          </w:p>
          <w:p>
            <w:pPr>
              <w:spacing w:before="50" w:after="50"/>
              <w:jc w:val="center"/>
            </w:pPr>
            <w:r>
              <w:rPr>
                <w:color w:val="334155"/>
                <w:sz w:val="19"/>
              </w:rPr>
              <w:t xml:space="preserve">Root Orchestrator Agent (Gemini)  +  Maps Grounding Sub-Agent (AgentTool)  +  Gemini 2.5 Flash STT &amp; Native TTS (Kore WAV)</w:t>
            </w:r>
          </w:p>
        </w:tc>
      </w:tr>
      <w:tr>
        <w:tc>
          <w:tcPr>
            <w:tcW w:w="9000" w:type="dxa"/>
            <w:shd w:val="clear" w:color="auto" w:fill="FFFFFF"/>
          </w:tcPr>
          <w:p>
            <w:pPr>
              <w:spacing w:before="50" w:after="50"/>
              <w:jc w:val="center"/>
            </w:pPr>
            <w:r>
              <w:rPr>
                <w:b/>
                <w:color w:val="0284C7"/>
                <w:sz w:val="19"/>
              </w:rPr>
              <w:t xml:space="preserve">⬇  Parallel Spatial SQL Queries + Managed MCP + Live Google Maps Grounding  ⬇</w:t>
            </w:r>
          </w:p>
        </w:tc>
      </w:tr>
      <w:tr>
        <w:tc>
          <w:tcPr>
            <w:tcW w:w="9000" w:type="dxa"/>
            <w:shd w:val="clear" w:color="auto" w:fill="DCFCE7"/>
            <w:tcMar>
              <w:top w:w="120" w:type="dxa"/>
              <w:bottom w:w="120" w:type="dxa"/>
              <w:left w:w="180" w:type="dxa"/>
              <w:right w:w="180" w:type="dxa"/>
            </w:tcMar>
          </w:tcPr>
          <w:p>
            <w:pPr>
              <w:spacing w:before="50" w:after="50"/>
              <w:jc w:val="center"/>
            </w:pPr>
            <w:r>
              <w:rPr>
                <w:b/>
                <w:color w:val="166534"/>
                <w:sz w:val="22"/>
              </w:rPr>
              <w:t xml:space="preserve">TIER 4: DATA, MANAGED MCP &amp; LIVE GROUNDING (agent/evacuation_agent/tools.py)</w:t>
            </w:r>
          </w:p>
          <w:p>
            <w:pPr>
              <w:spacing w:before="50" w:after="50"/>
              <w:jc w:val="center"/>
            </w:pPr>
            <w:r>
              <w:rPr>
                <w:color w:val="334155"/>
                <w:sz w:val="19"/>
              </w:rPr>
              <w:t xml:space="preserve">BigQuery Spatial SQL (ST_DISTANCE across 5 Federal Tables + shelter_assessments Write-Back)  |  Google-Managed BigQuery MCP (McpToolset)  |  Vertex AI Grounding with Google Maps (Places + Street Routing)</w:t>
            </w:r>
          </w:p>
        </w:tc>
      </w:tr>
    </w:tbl>
    <w:p>
      <w:pPr>
        <w:spacing w:before="50" w:after="50"/>
      </w:pPr>
    </w:p>
    <w:tbl>
      <w:tblPr>
        <w:tblW w:w="9000" w:type="dxa"/>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tcW w:w="2200" w:type="dxa"/>
            <w:shd w:val="clear" w:color="auto" w:fill="0284C7"/>
            <w:tcMar>
              <w:top w:w="80" w:type="dxa"/>
              <w:bottom w:w="80" w:type="dxa"/>
              <w:left w:w="100" w:type="dxa"/>
              <w:right w:w="100" w:type="dxa"/>
            </w:tcMar>
          </w:tcPr>
          <w:p>
            <w:pPr>
              <w:spacing w:before="50" w:after="50"/>
            </w:pPr>
            <w:r>
              <w:rPr>
                <w:b/>
                <w:color w:val="FFFFFF"/>
                <w:sz w:val="19"/>
              </w:rPr>
              <w:t xml:space="preserve">Architecture Layer</w:t>
            </w:r>
          </w:p>
        </w:tc>
        <w:tc>
          <w:tcPr>
            <w:tcW w:w="2800" w:type="dxa"/>
            <w:shd w:val="clear" w:color="auto" w:fill="0284C7"/>
            <w:tcMar>
              <w:top w:w="80" w:type="dxa"/>
              <w:bottom w:w="80" w:type="dxa"/>
              <w:left w:w="100" w:type="dxa"/>
              <w:right w:w="100" w:type="dxa"/>
            </w:tcMar>
          </w:tcPr>
          <w:p>
            <w:pPr>
              <w:spacing w:before="50" w:after="50"/>
            </w:pPr>
            <w:r>
              <w:rPr>
                <w:b/>
                <w:color w:val="FFFFFF"/>
                <w:sz w:val="19"/>
              </w:rPr>
              <w:t xml:space="preserve">Technology Stack</w:t>
            </w:r>
          </w:p>
        </w:tc>
        <w:tc>
          <w:tcPr>
            <w:tcW w:w="4000" w:type="dxa"/>
            <w:shd w:val="clear" w:color="auto" w:fill="0284C7"/>
            <w:tcMar>
              <w:top w:w="80" w:type="dxa"/>
              <w:bottom w:w="80" w:type="dxa"/>
              <w:left w:w="100" w:type="dxa"/>
              <w:right w:w="100" w:type="dxa"/>
            </w:tcMar>
          </w:tcPr>
          <w:p>
            <w:pPr>
              <w:spacing w:before="50" w:after="50"/>
            </w:pPr>
            <w:r>
              <w:rPr>
                <w:b/>
                <w:color w:val="FFFFFF"/>
                <w:sz w:val="19"/>
              </w:rPr>
              <w:t xml:space="preserve">Role in EvacPulse AI</w:t>
            </w:r>
          </w:p>
        </w:tc>
      </w:tr>
      <w:tr>
        <w:tc>
          <w:tcPr>
            <w:tcW w:w="2200" w:type="dxa"/>
            <w:shd w:val="clear" w:color="auto" w:fill="F8FAFC"/>
            <w:tcMar>
              <w:top w:w="80" w:type="dxa"/>
              <w:bottom w:w="80" w:type="dxa"/>
              <w:left w:w="100" w:type="dxa"/>
              <w:right w:w="100" w:type="dxa"/>
            </w:tcMar>
          </w:tcPr>
          <w:p>
            <w:pPr>
              <w:spacing w:before="50" w:after="50"/>
            </w:pPr>
            <w:r>
              <w:rPr>
                <w:color w:val="1E293B"/>
                <w:sz w:val="19"/>
              </w:rPr>
              <w:t xml:space="preserve">1. Client UI Layer</w:t>
            </w:r>
          </w:p>
        </w:tc>
        <w:tc>
          <w:tcPr>
            <w:tcW w:w="2800" w:type="dxa"/>
            <w:shd w:val="clear" w:color="auto" w:fill="F8FAFC"/>
            <w:tcMar>
              <w:top w:w="80" w:type="dxa"/>
              <w:bottom w:w="80" w:type="dxa"/>
              <w:left w:w="100" w:type="dxa"/>
              <w:right w:w="100" w:type="dxa"/>
            </w:tcMar>
          </w:tcPr>
          <w:p>
            <w:pPr>
              <w:spacing w:before="50" w:after="50"/>
            </w:pPr>
            <w:r>
              <w:rPr>
                <w:color w:val="1E293B"/>
                <w:sz w:val="19"/>
              </w:rPr>
              <w:t xml:space="preserve">HTML5, Tailwind, Leaflet + Google Maps Tiles</w:t>
            </w:r>
          </w:p>
        </w:tc>
        <w:tc>
          <w:tcPr>
            <w:tcW w:w="4000" w:type="dxa"/>
            <w:shd w:val="clear" w:color="auto" w:fill="F8FAFC"/>
            <w:tcMar>
              <w:top w:w="80" w:type="dxa"/>
              <w:bottom w:w="80" w:type="dxa"/>
              <w:left w:w="100" w:type="dxa"/>
              <w:right w:w="100" w:type="dxa"/>
            </w:tcMar>
          </w:tcPr>
          <w:p>
            <w:pPr>
              <w:spacing w:before="50" w:after="50"/>
            </w:pPr>
            <w:r>
              <w:rPr>
                <w:color w:val="1E293B"/>
                <w:sz w:val="19"/>
              </w:rPr>
              <w:t xml:space="preserve">Renders 67-county dropdown, Planner/Hospital KPIs, in-map pins/routes, compliant Google Maps attribution, and voice controls.</w:t>
            </w:r>
          </w:p>
        </w:tc>
      </w:tr>
      <w:tr>
        <w:tc>
          <w:tcPr>
            <w:tcW w:w="2200" w:type="dxa"/>
            <w:shd w:val="clear" w:color="auto" w:fill="F8FAFC"/>
            <w:tcMar>
              <w:top w:w="80" w:type="dxa"/>
              <w:bottom w:w="80" w:type="dxa"/>
              <w:left w:w="100" w:type="dxa"/>
              <w:right w:w="100" w:type="dxa"/>
            </w:tcMar>
          </w:tcPr>
          <w:p>
            <w:pPr>
              <w:spacing w:before="50" w:after="50"/>
            </w:pPr>
            <w:r>
              <w:rPr>
                <w:color w:val="1E293B"/>
                <w:sz w:val="19"/>
              </w:rPr>
              <w:t xml:space="preserve">2. Cloud Runtime</w:t>
            </w:r>
          </w:p>
        </w:tc>
        <w:tc>
          <w:tcPr>
            <w:tcW w:w="2800" w:type="dxa"/>
            <w:shd w:val="clear" w:color="auto" w:fill="F8FAFC"/>
            <w:tcMar>
              <w:top w:w="80" w:type="dxa"/>
              <w:bottom w:w="80" w:type="dxa"/>
              <w:left w:w="100" w:type="dxa"/>
              <w:right w:w="100" w:type="dxa"/>
            </w:tcMar>
          </w:tcPr>
          <w:p>
            <w:pPr>
              <w:spacing w:before="50" w:after="50"/>
            </w:pPr>
            <w:r>
              <w:rPr>
                <w:color w:val="1E293B"/>
                <w:sz w:val="19"/>
              </w:rPr>
              <w:t xml:space="preserve">Google Cloud Run + Python FastAPI</w:t>
            </w:r>
          </w:p>
        </w:tc>
        <w:tc>
          <w:tcPr>
            <w:tcW w:w="4000" w:type="dxa"/>
            <w:shd w:val="clear" w:color="auto" w:fill="F8FAFC"/>
            <w:tcMar>
              <w:top w:w="80" w:type="dxa"/>
              <w:bottom w:w="80" w:type="dxa"/>
              <w:left w:w="100" w:type="dxa"/>
              <w:right w:w="100" w:type="dxa"/>
            </w:tcMar>
          </w:tcPr>
          <w:p>
            <w:pPr>
              <w:spacing w:before="50" w:after="50"/>
            </w:pPr>
            <w:r>
              <w:rPr>
                <w:color w:val="1E293B"/>
                <w:sz w:val="19"/>
              </w:rPr>
              <w:t xml:space="preserve">Hosts stateless container, async REST APIs, and parallel ThreadPoolExecutor.</w:t>
            </w:r>
          </w:p>
        </w:tc>
      </w:tr>
      <w:tr>
        <w:tc>
          <w:tcPr>
            <w:tcW w:w="2200" w:type="dxa"/>
            <w:shd w:val="clear" w:color="auto" w:fill="F8FAFC"/>
            <w:tcMar>
              <w:top w:w="80" w:type="dxa"/>
              <w:bottom w:w="80" w:type="dxa"/>
              <w:left w:w="100" w:type="dxa"/>
              <w:right w:w="100" w:type="dxa"/>
            </w:tcMar>
          </w:tcPr>
          <w:p>
            <w:pPr>
              <w:spacing w:before="50" w:after="50"/>
            </w:pPr>
            <w:r>
              <w:rPr>
                <w:color w:val="1E293B"/>
                <w:sz w:val="19"/>
              </w:rPr>
              <w:t xml:space="preserve">3. Agent Framework</w:t>
            </w:r>
          </w:p>
        </w:tc>
        <w:tc>
          <w:tcPr>
            <w:tcW w:w="2800" w:type="dxa"/>
            <w:shd w:val="clear" w:color="auto" w:fill="F8FAFC"/>
            <w:tcMar>
              <w:top w:w="80" w:type="dxa"/>
              <w:bottom w:w="80" w:type="dxa"/>
              <w:left w:w="100" w:type="dxa"/>
              <w:right w:w="100" w:type="dxa"/>
            </w:tcMar>
          </w:tcPr>
          <w:p>
            <w:pPr>
              <w:spacing w:before="50" w:after="50"/>
            </w:pPr>
            <w:r>
              <w:rPr>
                <w:color w:val="1E293B"/>
                <w:sz w:val="19"/>
              </w:rPr>
              <w:t xml:space="preserve">Google ADK (google-adk) + Vertex AI Gemini</w:t>
            </w:r>
          </w:p>
        </w:tc>
        <w:tc>
          <w:tcPr>
            <w:tcW w:w="4000" w:type="dxa"/>
            <w:shd w:val="clear" w:color="auto" w:fill="F8FAFC"/>
            <w:tcMar>
              <w:top w:w="80" w:type="dxa"/>
              <w:bottom w:w="80" w:type="dxa"/>
              <w:left w:w="100" w:type="dxa"/>
              <w:right w:w="100" w:type="dxa"/>
            </w:tcMar>
          </w:tcPr>
          <w:p>
            <w:pPr>
              <w:spacing w:before="50" w:after="50"/>
            </w:pPr>
            <w:r>
              <w:rPr>
                <w:color w:val="1E293B"/>
                <w:sz w:val="19"/>
              </w:rPr>
              <w:t xml:space="preserve">root_agent coordinates spatial tools and Managed MCP; delegates live building/route checks to maps_grounding_subagent (AgentTool).</w:t>
            </w:r>
          </w:p>
        </w:tc>
      </w:tr>
      <w:tr>
        <w:tc>
          <w:tcPr>
            <w:tcW w:w="2200" w:type="dxa"/>
            <w:shd w:val="clear" w:color="auto" w:fill="F8FAFC"/>
            <w:tcMar>
              <w:top w:w="80" w:type="dxa"/>
              <w:bottom w:w="80" w:type="dxa"/>
              <w:left w:w="100" w:type="dxa"/>
              <w:right w:w="100" w:type="dxa"/>
            </w:tcMar>
          </w:tcPr>
          <w:p>
            <w:pPr>
              <w:spacing w:before="50" w:after="50"/>
            </w:pPr>
            <w:r>
              <w:rPr>
                <w:color w:val="1E293B"/>
                <w:sz w:val="19"/>
              </w:rPr>
              <w:t xml:space="preserve">4. Live Differentiator</w:t>
            </w:r>
          </w:p>
        </w:tc>
        <w:tc>
          <w:tcPr>
            <w:tcW w:w="2800" w:type="dxa"/>
            <w:shd w:val="clear" w:color="auto" w:fill="F8FAFC"/>
            <w:tcMar>
              <w:top w:w="80" w:type="dxa"/>
              <w:bottom w:w="80" w:type="dxa"/>
              <w:left w:w="100" w:type="dxa"/>
              <w:right w:w="100" w:type="dxa"/>
            </w:tcMar>
          </w:tcPr>
          <w:p>
            <w:pPr>
              <w:spacing w:before="50" w:after="50"/>
            </w:pPr>
            <w:r>
              <w:rPr>
                <w:color w:val="1E293B"/>
                <w:sz w:val="19"/>
              </w:rPr>
              <w:t xml:space="preserve">Vertex AI Grounding with Google Maps</w:t>
            </w:r>
          </w:p>
        </w:tc>
        <w:tc>
          <w:tcPr>
            <w:tcW w:w="4000" w:type="dxa"/>
            <w:shd w:val="clear" w:color="auto" w:fill="F8FAFC"/>
            <w:tcMar>
              <w:top w:w="80" w:type="dxa"/>
              <w:bottom w:w="80" w:type="dxa"/>
              <w:left w:w="100" w:type="dxa"/>
              <w:right w:w="100" w:type="dxa"/>
            </w:tcMar>
          </w:tcPr>
          <w:p>
            <w:pPr>
              <w:spacing w:before="50" w:after="50"/>
            </w:pPr>
            <w:r>
              <w:rPr>
                <w:color w:val="1E293B"/>
                <w:sz w:val="19"/>
              </w:rPr>
              <w:t xml:space="preserve">Checks live building status, catches facility renamings, verifies wheelchair access, and computes real street drive times (places + routing).</w:t>
            </w:r>
          </w:p>
        </w:tc>
      </w:tr>
      <w:tr>
        <w:tc>
          <w:tcPr>
            <w:tcW w:w="2200" w:type="dxa"/>
            <w:shd w:val="clear" w:color="auto" w:fill="F8FAFC"/>
            <w:tcMar>
              <w:top w:w="80" w:type="dxa"/>
              <w:bottom w:w="80" w:type="dxa"/>
              <w:left w:w="100" w:type="dxa"/>
              <w:right w:w="100" w:type="dxa"/>
            </w:tcMar>
          </w:tcPr>
          <w:p>
            <w:pPr>
              <w:spacing w:before="50" w:after="50"/>
            </w:pPr>
            <w:r>
              <w:rPr>
                <w:color w:val="1E293B"/>
                <w:sz w:val="19"/>
              </w:rPr>
              <w:t xml:space="preserve">5. Managed MCP</w:t>
            </w:r>
          </w:p>
        </w:tc>
        <w:tc>
          <w:tcPr>
            <w:tcW w:w="2800" w:type="dxa"/>
            <w:shd w:val="clear" w:color="auto" w:fill="F8FAFC"/>
            <w:tcMar>
              <w:top w:w="80" w:type="dxa"/>
              <w:bottom w:w="80" w:type="dxa"/>
              <w:left w:w="100" w:type="dxa"/>
              <w:right w:w="100" w:type="dxa"/>
            </w:tcMar>
          </w:tcPr>
          <w:p>
            <w:pPr>
              <w:spacing w:before="50" w:after="50"/>
            </w:pPr>
            <w:r>
              <w:rPr>
                <w:color w:val="1E293B"/>
                <w:sz w:val="19"/>
              </w:rPr>
              <w:t xml:space="preserve">Google-Managed BigQuery MCP (McpToolset)</w:t>
            </w:r>
          </w:p>
        </w:tc>
        <w:tc>
          <w:tcPr>
            <w:tcW w:w="4000" w:type="dxa"/>
            <w:shd w:val="clear" w:color="auto" w:fill="F8FAFC"/>
            <w:tcMar>
              <w:top w:w="80" w:type="dxa"/>
              <w:bottom w:w="80" w:type="dxa"/>
              <w:left w:w="100" w:type="dxa"/>
              <w:right w:w="100" w:type="dxa"/>
            </w:tcMar>
          </w:tcPr>
          <w:p>
            <w:pPr>
              <w:spacing w:before="50" w:after="50"/>
            </w:pPr>
            <w:r>
              <w:rPr>
                <w:color w:val="1E293B"/>
                <w:sz w:val="19"/>
              </w:rPr>
              <w:t xml:space="preserve">Provides standardized Model Context Protocol access to BigQuery datasets and schemas.</w:t>
            </w:r>
          </w:p>
        </w:tc>
      </w:tr>
      <w:tr>
        <w:tc>
          <w:tcPr>
            <w:tcW w:w="2200" w:type="dxa"/>
            <w:shd w:val="clear" w:color="auto" w:fill="F8FAFC"/>
            <w:tcMar>
              <w:top w:w="80" w:type="dxa"/>
              <w:bottom w:w="80" w:type="dxa"/>
              <w:left w:w="100" w:type="dxa"/>
              <w:right w:w="100" w:type="dxa"/>
            </w:tcMar>
          </w:tcPr>
          <w:p>
            <w:pPr>
              <w:spacing w:before="50" w:after="50"/>
            </w:pPr>
            <w:r>
              <w:rPr>
                <w:color w:val="1E293B"/>
                <w:sz w:val="19"/>
              </w:rPr>
              <w:t xml:space="preserve">6. Spatial Data &amp; Write-Back</w:t>
            </w:r>
          </w:p>
        </w:tc>
        <w:tc>
          <w:tcPr>
            <w:tcW w:w="2800" w:type="dxa"/>
            <w:shd w:val="clear" w:color="auto" w:fill="F8FAFC"/>
            <w:tcMar>
              <w:top w:w="80" w:type="dxa"/>
              <w:bottom w:w="80" w:type="dxa"/>
              <w:left w:w="100" w:type="dxa"/>
              <w:right w:w="100" w:type="dxa"/>
            </w:tcMar>
          </w:tcPr>
          <w:p>
            <w:pPr>
              <w:spacing w:before="50" w:after="50"/>
            </w:pPr>
            <w:r>
              <w:rPr>
                <w:color w:val="1E293B"/>
                <w:sz w:val="19"/>
              </w:rPr>
              <w:t xml:space="preserve">Google BigQuery (ST_DISTANCE, ST_GEOGPOINT)</w:t>
            </w:r>
          </w:p>
        </w:tc>
        <w:tc>
          <w:tcPr>
            <w:tcW w:w="4000" w:type="dxa"/>
            <w:shd w:val="clear" w:color="auto" w:fill="F8FAFC"/>
            <w:tcMar>
              <w:top w:w="80" w:type="dxa"/>
              <w:bottom w:w="80" w:type="dxa"/>
              <w:left w:w="100" w:type="dxa"/>
              <w:right w:w="100" w:type="dxa"/>
            </w:tcMar>
          </w:tcPr>
          <w:p>
            <w:pPr>
              <w:spacing w:before="50" w:after="50"/>
            </w:pPr>
            <w:r>
              <w:rPr>
                <w:color w:val="1E293B"/>
                <w:sz w:val="19"/>
              </w:rPr>
              <w:t xml:space="preserve">Audits shelters, vulnerability_tracts, hazard_tracts, care_facilities, power_dependent_counties + writes inspections to shelter_assessments.</w:t>
            </w:r>
          </w:p>
        </w:tc>
      </w:tr>
      <w:tr>
        <w:tc>
          <w:tcPr>
            <w:tcW w:w="2200" w:type="dxa"/>
            <w:shd w:val="clear" w:color="auto" w:fill="F8FAFC"/>
            <w:tcMar>
              <w:top w:w="80" w:type="dxa"/>
              <w:bottom w:w="80" w:type="dxa"/>
              <w:left w:w="100" w:type="dxa"/>
              <w:right w:w="100" w:type="dxa"/>
            </w:tcMar>
          </w:tcPr>
          <w:p>
            <w:pPr>
              <w:spacing w:before="50" w:after="50"/>
            </w:pPr>
            <w:r>
              <w:rPr>
                <w:color w:val="1E293B"/>
                <w:sz w:val="19"/>
              </w:rPr>
              <w:t xml:space="preserve">7. Voice &amp; Speech AI</w:t>
            </w:r>
          </w:p>
        </w:tc>
        <w:tc>
          <w:tcPr>
            <w:tcW w:w="2800" w:type="dxa"/>
            <w:shd w:val="clear" w:color="auto" w:fill="F8FAFC"/>
            <w:tcMar>
              <w:top w:w="80" w:type="dxa"/>
              <w:bottom w:w="80" w:type="dxa"/>
              <w:left w:w="100" w:type="dxa"/>
              <w:right w:w="100" w:type="dxa"/>
            </w:tcMar>
          </w:tcPr>
          <w:p>
            <w:pPr>
              <w:spacing w:before="50" w:after="50"/>
            </w:pPr>
            <w:r>
              <w:rPr>
                <w:color w:val="1E293B"/>
                <w:sz w:val="19"/>
              </w:rPr>
              <w:t xml:space="preserve">Gemini 2.5 Flash Multimodal &amp; Native TTS</w:t>
            </w:r>
          </w:p>
        </w:tc>
        <w:tc>
          <w:tcPr>
            <w:tcW w:w="4000" w:type="dxa"/>
            <w:shd w:val="clear" w:color="auto" w:fill="F8FAFC"/>
            <w:tcMar>
              <w:top w:w="80" w:type="dxa"/>
              <w:bottom w:w="80" w:type="dxa"/>
              <w:left w:w="100" w:type="dxa"/>
              <w:right w:w="100" w:type="dxa"/>
            </w:tcMar>
          </w:tcPr>
          <w:p>
            <w:pPr>
              <w:spacing w:before="50" w:after="50"/>
            </w:pPr>
            <w:r>
              <w:rPr>
                <w:color w:val="1E293B"/>
                <w:sz w:val="19"/>
              </w:rPr>
              <w:t xml:space="preserve">Transcribes spoken questions and synthesizes natural Kore WAV voice readback only when voice input is used.</w:t>
            </w:r>
          </w:p>
        </w:tc>
      </w:tr>
    </w:tbl>
    <w:p>
      <w:pPr>
        <w:spacing w:before="220" w:after="80"/>
      </w:pPr>
      <w:r>
        <w:rPr>
          <w:b/>
          <w:color w:val="0369A1"/>
          <w:sz w:val="26"/>
        </w:rPr>
        <w:t>4. Bottom-Line Impact</w:t>
      </w:r>
    </w:p>
    <w:p>
      <w:pPr>
        <w:spacing w:before="50" w:after="50"/>
      </w:pPr>
      <w:r>
        <w:rPr>
          <w:color w:val="1E293B"/>
          <w:sz w:val="21"/>
        </w:rPr>
        <w:t xml:space="preserve">EvacPulse AI never confuses missing paperwork with missing buildings—it finds who needs help in BigQuery, verifies what is on the ground today with Google Maps, and empowers planners to close life-saving gaps weeks before a storm forms.</w:t>
      </w:r>
    </w:p>
    <w:sectPr>
      <w:pgSz w:w="12240" w:h="15840"/>
      <w:pgMar w:top="1080" w:right="1080" w:bottom="1080" w:left="1080"/>
    </w:sectPr>
  </w:body>
</w:document>
</file>