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Arial" w:hAnsi="Arial" w:cs="Arial"/>
          <w:sz w:val="48"/>
          <w:sz-cs w:val="48"/>
          <w:b/>
          <w:spacing w:val="0"/>
          <w:color w:val="0D121F"/>
        </w:rPr>
        <w:t xml:space="preserve">EvacPulse AI — 3-Minute Executive Pitch &amp; Demo Script (Challenge 4)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Live App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: [https://evacuation-readiness-agent-360663039447.us-central1.run.app](https://evacuation-readiness-agent-360663039447.us-central1.run.app)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Speaking Time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: ~2 minutes 15 seconds (~280 words, leaving 45s buffer for live clicks)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120"/>
      </w:pPr>
      <w:r>
        <w:rPr>
          <w:rFonts w:ascii="Arial" w:hAnsi="Arial" w:cs="Arial"/>
          <w:sz w:val="36"/>
          <w:sz-cs w:val="36"/>
          <w:b/>
          <w:spacing w:val="0"/>
          <w:color w:val="0C5490"/>
        </w:rPr>
        <w:t xml:space="preserve">1. Intro — The Human Stakes (0:00 – 0:25)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[ON SCREEN: Open EvacPulse AI Dashboard]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"When a hurricane hits, people with cars drive inland. Those who die are the ones who cannot: families without a vehicle, seniors in wheelchairs, and patients on electric oxygen or dialysis. After Hurricane Ian, the median age of fatalities was in the seventies.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&gt;</w:t>
      </w:r>
    </w:p>
    <w:p>
      <w:pPr>
        <w:spacing w:after="16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Those residents are findable months in advance in public federal data. We built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EvacPulse AI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: an adaptive readiness agent for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all 67 Florida counties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that helps emergency managers and hospitals fix shelter, transit, and power gaps in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August—weeks before a storm forms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."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120"/>
      </w:pPr>
      <w:r>
        <w:rPr>
          <w:rFonts w:ascii="Arial" w:hAnsi="Arial" w:cs="Arial"/>
          <w:sz w:val="36"/>
          <w:sz-cs w:val="36"/>
          <w:b/>
          <w:spacing w:val="0"/>
          <w:color w:val="0C5490"/>
        </w:rPr>
        <w:t xml:space="preserve">2. The Challenge — Four Federal Data Blind Spots (0:25 – 0:55)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[ON SCREEN: Point to the 4 Hero KPI Cards]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"Auditing the five federal datasets in BigQuery revealed four critical traps:</w:t>
      </w:r>
    </w:p>
    <w:p>
      <w:pPr>
        <w:spacing w:after="16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1. </w:t>
      </w:r>
      <w:r>
        <w:rPr>
          <w:rFonts w:ascii="Courier" w:hAnsi="Courier" w:cs="Courier"/>
          <w:sz w:val="26"/>
          <w:sz-cs w:val="26"/>
          <w:b/>
          <w:spacing w:val="0"/>
          <w:color w:val="0E0E0E"/>
        </w:rPr>
        <w:t xml:space="preserve">UNRECORDED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 does not mean </w:t>
      </w:r>
      <w:r>
        <w:rPr>
          <w:rFonts w:ascii="Courier" w:hAnsi="Courier" w:cs="Courier"/>
          <w:sz w:val="26"/>
          <w:sz-cs w:val="26"/>
          <w:b/>
          <w:spacing w:val="0"/>
          <w:color w:val="0E0E0E"/>
        </w:rPr>
        <w:t xml:space="preserve">NO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: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88%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of Florida's 2,793 FEMA shelters have </w:t>
      </w:r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>NULL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(unrecorded) wheelchair access. Treating </w:t>
      </w:r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>NULL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as 'No' discards 90% of capacity; treating it as 'Yes' endangers wheelchair users.</w:t>
      </w:r>
    </w:p>
    <w:p>
      <w:pPr>
        <w:spacing w:after="16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2.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Stale 2022 Registries &amp; Surge Risk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: Static files cannot tell if a building closed, changed its name, or sits in a coastal storm-surge (</w:t>
      </w:r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>SLOSH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) flood zone.</w:t>
      </w:r>
    </w:p>
    <w:p>
      <w:pPr>
        <w:spacing w:after="16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3.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Straight-Line vs. Street Drive Time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: BigQuery </w:t>
      </w:r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>ST_DISTANCE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measures straight lines, not real road travel times across bridges to stage buses 48 hours early.</w:t>
      </w:r>
    </w:p>
    <w:p>
      <w:pPr>
        <w:spacing w:after="16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4.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Reporting Bias &amp; Scale Gaps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: Our equity audit proves high-vulnerability tracts (</w:t>
      </w:r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>SVI &gt;= 0.75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) have higher rates of unrecorded shelter data, while HHS emPOWER tracks power-dependent patients only at the county level."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120"/>
      </w:pPr>
      <w:r>
        <w:rPr>
          <w:rFonts w:ascii="Arial" w:hAnsi="Arial" w:cs="Arial"/>
          <w:sz w:val="36"/>
          <w:sz-cs w:val="36"/>
          <w:b/>
          <w:spacing w:val="0"/>
          <w:color w:val="0C5490"/>
        </w:rPr>
        <w:t xml:space="preserve">3. Solution &amp; Live Demo Features (0:55 – 1:55)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[ON SCREEN: Switch County Dropdown → Tap Mic → Click Map Overlays → Click Verify on Google Maps]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"Here is how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EvacPulse AI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solves all four in a plain-English, non-technical workspace:</w:t>
      </w:r>
    </w:p>
    <w:p>
      <w:pPr>
        <w:spacing w:after="16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-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Dynamic 67-County &amp; Voice Briefing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: Switching the dropdown to any Florida county runs all four BigQuery spatial audits in parallel, silently updating the dashboard. Only when I tap the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Microphone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and ask a question by voice does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Gemini 2.5 Flash TTS (</w:t>
      </w:r>
      <w:r>
        <w:rPr>
          <w:rFonts w:ascii="Courier" w:hAnsi="Courier" w:cs="Courier"/>
          <w:sz w:val="26"/>
          <w:sz-cs w:val="26"/>
          <w:b/>
          <w:spacing w:val="0"/>
          <w:color w:val="0E0E0E"/>
        </w:rPr>
        <w:t xml:space="preserve">Kore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)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read back a natural, paraphrased briefing—with instant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Stop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and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Replay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controls.</w:t>
      </w:r>
    </w:p>
    <w:p>
      <w:pPr>
        <w:spacing w:after="16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-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Role-Adaptive Views &amp; In-Map Overlays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:</w:t>
      </w:r>
    </w:p>
    <w:p>
      <w:pPr>
        <w:spacing w:after="16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-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Local Emergency Planner View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overlays amber pins for unrecorded high-capacity shelters, red circles for storm-surge danger zones, and cyan dashed lines for 48-hour bus pickup routes from zero-car neighborhoods.</w:t>
      </w:r>
    </w:p>
    <w:p>
      <w:pPr>
        <w:spacing w:after="16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-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Hospital &amp; Nursing Home View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maps CMS nursing homes, county emPOWER electricity-dependent patients, and 10 km transfer routes to confirmed generator shelters.</w:t>
      </w:r>
    </w:p>
    <w:p>
      <w:pPr>
        <w:spacing w:after="16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-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Live Grounding with Google Maps &amp; Routing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: Clicking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'Verify on Google Maps'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on a facility like *Page Rehabilitation* calls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Vertex AI Grounding with Google Maps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live—catching that it renamed to *Calusa Harbour*, checking live wheelchair entrance details, and comparing real street drive time against straight-line distance.</w:t>
      </w:r>
    </w:p>
    <w:p>
      <w:pPr>
        <w:spacing w:after="16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-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Live BigQuery Write-Back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: Clicking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'Save Inspection Result'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writes verified wheelchair and generator status straight back to BigQuery's </w:t>
      </w:r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>shelter_assessments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table."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120"/>
      </w:pPr>
      <w:r>
        <w:rPr>
          <w:rFonts w:ascii="Arial" w:hAnsi="Arial" w:cs="Arial"/>
          <w:sz w:val="36"/>
          <w:sz-cs w:val="36"/>
          <w:b/>
          <w:spacing w:val="0"/>
          <w:color w:val="0C5490"/>
        </w:rPr>
        <w:t xml:space="preserve">4. Architecture Overview (1:55 – 2:20)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[ON SCREEN: Point to Grounded Agent Card &amp; Google Maps Attribution (</w:t>
      </w:r>
      <w:r>
        <w:rPr>
          <w:rFonts w:ascii="Courier" w:hAnsi="Courier" w:cs="Courier"/>
          <w:sz w:val="26"/>
          <w:sz-cs w:val="26"/>
          <w:b/>
          <w:spacing w:val="0"/>
          <w:color w:val="0E0E0E"/>
        </w:rPr>
        <w:t xml:space="preserve">translate="no"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)]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"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EvacPulse AI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is deployed on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Google Cloud Run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using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Google ADK (</w:t>
      </w:r>
      <w:r>
        <w:rPr>
          <w:rFonts w:ascii="Courier" w:hAnsi="Courier" w:cs="Courier"/>
          <w:sz w:val="26"/>
          <w:sz-cs w:val="26"/>
          <w:b/>
          <w:spacing w:val="0"/>
          <w:color w:val="0E0E0E"/>
        </w:rPr>
        <w:t xml:space="preserve">google-adk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)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:</w:t>
      </w:r>
    </w:p>
    <w:p>
      <w:pPr>
        <w:spacing w:after="16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- A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Gemini Root Agent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orchestrates four parallel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BigQuery Spatial SQL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tools (</w:t>
      </w:r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>ST_DISTANCE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>ST_GEOGPOINT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) and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Google's Managed BigQuery MCP Server (</w:t>
      </w:r>
      <w:r>
        <w:rPr>
          <w:rFonts w:ascii="Courier" w:hAnsi="Courier" w:cs="Courier"/>
          <w:sz w:val="26"/>
          <w:sz-cs w:val="26"/>
          <w:b/>
          <w:spacing w:val="0"/>
          <w:color w:val="0E0E0E"/>
        </w:rPr>
        <w:t xml:space="preserve">McpToolset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)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.</w:t>
      </w:r>
    </w:p>
    <w:p>
      <w:pPr>
        <w:spacing w:after="16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- A dedicated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Maps Grounding Sub-Agent (</w:t>
      </w:r>
      <w:r>
        <w:rPr>
          <w:rFonts w:ascii="Courier" w:hAnsi="Courier" w:cs="Courier"/>
          <w:sz w:val="26"/>
          <w:sz-cs w:val="26"/>
          <w:b/>
          <w:spacing w:val="0"/>
          <w:color w:val="0E0E0E"/>
        </w:rPr>
        <w:t xml:space="preserve">AgentTool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)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executes live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Grounding with Google Maps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(</w:t>
      </w:r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>places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+ </w:t>
      </w:r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>routing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) with compliant </w:t>
      </w:r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>Google Maps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attribution.</w:t>
      </w:r>
    </w:p>
    <w:p>
      <w:pPr>
        <w:spacing w:after="16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-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Gemini 2.5 Flash Multimodal Audio &amp; Native TTS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power voice search and natural spoken readback."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120"/>
      </w:pPr>
      <w:r>
        <w:rPr>
          <w:rFonts w:ascii="Arial" w:hAnsi="Arial" w:cs="Arial"/>
          <w:sz w:val="36"/>
          <w:sz-cs w:val="36"/>
          <w:b/>
          <w:spacing w:val="0"/>
          <w:color w:val="0C5490"/>
        </w:rPr>
        <w:t xml:space="preserve">5. Conclusion Statement (2:20 – 2:35)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[ON SCREEN: Full Map &amp; Action Checklist]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"Our BigQuery data is the memory;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Google Maps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is the eyes. </w:t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EvacPulse AI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never confuses missing paperwork with missing buildings—it finds who needs help, verifies what is on the ground today, and closes life-saving gaps before the storm hits. Thank you!"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