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MTMS — Roles Restructure Plan</w:t>
      </w:r>
    </w:p>
    <w:p>
      <w:pPr>
        <w:pBdr>
          <w:bottom w:val="single" w:color="1F4E79" w:sz="8" w:space="6"/>
        </w:pBdr>
        <w:spacing w:after="300"/>
        <w:jc w:val="center"/>
      </w:pPr>
      <w:r>
        <w:rPr>
          <w:i/>
          <w:iCs/>
          <w:color w:val="666666"/>
          <w:sz w:val="20"/>
          <w:szCs w:val="20"/>
        </w:rPr>
        <w:t xml:space="preserve">Medical Training Management System · July 18, 2026 · Planning document (no implementation yet)</w:t>
      </w:r>
    </w:p>
    <w:p>
      <w:pPr>
        <w:pStyle w:val="Heading1"/>
        <w:spacing w:after="140" w:before="300"/>
      </w:pPr>
      <w:r>
        <w:t xml:space="preserve">1. What this plan is</w:t>
      </w:r>
    </w:p>
    <w:p>
      <w:pPr>
        <w:spacing w:after="120"/>
      </w:pPr>
      <w:r>
        <w:t xml:space="preserve">MTMS is being restructured around a clearer chain of responsibility: countries contain training centers, training centers contain programs, and programs contain the trainees and trainers. Eleven roles share the work, from data entry up to system administration. This document explains, in plain language, what was agreed for every role and workflow. A separate technical document (ROLES_REBUILD_PLAN.md) guides the developers.</w:t>
      </w:r>
    </w:p>
    <w:p>
      <w:pPr>
        <w:spacing w:after="120"/>
      </w:pPr>
      <w:r>
        <w:t xml:space="preserve">Also included in this track: the public website’s “Evaluation Forms” section will be hidden from the landing page.</w:t>
      </w:r>
    </w:p>
    <w:p>
      <w:pPr>
        <w:pStyle w:val="Heading1"/>
        <w:spacing w:after="140" w:before="300"/>
      </w:pPr>
      <w:r>
        <w:t xml:space="preserve">2. The data foundation</w:t>
      </w:r>
    </w:p>
    <w:p>
      <w:pPr>
        <w:pStyle w:val="ListParagraph"/>
        <w:numPr>
          <w:ilvl w:val="0"/>
          <w:numId w:val="2"/>
        </w:numPr>
      </w:pPr>
      <w:r>
        <w:rPr>
          <w:b/>
          <w:bCs/>
        </w:rPr>
        <w:t xml:space="preserve">Countries: </w:t>
      </w:r>
      <w:r>
        <w:t xml:space="preserve">created by the DataSuperAdmin, each with its code (SA, IQ, EG...). Every country field in the system fills its code automatically from this list.</w:t>
      </w:r>
    </w:p>
    <w:p>
      <w:pPr>
        <w:pStyle w:val="ListParagraph"/>
        <w:numPr>
          <w:ilvl w:val="0"/>
          <w:numId w:val="2"/>
        </w:numPr>
      </w:pPr>
      <w:r>
        <w:rPr>
          <w:b/>
          <w:bCs/>
        </w:rPr>
        <w:t xml:space="preserve">Training Centers: </w:t>
      </w:r>
      <w:r>
        <w:t xml:space="preserve">created by the DataSuperAdmin. Each has a name, DIO, country and code, city, email, address, date added, accreditation number, and an accreditation status.</w:t>
      </w:r>
    </w:p>
    <w:p>
      <w:pPr>
        <w:pStyle w:val="ListParagraph"/>
        <w:numPr>
          <w:ilvl w:val="0"/>
          <w:numId w:val="2"/>
        </w:numPr>
      </w:pPr>
      <w:r>
        <w:rPr>
          <w:b/>
          <w:bCs/>
        </w:rPr>
        <w:t xml:space="preserve">Programs: </w:t>
      </w:r>
      <w:r>
        <w:t xml:space="preserve">added by the Data Enterer inside a training center’s card. Each has a name, accreditation type (Partly = 2 years, Fully = 6 years), accreditation number and dates, yearly trainee capacity, a Program Director, and a training start date. A center can hold at most 70 programs.</w:t>
      </w:r>
    </w:p>
    <w:p>
      <w:pPr>
        <w:pStyle w:val="ListParagraph"/>
        <w:numPr>
          <w:ilvl w:val="0"/>
          <w:numId w:val="2"/>
        </w:numPr>
      </w:pPr>
      <w:r>
        <w:rPr>
          <w:b/>
          <w:bCs/>
        </w:rPr>
        <w:t xml:space="preserve">Specialties: </w:t>
      </w:r>
      <w:r>
        <w:t xml:space="preserve">the list is managed by the DataSuperAdmin; secretaries and data enterers are appointed per specialty.</w:t>
      </w:r>
    </w:p>
    <w:p>
      <w:pPr>
        <w:pStyle w:val="Heading2"/>
        <w:spacing w:after="100" w:before="220"/>
      </w:pPr>
      <w:r>
        <w:t xml:space="preserve">Accreditation status colors</w:t>
      </w:r>
    </w:p>
    <w:p>
      <w:pPr>
        <w:spacing w:after="120"/>
      </w:pPr>
      <w:r>
        <w:t xml:space="preserve">The status is computed automatically from the accreditation grant date and its period: Green = valid, Yellow = less than one year remaining, Red = expired. Black (سحب الاعتماد / accreditation withdrawn) is set manually and overrides the others. The same logic applies to training centers and programs.</w:t>
      </w:r>
    </w:p>
    <w:p>
      <w:pPr>
        <w:pStyle w:val="Heading1"/>
        <w:spacing w:after="140" w:before="300"/>
      </w:pPr>
      <w:r>
        <w:t xml:space="preserve">3. The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rPr>
          <w:tblHeader/>
        </w:trPr>
        <w:tc>
          <w:tcPr>
            <w:tcW w:type="dxa" w:w="1900"/>
            <w:shd w:fill="1F4E79" w:val="clear"/>
            <w:tcMar>
              <w:top w:type="dxa" w:w="80"/>
              <w:left w:type="dxa" w:w="120"/>
              <w:bottom w:type="dxa" w:w="80"/>
              <w:right w:type="dxa" w:w="120"/>
            </w:tcMar>
          </w:tcPr>
          <w:p>
            <w:r>
              <w:rPr>
                <w:b/>
                <w:bCs/>
                <w:color w:val="FFFFFF"/>
                <w:sz w:val="20"/>
                <w:szCs w:val="20"/>
              </w:rPr>
              <w:t xml:space="preserve">Role</w:t>
            </w:r>
          </w:p>
        </w:tc>
        <w:tc>
          <w:tcPr>
            <w:tcW w:type="dxa" w:w="2500"/>
            <w:shd w:fill="1F4E79" w:val="clear"/>
            <w:tcMar>
              <w:top w:type="dxa" w:w="80"/>
              <w:left w:type="dxa" w:w="120"/>
              <w:bottom w:type="dxa" w:w="80"/>
              <w:right w:type="dxa" w:w="120"/>
            </w:tcMar>
          </w:tcPr>
          <w:p>
            <w:r>
              <w:rPr>
                <w:b/>
                <w:bCs/>
                <w:color w:val="FFFFFF"/>
                <w:sz w:val="20"/>
                <w:szCs w:val="20"/>
              </w:rPr>
              <w:t xml:space="preserve">Scope</w:t>
            </w:r>
          </w:p>
        </w:tc>
        <w:tc>
          <w:tcPr>
            <w:tcW w:type="dxa" w:w="4626"/>
            <w:shd w:fill="1F4E79" w:val="clear"/>
            <w:tcMar>
              <w:top w:type="dxa" w:w="80"/>
              <w:left w:type="dxa" w:w="120"/>
              <w:bottom w:type="dxa" w:w="80"/>
              <w:right w:type="dxa" w:w="120"/>
            </w:tcMar>
          </w:tcPr>
          <w:p>
            <w:r>
              <w:rPr>
                <w:b/>
                <w:bCs/>
                <w:color w:val="FFFFFF"/>
                <w:sz w:val="20"/>
                <w:szCs w:val="20"/>
              </w:rPr>
              <w:t xml:space="preserve">What they do</w:t>
            </w:r>
          </w:p>
        </w:tc>
      </w:tr>
      <w:tr>
        <w:tc>
          <w:tcPr>
            <w:tcW w:type="dxa" w:w="1900"/>
            <w:tcMar>
              <w:top w:type="dxa" w:w="80"/>
              <w:left w:type="dxa" w:w="120"/>
              <w:bottom w:type="dxa" w:w="80"/>
              <w:right w:type="dxa" w:w="120"/>
            </w:tcMar>
          </w:tcPr>
          <w:p>
            <w:r>
              <w:rPr>
                <w:b/>
                <w:bCs/>
                <w:sz w:val="20"/>
                <w:szCs w:val="20"/>
              </w:rPr>
              <w:t xml:space="preserve">Trainee</w:t>
            </w:r>
          </w:p>
        </w:tc>
        <w:tc>
          <w:tcPr>
            <w:tcW w:type="dxa" w:w="2500"/>
            <w:tcMar>
              <w:top w:type="dxa" w:w="80"/>
              <w:left w:type="dxa" w:w="120"/>
              <w:bottom w:type="dxa" w:w="80"/>
              <w:right w:type="dxa" w:w="120"/>
            </w:tcMar>
          </w:tcPr>
          <w:p>
            <w:r>
              <w:rPr>
                <w:b w:val="false"/>
                <w:bCs w:val="false"/>
                <w:sz w:val="20"/>
                <w:szCs w:val="20"/>
              </w:rPr>
              <w:t xml:space="preserve">Each trainee, own data only</w:t>
            </w:r>
          </w:p>
        </w:tc>
        <w:tc>
          <w:tcPr>
            <w:tcW w:type="dxa" w:w="4626"/>
            <w:tcMar>
              <w:top w:type="dxa" w:w="80"/>
              <w:left w:type="dxa" w:w="120"/>
              <w:bottom w:type="dxa" w:w="80"/>
              <w:right w:type="dxa" w:w="120"/>
            </w:tcMar>
          </w:tcPr>
          <w:p>
            <w:r>
              <w:rPr>
                <w:b w:val="false"/>
                <w:bCs w:val="false"/>
                <w:sz w:val="20"/>
                <w:szCs w:val="20"/>
              </w:rPr>
              <w:t xml:space="preserve">Timeline, submits weekly/monthly/final reports, Log Book of procedures, portfolio, certificates &amp; courses, reads announcements, own research.</w:t>
            </w:r>
          </w:p>
        </w:tc>
      </w:tr>
      <w:tr>
        <w:tc>
          <w:tcPr>
            <w:tcW w:type="dxa" w:w="1900"/>
            <w:shd w:fill="DCE6F1" w:val="clear"/>
            <w:tcMar>
              <w:top w:type="dxa" w:w="80"/>
              <w:left w:type="dxa" w:w="120"/>
              <w:bottom w:type="dxa" w:w="80"/>
              <w:right w:type="dxa" w:w="120"/>
            </w:tcMar>
          </w:tcPr>
          <w:p>
            <w:r>
              <w:rPr>
                <w:b/>
                <w:bCs/>
                <w:sz w:val="20"/>
                <w:szCs w:val="20"/>
              </w:rPr>
              <w:t xml:space="preserve">Trainer</w:t>
            </w:r>
          </w:p>
        </w:tc>
        <w:tc>
          <w:tcPr>
            <w:tcW w:type="dxa" w:w="2500"/>
            <w:shd w:fill="DCE6F1" w:val="clear"/>
            <w:tcMar>
              <w:top w:type="dxa" w:w="80"/>
              <w:left w:type="dxa" w:w="120"/>
              <w:bottom w:type="dxa" w:w="80"/>
              <w:right w:type="dxa" w:w="120"/>
            </w:tcMar>
          </w:tcPr>
          <w:p>
            <w:r>
              <w:rPr>
                <w:b w:val="false"/>
                <w:bCs w:val="false"/>
                <w:sz w:val="20"/>
                <w:szCs w:val="20"/>
              </w:rPr>
              <w:t xml:space="preserve">His own trainees, in one program</w:t>
            </w:r>
          </w:p>
        </w:tc>
        <w:tc>
          <w:tcPr>
            <w:tcW w:type="dxa" w:w="4626"/>
            <w:shd w:fill="DCE6F1" w:val="clear"/>
            <w:tcMar>
              <w:top w:type="dxa" w:w="80"/>
              <w:left w:type="dxa" w:w="120"/>
              <w:bottom w:type="dxa" w:w="80"/>
              <w:right w:type="dxa" w:w="120"/>
            </w:tcMar>
          </w:tcPr>
          <w:p>
            <w:r>
              <w:rPr>
                <w:b w:val="false"/>
                <w:bCs w:val="false"/>
                <w:sz w:val="20"/>
                <w:szCs w:val="20"/>
              </w:rPr>
              <w:t xml:space="preserve">Views his trainees, grades weekly &amp; monthly reports, fills evaluation forms (CBD, DOPS, Mini-CEX, MSF 360...), signs off Log Book entries, manages research where he is the research trainer, reads announcements.</w:t>
            </w:r>
          </w:p>
        </w:tc>
      </w:tr>
      <w:tr>
        <w:tc>
          <w:tcPr>
            <w:tcW w:type="dxa" w:w="1900"/>
            <w:tcMar>
              <w:top w:type="dxa" w:w="80"/>
              <w:left w:type="dxa" w:w="120"/>
              <w:bottom w:type="dxa" w:w="80"/>
              <w:right w:type="dxa" w:w="120"/>
            </w:tcMar>
          </w:tcPr>
          <w:p>
            <w:r>
              <w:rPr>
                <w:b/>
                <w:bCs/>
                <w:sz w:val="20"/>
                <w:szCs w:val="20"/>
              </w:rPr>
              <w:t xml:space="preserve">Program Director</w:t>
            </w:r>
          </w:p>
        </w:tc>
        <w:tc>
          <w:tcPr>
            <w:tcW w:type="dxa" w:w="2500"/>
            <w:tcMar>
              <w:top w:type="dxa" w:w="80"/>
              <w:left w:type="dxa" w:w="120"/>
              <w:bottom w:type="dxa" w:w="80"/>
              <w:right w:type="dxa" w:w="120"/>
            </w:tcMar>
          </w:tcPr>
          <w:p>
            <w:r>
              <w:rPr>
                <w:b w:val="false"/>
                <w:bCs w:val="false"/>
                <w:sz w:val="20"/>
                <w:szCs w:val="20"/>
              </w:rPr>
              <w:t xml:space="preserve">Exactly one program</w:t>
            </w:r>
          </w:p>
        </w:tc>
        <w:tc>
          <w:tcPr>
            <w:tcW w:type="dxa" w:w="4626"/>
            <w:tcMar>
              <w:top w:type="dxa" w:w="80"/>
              <w:left w:type="dxa" w:w="120"/>
              <w:bottom w:type="dxa" w:w="80"/>
              <w:right w:type="dxa" w:w="120"/>
            </w:tcMar>
          </w:tcPr>
          <w:p>
            <w:r>
              <w:rPr>
                <w:b w:val="false"/>
                <w:bCs w:val="false"/>
                <w:sz w:val="20"/>
                <w:szCs w:val="20"/>
              </w:rPr>
              <w:t xml:space="preserve">Views program, trainers (and each trainer’s trainees) and trainees (portfolio, certificates, courses, research). Posts announcements. Grades FINAL reports only. Evaluates trainees and trainers (trainers get their own form). Manages research where he is research trainer.</w:t>
            </w:r>
          </w:p>
        </w:tc>
      </w:tr>
      <w:tr>
        <w:tc>
          <w:tcPr>
            <w:tcW w:type="dxa" w:w="1900"/>
            <w:shd w:fill="DCE6F1" w:val="clear"/>
            <w:tcMar>
              <w:top w:type="dxa" w:w="80"/>
              <w:left w:type="dxa" w:w="120"/>
              <w:bottom w:type="dxa" w:w="80"/>
              <w:right w:type="dxa" w:w="120"/>
            </w:tcMar>
          </w:tcPr>
          <w:p>
            <w:r>
              <w:rPr>
                <w:b/>
                <w:bCs/>
                <w:sz w:val="20"/>
                <w:szCs w:val="20"/>
              </w:rPr>
              <w:t xml:space="preserve">Local Secretary (Trainees &amp; Trainers Secretary)</w:t>
            </w:r>
          </w:p>
        </w:tc>
        <w:tc>
          <w:tcPr>
            <w:tcW w:type="dxa" w:w="2500"/>
            <w:shd w:fill="DCE6F1" w:val="clear"/>
            <w:tcMar>
              <w:top w:type="dxa" w:w="80"/>
              <w:left w:type="dxa" w:w="120"/>
              <w:bottom w:type="dxa" w:w="80"/>
              <w:right w:type="dxa" w:w="120"/>
            </w:tcMar>
          </w:tcPr>
          <w:p>
            <w:r>
              <w:rPr>
                <w:b w:val="false"/>
                <w:bCs w:val="false"/>
                <w:sz w:val="20"/>
                <w:szCs w:val="20"/>
              </w:rPr>
              <w:t xml:space="preserve">One per specialty per country</w:t>
            </w:r>
          </w:p>
        </w:tc>
        <w:tc>
          <w:tcPr>
            <w:tcW w:type="dxa" w:w="4626"/>
            <w:shd w:fill="DCE6F1" w:val="clear"/>
            <w:tcMar>
              <w:top w:type="dxa" w:w="80"/>
              <w:left w:type="dxa" w:w="120"/>
              <w:bottom w:type="dxa" w:w="80"/>
              <w:right w:type="dxa" w:w="120"/>
            </w:tcMar>
          </w:tcPr>
          <w:p>
            <w:r>
              <w:rPr>
                <w:b w:val="false"/>
                <w:bCs w:val="false"/>
                <w:sz w:val="20"/>
                <w:szCs w:val="20"/>
              </w:rPr>
              <w:t xml:space="preserve">Adds trainees and trainers and assigns them to programs. Editing an existing person requires ODIO approval through an in-app request. Blocked from exceeding program capacity.</w:t>
            </w:r>
          </w:p>
        </w:tc>
      </w:tr>
      <w:tr>
        <w:tc>
          <w:tcPr>
            <w:tcW w:type="dxa" w:w="1900"/>
            <w:tcMar>
              <w:top w:type="dxa" w:w="80"/>
              <w:left w:type="dxa" w:w="120"/>
              <w:bottom w:type="dxa" w:w="80"/>
              <w:right w:type="dxa" w:w="120"/>
            </w:tcMar>
          </w:tcPr>
          <w:p>
            <w:r>
              <w:rPr>
                <w:b/>
                <w:bCs/>
                <w:sz w:val="20"/>
                <w:szCs w:val="20"/>
              </w:rPr>
              <w:t xml:space="preserve">Data Enterer</w:t>
            </w:r>
          </w:p>
        </w:tc>
        <w:tc>
          <w:tcPr>
            <w:tcW w:type="dxa" w:w="2500"/>
            <w:tcMar>
              <w:top w:type="dxa" w:w="80"/>
              <w:left w:type="dxa" w:w="120"/>
              <w:bottom w:type="dxa" w:w="80"/>
              <w:right w:type="dxa" w:w="120"/>
            </w:tcMar>
          </w:tcPr>
          <w:p>
            <w:r>
              <w:rPr>
                <w:b w:val="false"/>
                <w:bCs w:val="false"/>
                <w:sz w:val="20"/>
                <w:szCs w:val="20"/>
              </w:rPr>
              <w:t xml:space="preserve">One per specialty, all countries</w:t>
            </w:r>
          </w:p>
        </w:tc>
        <w:tc>
          <w:tcPr>
            <w:tcW w:type="dxa" w:w="4626"/>
            <w:tcMar>
              <w:top w:type="dxa" w:w="80"/>
              <w:left w:type="dxa" w:w="120"/>
              <w:bottom w:type="dxa" w:w="80"/>
              <w:right w:type="dxa" w:w="120"/>
            </w:tcMar>
          </w:tcPr>
          <w:p>
            <w:r>
              <w:rPr>
                <w:b w:val="false"/>
                <w:bCs w:val="false"/>
                <w:sz w:val="20"/>
                <w:szCs w:val="20"/>
              </w:rPr>
              <w:t xml:space="preserve">Opens any training center’s card and adds programs for his specialty only. Cannot create or edit training centers.</w:t>
            </w:r>
          </w:p>
        </w:tc>
      </w:tr>
      <w:tr>
        <w:tc>
          <w:tcPr>
            <w:tcW w:type="dxa" w:w="1900"/>
            <w:shd w:fill="DCE6F1" w:val="clear"/>
            <w:tcMar>
              <w:top w:type="dxa" w:w="80"/>
              <w:left w:type="dxa" w:w="120"/>
              <w:bottom w:type="dxa" w:w="80"/>
              <w:right w:type="dxa" w:w="120"/>
            </w:tcMar>
          </w:tcPr>
          <w:p>
            <w:r>
              <w:rPr>
                <w:b/>
                <w:bCs/>
                <w:sz w:val="20"/>
                <w:szCs w:val="20"/>
              </w:rPr>
              <w:t xml:space="preserve">DIO</w:t>
            </w:r>
          </w:p>
        </w:tc>
        <w:tc>
          <w:tcPr>
            <w:tcW w:type="dxa" w:w="2500"/>
            <w:shd w:fill="DCE6F1" w:val="clear"/>
            <w:tcMar>
              <w:top w:type="dxa" w:w="80"/>
              <w:left w:type="dxa" w:w="120"/>
              <w:bottom w:type="dxa" w:w="80"/>
              <w:right w:type="dxa" w:w="120"/>
            </w:tcMar>
          </w:tcPr>
          <w:p>
            <w:r>
              <w:rPr>
                <w:b w:val="false"/>
                <w:bCs w:val="false"/>
                <w:sz w:val="20"/>
                <w:szCs w:val="20"/>
              </w:rPr>
              <w:t xml:space="preserve">Selected centers in his country (view-only)</w:t>
            </w:r>
          </w:p>
        </w:tc>
        <w:tc>
          <w:tcPr>
            <w:tcW w:type="dxa" w:w="4626"/>
            <w:shd w:fill="DCE6F1" w:val="clear"/>
            <w:tcMar>
              <w:top w:type="dxa" w:w="80"/>
              <w:left w:type="dxa" w:w="120"/>
              <w:bottom w:type="dxa" w:w="80"/>
              <w:right w:type="dxa" w:w="120"/>
            </w:tcMar>
          </w:tcPr>
          <w:p>
            <w:r>
              <w:rPr>
                <w:b w:val="false"/>
                <w:bCs w:val="false"/>
                <w:sz w:val="20"/>
                <w:szCs w:val="20"/>
              </w:rPr>
              <w:t xml:space="preserve">Dashboard of his centers, programs and people counts; views centers, programs, PDs, trainees, trainers. One exception: can issue and view certificates.</w:t>
            </w:r>
          </w:p>
        </w:tc>
      </w:tr>
      <w:tr>
        <w:tc>
          <w:tcPr>
            <w:tcW w:type="dxa" w:w="1900"/>
            <w:tcMar>
              <w:top w:type="dxa" w:w="80"/>
              <w:left w:type="dxa" w:w="120"/>
              <w:bottom w:type="dxa" w:w="80"/>
              <w:right w:type="dxa" w:w="120"/>
            </w:tcMar>
          </w:tcPr>
          <w:p>
            <w:r>
              <w:rPr>
                <w:b/>
                <w:bCs/>
                <w:sz w:val="20"/>
                <w:szCs w:val="20"/>
              </w:rPr>
              <w:t xml:space="preserve">ODIO</w:t>
            </w:r>
          </w:p>
        </w:tc>
        <w:tc>
          <w:tcPr>
            <w:tcW w:type="dxa" w:w="2500"/>
            <w:tcMar>
              <w:top w:type="dxa" w:w="80"/>
              <w:left w:type="dxa" w:w="120"/>
              <w:bottom w:type="dxa" w:w="80"/>
              <w:right w:type="dxa" w:w="120"/>
            </w:tcMar>
          </w:tcPr>
          <w:p>
            <w:r>
              <w:rPr>
                <w:b w:val="false"/>
                <w:bCs w:val="false"/>
                <w:sz w:val="20"/>
                <w:szCs w:val="20"/>
              </w:rPr>
              <w:t xml:space="preserve">Same centers as his DIO</w:t>
            </w:r>
          </w:p>
        </w:tc>
        <w:tc>
          <w:tcPr>
            <w:tcW w:type="dxa" w:w="4626"/>
            <w:tcMar>
              <w:top w:type="dxa" w:w="80"/>
              <w:left w:type="dxa" w:w="120"/>
              <w:bottom w:type="dxa" w:w="80"/>
              <w:right w:type="dxa" w:w="120"/>
            </w:tcMar>
          </w:tcPr>
          <w:p>
            <w:r>
              <w:rPr>
                <w:b w:val="false"/>
                <w:bCs w:val="false"/>
                <w:sz w:val="20"/>
                <w:szCs w:val="20"/>
              </w:rPr>
              <w:t xml:space="preserve">Same pages as the DIO, plus: edits (not adds/deletes) trainees and trainers, approves the Local Secretary’s edit requests, issues certificates.</w:t>
            </w:r>
          </w:p>
        </w:tc>
      </w:tr>
      <w:tr>
        <w:tc>
          <w:tcPr>
            <w:tcW w:type="dxa" w:w="1900"/>
            <w:shd w:fill="DCE6F1" w:val="clear"/>
            <w:tcMar>
              <w:top w:type="dxa" w:w="80"/>
              <w:left w:type="dxa" w:w="120"/>
              <w:bottom w:type="dxa" w:w="80"/>
              <w:right w:type="dxa" w:w="120"/>
            </w:tcMar>
          </w:tcPr>
          <w:p>
            <w:r>
              <w:rPr>
                <w:b/>
                <w:bCs/>
                <w:sz w:val="20"/>
                <w:szCs w:val="20"/>
              </w:rPr>
              <w:t xml:space="preserve">General Rapporteur</w:t>
            </w:r>
          </w:p>
        </w:tc>
        <w:tc>
          <w:tcPr>
            <w:tcW w:type="dxa" w:w="2500"/>
            <w:shd w:fill="DCE6F1" w:val="clear"/>
            <w:tcMar>
              <w:top w:type="dxa" w:w="80"/>
              <w:left w:type="dxa" w:w="120"/>
              <w:bottom w:type="dxa" w:w="80"/>
              <w:right w:type="dxa" w:w="120"/>
            </w:tcMar>
          </w:tcPr>
          <w:p>
            <w:r>
              <w:rPr>
                <w:b w:val="false"/>
                <w:bCs w:val="false"/>
                <w:sz w:val="20"/>
                <w:szCs w:val="20"/>
              </w:rPr>
              <w:t xml:space="preserve">Everything, view-only (shared with assistant)</w:t>
            </w:r>
          </w:p>
        </w:tc>
        <w:tc>
          <w:tcPr>
            <w:tcW w:type="dxa" w:w="4626"/>
            <w:shd w:fill="DCE6F1" w:val="clear"/>
            <w:tcMar>
              <w:top w:type="dxa" w:w="80"/>
              <w:left w:type="dxa" w:w="120"/>
              <w:bottom w:type="dxa" w:w="80"/>
              <w:right w:type="dxa" w:w="120"/>
            </w:tcMar>
          </w:tcPr>
          <w:p>
            <w:r>
              <w:rPr>
                <w:b w:val="false"/>
                <w:bCs w:val="false"/>
                <w:sz w:val="20"/>
                <w:szCs w:val="20"/>
              </w:rPr>
              <w:t xml:space="preserve">Dashboard of all users (except the two admin accounts), centers, programs, specialties with country/city/specialty filters; view-only pages for users, centers, programs; inbox of analysis reports.</w:t>
            </w:r>
          </w:p>
        </w:tc>
      </w:tr>
      <w:tr>
        <w:tc>
          <w:tcPr>
            <w:tcW w:type="dxa" w:w="1900"/>
            <w:tcMar>
              <w:top w:type="dxa" w:w="80"/>
              <w:left w:type="dxa" w:w="120"/>
              <w:bottom w:type="dxa" w:w="80"/>
              <w:right w:type="dxa" w:w="120"/>
            </w:tcMar>
          </w:tcPr>
          <w:p>
            <w:r>
              <w:rPr>
                <w:b/>
                <w:bCs/>
                <w:sz w:val="20"/>
                <w:szCs w:val="20"/>
              </w:rPr>
              <w:t xml:space="preserve">DataSuperAdmin</w:t>
            </w:r>
          </w:p>
        </w:tc>
        <w:tc>
          <w:tcPr>
            <w:tcW w:type="dxa" w:w="2500"/>
            <w:tcMar>
              <w:top w:type="dxa" w:w="80"/>
              <w:left w:type="dxa" w:w="120"/>
              <w:bottom w:type="dxa" w:w="80"/>
              <w:right w:type="dxa" w:w="120"/>
            </w:tcMar>
          </w:tcPr>
          <w:p>
            <w:r>
              <w:rPr>
                <w:b w:val="false"/>
                <w:bCs w:val="false"/>
                <w:sz w:val="20"/>
                <w:szCs w:val="20"/>
              </w:rPr>
              <w:t xml:space="preserve">Global registry admin</w:t>
            </w:r>
          </w:p>
        </w:tc>
        <w:tc>
          <w:tcPr>
            <w:tcW w:type="dxa" w:w="4626"/>
            <w:tcMar>
              <w:top w:type="dxa" w:w="80"/>
              <w:left w:type="dxa" w:w="120"/>
              <w:bottom w:type="dxa" w:w="80"/>
              <w:right w:type="dxa" w:w="120"/>
            </w:tcMar>
          </w:tcPr>
          <w:p>
            <w:r>
              <w:rPr>
                <w:b w:val="false"/>
                <w:bCs w:val="false"/>
                <w:sz w:val="20"/>
                <w:szCs w:val="20"/>
              </w:rPr>
              <w:t xml:space="preserve">Creates countries, specialties, training centers; creates DIO + ODIO pairs and assigns their centers; creates PDs, secretaries and data enterers; views/edits users when needed; downloads weekly/monthly/yearly data snapshots and uploads PDF/PPTX analysis reports to the General Rapporteur; full-data dashboard.</w:t>
            </w:r>
          </w:p>
        </w:tc>
      </w:tr>
      <w:tr>
        <w:tc>
          <w:tcPr>
            <w:tcW w:type="dxa" w:w="1900"/>
            <w:shd w:fill="DCE6F1" w:val="clear"/>
            <w:tcMar>
              <w:top w:type="dxa" w:w="80"/>
              <w:left w:type="dxa" w:w="120"/>
              <w:bottom w:type="dxa" w:w="80"/>
              <w:right w:type="dxa" w:w="120"/>
            </w:tcMar>
          </w:tcPr>
          <w:p>
            <w:r>
              <w:rPr>
                <w:b/>
                <w:bCs/>
                <w:sz w:val="20"/>
                <w:szCs w:val="20"/>
              </w:rPr>
              <w:t xml:space="preserve">DevSuperAdmin</w:t>
            </w:r>
          </w:p>
        </w:tc>
        <w:tc>
          <w:tcPr>
            <w:tcW w:type="dxa" w:w="2500"/>
            <w:shd w:fill="DCE6F1" w:val="clear"/>
            <w:tcMar>
              <w:top w:type="dxa" w:w="80"/>
              <w:left w:type="dxa" w:w="120"/>
              <w:bottom w:type="dxa" w:w="80"/>
              <w:right w:type="dxa" w:w="120"/>
            </w:tcMar>
          </w:tcPr>
          <w:p>
            <w:r>
              <w:rPr>
                <w:b w:val="false"/>
                <w:bCs w:val="false"/>
                <w:sz w:val="20"/>
                <w:szCs w:val="20"/>
              </w:rPr>
              <w:t xml:space="preserve">Full access (system owner)</w:t>
            </w:r>
          </w:p>
        </w:tc>
        <w:tc>
          <w:tcPr>
            <w:tcW w:type="dxa" w:w="4626"/>
            <w:shd w:fill="DCE6F1" w:val="clear"/>
            <w:tcMar>
              <w:top w:type="dxa" w:w="80"/>
              <w:left w:type="dxa" w:w="120"/>
              <w:bottom w:type="dxa" w:w="80"/>
              <w:right w:type="dxa" w:w="120"/>
            </w:tcMar>
          </w:tcPr>
          <w:p>
            <w:r>
              <w:rPr>
                <w:b w:val="false"/>
                <w:bCs w:val="false"/>
                <w:sz w:val="20"/>
                <w:szCs w:val="20"/>
              </w:rPr>
              <w:t xml:space="preserve">Dashboard of everything, System page (country cards with each country’s centers and users), audit log, full user control including creating the DataSuperAdmin and General Rapporteur accounts.</w:t>
            </w:r>
          </w:p>
        </w:tc>
      </w:tr>
    </w:tbl>
    <w:p>
      <w:pPr>
        <w:spacing w:after="120" w:before="160"/>
      </w:pPr>
      <w:r>
        <w:rPr>
          <w:i/>
          <w:iCs/>
          <w:sz w:val="20"/>
          <w:szCs w:val="20"/>
        </w:rPr>
        <w:t xml:space="preserve">The existing President and ASG.1/ASG.2 (consultant memo) roles, and the whole Basic-training portal, stay exactly as they are today.</w:t>
      </w:r>
    </w:p>
    <w:p>
      <w:pPr>
        <w:pStyle w:val="Heading1"/>
        <w:spacing w:after="140" w:before="300"/>
      </w:pPr>
      <w:r>
        <w:t xml:space="preserve">4. Key workflows</w:t>
      </w:r>
    </w:p>
    <w:p>
      <w:pPr>
        <w:pStyle w:val="Heading2"/>
        <w:spacing w:after="100" w:before="220"/>
      </w:pPr>
      <w:r>
        <w:t xml:space="preserve">Adding people (Local Secretary)</w:t>
      </w:r>
    </w:p>
    <w:p>
      <w:pPr>
        <w:spacing w:after="120"/>
      </w:pPr>
      <w:r>
        <w:t xml:space="preserve">The secretary adds a trainee with: name, ID number, country (code auto-filled), city, program, trainer, optional research trainer (defaults to the Program Director), password, and an optional email. Choosing the program automatically links the trainee to that program’s training center and DIO. Adding stops when the program’s yearly capacity is full. Trainers use the same form (one program per trainer).</w:t>
      </w:r>
    </w:p>
    <w:p>
      <w:pPr>
        <w:pStyle w:val="Heading2"/>
        <w:spacing w:after="100" w:before="220"/>
      </w:pPr>
      <w:r>
        <w:t xml:space="preserve">Login by ID number</w:t>
      </w:r>
    </w:p>
    <w:p>
      <w:pPr>
        <w:spacing w:after="120"/>
      </w:pPr>
      <w:r>
        <w:t xml:space="preserve">Because email is optional, everyone can log in with their ID number and password. Accounts that have an email can keep using it.</w:t>
      </w:r>
    </w:p>
    <w:p>
      <w:pPr>
        <w:pStyle w:val="Heading2"/>
        <w:spacing w:after="100" w:before="220"/>
      </w:pPr>
      <w:r>
        <w:t xml:space="preserve">Editing needs ODIO approval</w:t>
      </w:r>
    </w:p>
    <w:p>
      <w:pPr>
        <w:spacing w:after="120"/>
      </w:pPr>
      <w:r>
        <w:t xml:space="preserve">A Local Secretary can add people freely, but to edit an existing trainee or trainer they submit the change in the system; the center’s ODIO approves or rejects it, and on approval the change applies automatically.</w:t>
      </w:r>
    </w:p>
    <w:p>
      <w:pPr>
        <w:pStyle w:val="Heading2"/>
        <w:spacing w:after="100" w:before="220"/>
      </w:pPr>
      <w:r>
        <w:t xml:space="preserve">Reports: weekly, monthly, final</w:t>
      </w:r>
    </w:p>
    <w:p>
      <w:pPr>
        <w:spacing w:after="120"/>
      </w:pPr>
      <w:r>
        <w:t xml:space="preserve">Trainees submit three kinds of reports. The trainer grades the weekly and monthly ones; the final report is graded only by the Program Director.</w:t>
      </w:r>
    </w:p>
    <w:p>
      <w:pPr>
        <w:pStyle w:val="Heading2"/>
        <w:spacing w:after="100" w:before="220"/>
      </w:pPr>
      <w:r>
        <w:t xml:space="preserve">Log Book</w:t>
      </w:r>
    </w:p>
    <w:p>
      <w:pPr>
        <w:spacing w:after="120"/>
      </w:pPr>
      <w:r>
        <w:t xml:space="preserve">A new page where the trainee records clinical procedures and cases (date, type, notes). The trainer reviews and signs off each entry.</w:t>
      </w:r>
    </w:p>
    <w:p>
      <w:pPr>
        <w:pStyle w:val="Heading2"/>
        <w:spacing w:after="100" w:before="220"/>
      </w:pPr>
      <w:r>
        <w:t xml:space="preserve">Announcements</w:t>
      </w:r>
    </w:p>
    <w:p>
      <w:pPr>
        <w:spacing w:after="120"/>
      </w:pPr>
      <w:r>
        <w:t xml:space="preserve">The Program Director posts announcements on a program board; every post also sends an in-app notification to the program’s trainees and trainers.</w:t>
      </w:r>
    </w:p>
    <w:p>
      <w:pPr>
        <w:pStyle w:val="Heading2"/>
        <w:spacing w:after="100" w:before="220"/>
      </w:pPr>
      <w:r>
        <w:t xml:space="preserve">Automatic training year</w:t>
      </w:r>
    </w:p>
    <w:p>
      <w:pPr>
        <w:spacing w:after="120"/>
      </w:pPr>
      <w:r>
        <w:t xml:space="preserve">A trainee’s year (programs run 4–6 years) is calculated automatically from time in the program. The old manual promotion-approval step is removed.</w:t>
      </w:r>
    </w:p>
    <w:p>
      <w:pPr>
        <w:pStyle w:val="Heading2"/>
        <w:spacing w:after="100" w:before="220"/>
      </w:pPr>
      <w:r>
        <w:t xml:space="preserve">Data snapshots and analysis reports</w:t>
      </w:r>
    </w:p>
    <w:p>
      <w:pPr>
        <w:spacing w:after="120"/>
      </w:pPr>
      <w:r>
        <w:t xml:space="preserve">The system automatically produces weekly, monthly, and yearly CSV snapshots of the database. The DataSuperAdmin downloads and analyzes them, then uploads a PDF or PowerPoint report to the General Rapporteur’s inbox on the same schedule.</w:t>
      </w:r>
    </w:p>
    <w:p>
      <w:pPr>
        <w:pStyle w:val="Heading1"/>
        <w:spacing w:after="140" w:before="300"/>
      </w:pPr>
      <w:r>
        <w:t xml:space="preserve">5. What changes or goes away</w:t>
      </w:r>
    </w:p>
    <w:p>
      <w:pPr>
        <w:pStyle w:val="ListParagraph"/>
        <w:numPr>
          <w:ilvl w:val="0"/>
          <w:numId w:val="2"/>
        </w:numPr>
      </w:pPr>
      <w:r>
        <w:rPr>
          <w:b w:val="false"/>
          <w:bCs w:val="false"/>
        </w:rPr>
        <w:t xml:space="preserve">The Evaluation Forms section disappears from the public landing page (the Mobile App section stays).</w:t>
      </w:r>
    </w:p>
    <w:p>
      <w:pPr>
        <w:pStyle w:val="ListParagraph"/>
        <w:numPr>
          <w:ilvl w:val="0"/>
          <w:numId w:val="2"/>
        </w:numPr>
      </w:pPr>
      <w:r>
        <w:rPr>
          <w:b w:val="false"/>
          <w:bCs w:val="false"/>
        </w:rPr>
        <w:t xml:space="preserve">The manual trainee-promotion approval flow is removed (the year is automatic).</w:t>
      </w:r>
    </w:p>
    <w:p>
      <w:pPr>
        <w:pStyle w:val="ListParagraph"/>
        <w:numPr>
          <w:ilvl w:val="0"/>
          <w:numId w:val="2"/>
        </w:numPr>
      </w:pPr>
      <w:r>
        <w:rPr>
          <w:b w:val="false"/>
          <w:bCs w:val="false"/>
        </w:rPr>
        <w:t xml:space="preserve">Old screens for creating hospitals/users are locked: creating registry data happens only through the new DataSuperAdmin pages.</w:t>
      </w:r>
    </w:p>
    <w:p>
      <w:pPr>
        <w:pStyle w:val="ListParagraph"/>
        <w:numPr>
          <w:ilvl w:val="0"/>
          <w:numId w:val="2"/>
        </w:numPr>
      </w:pPr>
      <w:r>
        <w:rPr>
          <w:b w:val="false"/>
          <w:bCs w:val="false"/>
        </w:rPr>
        <w:t xml:space="preserve">Role renames are display names only — no database migration: Supervisor is shown as Trainer, Secretary as Trainees &amp; Trainers Secretary, the old DIO as ODIO, and the technical super-admin as DevSuperAdmin.</w:t>
      </w:r>
    </w:p>
    <w:p>
      <w:pPr>
        <w:pStyle w:val="Heading1"/>
        <w:spacing w:after="140" w:before="300"/>
      </w:pPr>
      <w:r>
        <w:t xml:space="preserve">6. Build order (5 phases)</w:t>
      </w:r>
    </w:p>
    <w:p>
      <w:pPr>
        <w:pStyle w:val="ListParagraph"/>
        <w:numPr>
          <w:ilvl w:val="0"/>
          <w:numId w:val="2"/>
        </w:numPr>
      </w:pPr>
      <w:r>
        <w:rPr>
          <w:b/>
          <w:bCs/>
        </w:rPr>
        <w:t xml:space="preserve">Phase 1 — Foundation: </w:t>
      </w:r>
      <w:r>
        <w:t xml:space="preserve">new branch, hide landing-page forms, create all roles with labels, logins and landing pages.</w:t>
      </w:r>
    </w:p>
    <w:p>
      <w:pPr>
        <w:pStyle w:val="ListParagraph"/>
        <w:numPr>
          <w:ilvl w:val="0"/>
          <w:numId w:val="2"/>
        </w:numPr>
      </w:pPr>
      <w:r>
        <w:rPr>
          <w:b/>
          <w:bCs/>
        </w:rPr>
        <w:t xml:space="preserve">Phase 2 — Registry: </w:t>
      </w:r>
      <w:r>
        <w:t xml:space="preserve">countries, training centers, programs, specialties, ID-number login, and all DataSuperAdmin / Data Enterer pages.</w:t>
      </w:r>
    </w:p>
    <w:p>
      <w:pPr>
        <w:pStyle w:val="ListParagraph"/>
        <w:numPr>
          <w:ilvl w:val="0"/>
          <w:numId w:val="2"/>
        </w:numPr>
      </w:pPr>
      <w:r>
        <w:rPr>
          <w:b/>
          <w:bCs/>
        </w:rPr>
        <w:t xml:space="preserve">Phase 3 — People: </w:t>
      </w:r>
      <w:r>
        <w:t xml:space="preserve">Local Secretary’s add-trainee/trainer flows, capacity blocking, ODIO approval requests, automatic training year.</w:t>
      </w:r>
    </w:p>
    <w:p>
      <w:pPr>
        <w:pStyle w:val="ListParagraph"/>
        <w:numPr>
          <w:ilvl w:val="0"/>
          <w:numId w:val="2"/>
        </w:numPr>
      </w:pPr>
      <w:r>
        <w:rPr>
          <w:b/>
          <w:bCs/>
        </w:rPr>
        <w:t xml:space="preserve">Phase 4 — Role pages: </w:t>
      </w:r>
      <w:r>
        <w:t xml:space="preserve">DIO/ODIO, Program Director (announcements, final reports, evaluations), Trainer, Trainee (Log Book), General Rapporteur.</w:t>
      </w:r>
    </w:p>
    <w:p>
      <w:pPr>
        <w:pStyle w:val="ListParagraph"/>
        <w:numPr>
          <w:ilvl w:val="0"/>
          <w:numId w:val="2"/>
        </w:numPr>
      </w:pPr>
      <w:r>
        <w:rPr>
          <w:b/>
          <w:bCs/>
        </w:rPr>
        <w:t xml:space="preserve">Phase 5 — Data operations: </w:t>
      </w:r>
      <w:r>
        <w:t xml:space="preserve">automatic snapshots, analysis-report uploads and inbox, dashboards, System page, lockdown of old screens, final security review.</w:t>
      </w:r>
    </w:p>
    <w:p>
      <w:pPr>
        <w:spacing w:after="120"/>
      </w:pPr>
      <w:r>
        <w:t xml:space="preserve">Every phase ends with the project’s test checklist: builds, backend health check, and a login test for every affected role.</w:t>
      </w:r>
    </w:p>
    <w:p>
      <w:pPr>
        <w:pStyle w:val="Heading1"/>
        <w:spacing w:after="140" w:before="300"/>
      </w:pPr>
      <w:r>
        <w:t xml:space="preserve">7. Needed from the team</w:t>
      </w:r>
    </w:p>
    <w:p>
      <w:pPr>
        <w:pStyle w:val="ListParagraph"/>
        <w:numPr>
          <w:ilvl w:val="0"/>
          <w:numId w:val="2"/>
        </w:numPr>
      </w:pPr>
      <w:r>
        <w:rPr>
          <w:b w:val="false"/>
          <w:bCs w:val="false"/>
        </w:rPr>
        <w:t xml:space="preserve">The trainer-evaluation form criteria (the questions/scores used when a Program Director evaluates a trainer). This is the only remaining input; everything else is decided.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2026-07-18T10:47:57.176Z</dcterms:created>
  <dcterms:modified xsi:type="dcterms:W3CDTF">2026-07-18T10:47:57.176Z</dcterms:modified>
</cp:coreProperties>
</file>

<file path=docProps/custom.xml><?xml version="1.0" encoding="utf-8"?>
<Properties xmlns="http://schemas.openxmlformats.org/officeDocument/2006/custom-properties" xmlns:vt="http://schemas.openxmlformats.org/officeDocument/2006/docPropsVTypes"/>
</file>