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svg" ContentType="image/svg+xml"/>
  <Override PartName="/word/media/rId23.svg" ContentType="image/svg+xml"/>
  <Override PartName="/word/media/rId30.svg" ContentType="image/svg+xml"/>
  <Override PartName="/word/media/rId35.svg" ContentType="image/svg+xml"/>
  <Override PartName="/word/media/rId21.png" ContentType="image/png"/>
  <Override PartName="/word/media/rId26.png" ContentType="image/png"/>
  <Override PartName="/word/media/rId33.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device-protection-claims-triage"/>
    <w:p>
      <w:pPr>
        <w:pStyle w:val="Heading1"/>
      </w:pPr>
      <w:r>
        <w:t xml:space="preserve">Device Protection Claims Triage</w:t>
      </w:r>
    </w:p>
    <w:bookmarkStart w:id="10" w:name="X05316856d9ea8ad56836e51ebac5129128976d7"/>
    <w:p>
      <w:pPr>
        <w:pStyle w:val="Heading2"/>
      </w:pPr>
      <w:r>
        <w:t xml:space="preserve">A Rule-Grounded Agentic AI Decision-Support System</w:t>
      </w:r>
    </w:p>
    <w:p>
      <w:pPr>
        <w:pStyle w:val="FirstParagraph"/>
      </w:pPr>
      <w:r>
        <w:rPr>
          <w:b/>
          <w:bCs/>
        </w:rPr>
        <w:t xml:space="preserve">Final Technical Report</w:t>
      </w:r>
    </w:p>
    <w:p>
      <w:pPr>
        <w:pStyle w:val="BodyText"/>
      </w:pPr>
      <w:r>
        <w:rPr>
          <w:b/>
          <w:bCs/>
        </w:rPr>
        <w:t xml:space="preserve">Programme:</w:t>
      </w:r>
      <w:r>
        <w:t xml:space="preserve"> </w:t>
      </w:r>
      <w:r>
        <w:t xml:space="preserve">Executive Diploma in Machine Learning and Artificial Intelligence</w:t>
      </w:r>
      <w:r>
        <w:br/>
      </w:r>
      <w:r>
        <w:rPr>
          <w:b/>
          <w:bCs/>
        </w:rPr>
        <w:t xml:space="preserve">Specialisation:</w:t>
      </w:r>
      <w:r>
        <w:t xml:space="preserve"> </w:t>
      </w:r>
      <w:r>
        <w:t xml:space="preserve">Generative AI</w:t>
      </w:r>
      <w:r>
        <w:br/>
      </w:r>
      <w:r>
        <w:rPr>
          <w:b/>
          <w:bCs/>
        </w:rPr>
        <w:t xml:space="preserve">Project Type:</w:t>
      </w:r>
      <w:r>
        <w:t xml:space="preserve"> </w:t>
      </w:r>
      <w:r>
        <w:t xml:space="preserve">Bring Your Own Capstone</w:t>
      </w:r>
      <w:r>
        <w:br/>
      </w:r>
      <w:r>
        <w:rPr>
          <w:b/>
          <w:bCs/>
        </w:rPr>
        <w:t xml:space="preserve">Author:</w:t>
      </w:r>
      <w:r>
        <w:t xml:space="preserve"> </w:t>
      </w:r>
      <w:r>
        <w:t xml:space="preserve">Sadiq Sulaiman Sheik</w:t>
      </w:r>
      <w:r>
        <w:br/>
      </w:r>
      <w:r>
        <w:rPr>
          <w:b/>
          <w:bCs/>
        </w:rPr>
        <w:t xml:space="preserve">Repository:</w:t>
      </w:r>
      <w:r>
        <w:t xml:space="preserve"> </w:t>
      </w:r>
      <w:hyperlink r:id="rId9">
        <w:r>
          <w:rPr>
            <w:rStyle w:val="Hyperlink"/>
          </w:rPr>
          <w:t xml:space="preserve">https://github.com/sadiqs3/DP_claims_triage</w:t>
        </w:r>
      </w:hyperlink>
    </w:p>
    <w:p>
      <w:r>
        <w:pict>
          <v:rect style="width:0;height:1.5pt" o:hralign="center" o:hrstd="t" o:hr="t"/>
        </w:pict>
      </w:r>
    </w:p>
    <w:bookmarkEnd w:id="10"/>
    <w:bookmarkStart w:id="11" w:name="executive-summary"/>
    <w:p>
      <w:pPr>
        <w:pStyle w:val="Heading2"/>
      </w:pPr>
      <w:r>
        <w:t xml:space="preserve">Executive Summary</w:t>
      </w:r>
    </w:p>
    <w:p>
      <w:pPr>
        <w:pStyle w:val="FirstParagraph"/>
      </w:pPr>
      <w:r>
        <w:t xml:space="preserve">Device-protection claim triage requires analysts to reconcile policy validity, protected-device identity, incident coverage, prior-claim limits, evidence sufficiency, exclusions, and risk indicators. Deterministic rules are appropriate for authoritative eligibility checks, but analysts must still interpret fragmented information and locate relevant operational guidance. An unrestricted large language model introduces a different risk: it may generate plausible but unsupported conclusions when facts are incomplete, conflicting, or outside its authority.</w:t>
      </w:r>
    </w:p>
    <w:p>
      <w:pPr>
        <w:pStyle w:val="BodyText"/>
      </w:pPr>
      <w:r>
        <w:t xml:space="preserve">This capstone developed a rule-grounded Agentic AI decision-support system that separates deterministic decision authority from generative assistance. The system recommends one of four internal outcomes:</w:t>
      </w:r>
      <w:r>
        <w:t xml:space="preserve"> </w:t>
      </w:r>
      <w:r>
        <w:rPr>
          <w:rStyle w:val="VerbatimChar"/>
        </w:rPr>
        <w:t xml:space="preserve">PROCEED</w:t>
      </w:r>
      <w:r>
        <w:t xml:space="preserve">,</w:t>
      </w:r>
      <w:r>
        <w:t xml:space="preserve"> </w:t>
      </w:r>
      <w:r>
        <w:rPr>
          <w:rStyle w:val="VerbatimChar"/>
        </w:rPr>
        <w:t xml:space="preserve">INFO_REQUIRED</w:t>
      </w:r>
      <w:r>
        <w:t xml:space="preserve">,</w:t>
      </w:r>
      <w:r>
        <w:t xml:space="preserve"> </w:t>
      </w:r>
      <w:r>
        <w:rPr>
          <w:rStyle w:val="VerbatimChar"/>
        </w:rPr>
        <w:t xml:space="preserve">MANUAL_REVIEW</w:t>
      </w:r>
      <w:r>
        <w:t xml:space="preserve">, or</w:t>
      </w:r>
      <w:r>
        <w:t xml:space="preserve"> </w:t>
      </w:r>
      <w:r>
        <w:rPr>
          <w:rStyle w:val="VerbatimChar"/>
        </w:rPr>
        <w:t xml:space="preserve">NOT_ELIGIBLE</w:t>
      </w:r>
      <w:r>
        <w:t xml:space="preserve">. These outcomes support an analyst’s next action; they do not constitute claim approval, final denial, payment authorisation, or fraud determination.</w:t>
      </w:r>
    </w:p>
    <w:p>
      <w:pPr>
        <w:pStyle w:val="BodyText"/>
      </w:pPr>
      <w:r>
        <w:t xml:space="preserve">Modular deterministic tools evaluate policy, plan, device, coverage, claim history, evidence, and risk facts. LangGraph coordinates deterministic triage, approved follow-up-question selection, controlled retrieval, explanation generation, and protective guardrails. The Retrieval-Augmented Generation layer uses seven allow-listed synthetic knowledge documents, 21 section-aware chunks,</w:t>
      </w:r>
      <w:r>
        <w:t xml:space="preserve"> </w:t>
      </w:r>
      <w:r>
        <w:rPr>
          <w:rStyle w:val="VerbatimChar"/>
        </w:rPr>
        <w:t xml:space="preserve">text-embedding-3-small</w:t>
      </w:r>
      <w:r>
        <w:t xml:space="preserve"> </w:t>
      </w:r>
      <w:r>
        <w:t xml:space="preserve">embeddings, and a persisted FAISS</w:t>
      </w:r>
      <w:r>
        <w:t xml:space="preserve"> </w:t>
      </w:r>
      <w:r>
        <w:rPr>
          <w:rStyle w:val="VerbatimChar"/>
        </w:rPr>
        <w:t xml:space="preserve">IndexFlatIP</w:t>
      </w:r>
      <w:r>
        <w:t xml:space="preserve"> </w:t>
      </w:r>
      <w:r>
        <w:t xml:space="preserve">index. A cross-encoder reranker was evaluated as an optional second-stage component. Retrieved guidance and LLM-generated explanations remain non-authoritative and cannot modify the deterministic outcome or triggering rule.</w:t>
      </w:r>
    </w:p>
    <w:p>
      <w:pPr>
        <w:pStyle w:val="BodyText"/>
      </w:pPr>
      <w:r>
        <w:t xml:space="preserve">The project used a purpose-built synthetic claims ecosystem containing 220 new claims, divided into 165 development cases and 55 held-out cases. No real customer data, production claims, or proprietary organisational policy documents were used. Development and held-out identifiers were verified as disjoint. Final held-out predictions were frozen and assigned a SHA-256 fingerprint before labels were joined, and the revealed results were not used for subsequent tuning.</w:t>
      </w:r>
    </w:p>
    <w:p>
      <w:pPr>
        <w:pStyle w:val="BodyText"/>
      </w:pPr>
      <w:r>
        <w:t xml:space="preserve">Evaluation included 149 regression tests, a 14-query retrieval benchmark, 12 frozen generation-quality cases, human review, LLM-as-judge calibration, automated Ragas evaluation, and eight held-out adversarial safety cases. Semantic retrieval achieved the strongest aggregate retrieval performance, with Hit@1 of 78.6%, Hit@3 of 92.9%, and MRR@3 of 0.857. Cross-encoder reranking improved two queries but regressed two others; it was therefore retained as a controlled optional stage rather than the default.</w:t>
      </w:r>
    </w:p>
    <w:p>
      <w:pPr>
        <w:pStyle w:val="BodyText"/>
      </w:pPr>
      <w:r>
        <w:t xml:space="preserve">On the frozen 55-claim held-out set, 49 claims were classified correctly, producing 89.1% disposition accuracy against the approved target of at least 80%. Policy-rule adherence was 89.1%, exact primary-rule agreement was 87.3%, follow-up requirement accuracy was 100%, and exact follow-up selection was 93.3%. All eight held-out safety cases passed with zero critical safety failures, while deterministic authority and the authorised human-control boundary were preserved throughout the final evaluation.</w:t>
      </w:r>
    </w:p>
    <w:p>
      <w:pPr>
        <w:pStyle w:val="BodyText"/>
      </w:pPr>
      <w:r>
        <w:t xml:space="preserve">A material limitation remained. Six ordinary held-out claims were incorrectly routed to</w:t>
      </w:r>
      <w:r>
        <w:t xml:space="preserve"> </w:t>
      </w:r>
      <w:r>
        <w:rPr>
          <w:rStyle w:val="VerbatimChar"/>
        </w:rPr>
        <w:t xml:space="preserve">PROCEED</w:t>
      </w:r>
      <w:r>
        <w:t xml:space="preserve">, producing an unsafe-decision diagnostic of 10.9%. Error analysis attributed these failures to gaps in structured authoritative data and deterministic rule coverage, including unresolved conflicts, exclusions, and eligibility-date conditions. They were not caused by RAG, LLM generation, or guardrail override.</w:t>
      </w:r>
    </w:p>
    <w:p>
      <w:pPr>
        <w:pStyle w:val="BodyText"/>
      </w:pPr>
      <w:r>
        <w:t xml:space="preserve">The project demonstrates that deterministic rules can be combined with controlled Agentic AI and RAG to improve the consistency, traceability, and explainability of claim-triage support without transferring final authority to an LLM. However, fail-safe routing, explicit</w:t>
      </w:r>
      <w:r>
        <w:t xml:space="preserve"> </w:t>
      </w:r>
      <w:r>
        <w:rPr>
          <w:rStyle w:val="VerbatimChar"/>
        </w:rPr>
        <w:t xml:space="preserve">UNABLE_TO_EVALUATE</w:t>
      </w:r>
      <w:r>
        <w:t xml:space="preserve"> </w:t>
      </w:r>
      <w:r>
        <w:t xml:space="preserve">states, and stronger structured rule coverage are required before production use. The final assessment is</w:t>
      </w:r>
      <w:r>
        <w:t xml:space="preserve"> </w:t>
      </w:r>
      <w:r>
        <w:rPr>
          <w:rStyle w:val="VerbatimChar"/>
          <w:b/>
          <w:bCs/>
        </w:rPr>
        <w:t xml:space="preserve">MET_WITH_DOCUMENTED_LIMITATION</w:t>
      </w:r>
      <w:r>
        <w:t xml:space="preserve">.</w:t>
      </w:r>
    </w:p>
    <w:p>
      <w:r>
        <w:pict>
          <v:rect style="width:0;height:1.5pt" o:hralign="center" o:hrstd="t" o:hr="t"/>
        </w:pict>
      </w:r>
    </w:p>
    <w:bookmarkEnd w:id="11"/>
    <w:bookmarkStart w:id="16" w:name="X310cef3213fbe9950a659864cc8da00e0b9c21f"/>
    <w:p>
      <w:pPr>
        <w:pStyle w:val="Heading2"/>
      </w:pPr>
      <w:r>
        <w:t xml:space="preserve">1. Introduction &amp; Business Context</w:t>
      </w:r>
    </w:p>
    <w:bookmarkStart w:id="12" w:name="Xacc7840fa423a73070c036aa997fefa61bc20eb"/>
    <w:p>
      <w:pPr>
        <w:pStyle w:val="Heading3"/>
      </w:pPr>
      <w:r>
        <w:t xml:space="preserve">1.1 Operational Problem</w:t>
      </w:r>
    </w:p>
    <w:p>
      <w:pPr>
        <w:pStyle w:val="FirstParagraph"/>
      </w:pPr>
      <w:r>
        <w:t xml:space="preserve">Device-protection claim triage requires information from several linked sources, including policy status, protected-device records, plan configuration, incident coverage, previous claims, evidence requirements, exclusions, and risk indicators. The applicable conditions must also be evaluated in a defined order. A covered incident may still require additional evidence, exceed a claim limit, contain conflicting identifiers, fall outside the active policy period, or require specialist review.</w:t>
      </w:r>
    </w:p>
    <w:p>
      <w:pPr>
        <w:pStyle w:val="BodyText"/>
      </w:pPr>
      <w:r>
        <w:t xml:space="preserve">Manual processing may be affected by fragmented information, repeated procedural searches, variation in analyst experience, and inconsistent application of operational guidance. These conditions can reduce traceability and make it difficult to explain why a claim was allowed to continue, paused for information, escalated, or considered ineligible. The approved proposal identified improved consistency, traceability, operational productivity, and risk control as the principal business motivations for the project [1].</w:t>
      </w:r>
    </w:p>
    <w:p>
      <w:pPr>
        <w:pStyle w:val="BodyText"/>
      </w:pPr>
      <w:r>
        <w:t xml:space="preserve">A conventional rule engine can provide repeatable policy and eligibility checks, but it offers limited support for semantic retrieval and concise explanation. Conversely, an unrestricted LLM may generate fluent but unsupported interpretations when information is incomplete, contradictory, or unverified.</w:t>
      </w:r>
    </w:p>
    <w:p>
      <w:pPr>
        <w:pStyle w:val="BodyText"/>
      </w:pPr>
      <w:r>
        <w:t xml:space="preserve">The project therefore addresses the following question:</w:t>
      </w:r>
    </w:p>
    <w:p>
      <w:pPr>
        <w:pStyle w:val="BlockText"/>
      </w:pPr>
      <w:r>
        <w:t xml:space="preserve">How can deterministic policy and eligibility rules be combined with controlled Agentic AI, Retrieval-Augmented Generation, and guardrails to support device-protection claim triage while preserving traceability, safety, and authorised human control?</w:t>
      </w:r>
    </w:p>
    <w:p>
      <w:pPr>
        <w:pStyle w:val="FirstParagraph"/>
      </w:pPr>
      <w:r>
        <w:t xml:space="preserve">The solution is positioned as an internal decision-support prototype rather than an autonomous claim-adjudication system.</w:t>
      </w:r>
    </w:p>
    <w:bookmarkEnd w:id="12"/>
    <w:bookmarkStart w:id="13" w:name="X2869389e38a48ab0ac847792cefb59db0ce889d"/>
    <w:p>
      <w:pPr>
        <w:pStyle w:val="Heading3"/>
      </w:pPr>
      <w:r>
        <w:t xml:space="preserve">1.2 Stakeholders and Business Stakes</w:t>
      </w:r>
    </w:p>
    <w:p>
      <w:pPr>
        <w:pStyle w:val="FirstParagraph"/>
      </w:pPr>
      <w:r>
        <w:t xml:space="preserve">The primary user is a claims analyst who requires a clear recommendation supported by authoritative facts and relevant operational guidance. Other stakeholders include claims operations managers, policy and product teams, risk and compliance functions, technology teams, customer-service teams, and customers indirectly affected by the consistency of claim handling.</w:t>
      </w:r>
    </w:p>
    <w:p>
      <w:pPr>
        <w:pStyle w:val="BodyText"/>
      </w:pPr>
      <w:r>
        <w:rPr>
          <w:b/>
          <w:bCs/>
        </w:rPr>
        <w:t xml:space="preserve">Table 1.1 — Stakeholders and principal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Stakeholder</w:t>
            </w:r>
          </w:p>
        </w:tc>
        <w:tc>
          <w:tcPr/>
          <w:p>
            <w:pPr>
              <w:pStyle w:val="Compact"/>
            </w:pPr>
            <w:r>
              <w:t xml:space="preserve">Principal requirement</w:t>
            </w:r>
          </w:p>
        </w:tc>
      </w:tr>
      <w:tr>
        <w:tc>
          <w:tcPr/>
          <w:p>
            <w:pPr>
              <w:pStyle w:val="Compact"/>
            </w:pPr>
            <w:r>
              <w:t xml:space="preserve">Claims analysts</w:t>
            </w:r>
          </w:p>
        </w:tc>
        <w:tc>
          <w:tcPr/>
          <w:p>
            <w:pPr>
              <w:pStyle w:val="Compact"/>
            </w:pPr>
            <w:r>
              <w:t xml:space="preserve">Clear recommendation, triggering rule, missing evidence, and relevant guidance</w:t>
            </w:r>
          </w:p>
        </w:tc>
      </w:tr>
      <w:tr>
        <w:tc>
          <w:tcPr/>
          <w:p>
            <w:pPr>
              <w:pStyle w:val="Compact"/>
            </w:pPr>
            <w:r>
              <w:t xml:space="preserve">Claims operations managers</w:t>
            </w:r>
          </w:p>
        </w:tc>
        <w:tc>
          <w:tcPr/>
          <w:p>
            <w:pPr>
              <w:pStyle w:val="Compact"/>
            </w:pPr>
            <w:r>
              <w:t xml:space="preserve">Consistent triage, measurable performance, and traceability</w:t>
            </w:r>
          </w:p>
        </w:tc>
      </w:tr>
      <w:tr>
        <w:tc>
          <w:tcPr/>
          <w:p>
            <w:pPr>
              <w:pStyle w:val="Compact"/>
            </w:pPr>
            <w:r>
              <w:t xml:space="preserve">Policy and product teams</w:t>
            </w:r>
          </w:p>
        </w:tc>
        <w:tc>
          <w:tcPr/>
          <w:p>
            <w:pPr>
              <w:pStyle w:val="Compact"/>
            </w:pPr>
            <w:r>
              <w:t xml:space="preserve">Correct application of plan, coverage, eligibility, and limit rules</w:t>
            </w:r>
          </w:p>
        </w:tc>
      </w:tr>
      <w:tr>
        <w:tc>
          <w:tcPr/>
          <w:p>
            <w:pPr>
              <w:pStyle w:val="Compact"/>
            </w:pPr>
            <w:r>
              <w:t xml:space="preserve">Risk and compliance teams</w:t>
            </w:r>
          </w:p>
        </w:tc>
        <w:tc>
          <w:tcPr/>
          <w:p>
            <w:pPr>
              <w:pStyle w:val="Compact"/>
            </w:pPr>
            <w:r>
              <w:t xml:space="preserve">Prevention of unsupported automation and preservation of human accountability</w:t>
            </w:r>
          </w:p>
        </w:tc>
      </w:tr>
      <w:tr>
        <w:tc>
          <w:tcPr/>
          <w:p>
            <w:pPr>
              <w:pStyle w:val="Compact"/>
            </w:pPr>
            <w:r>
              <w:t xml:space="preserve">Technology teams</w:t>
            </w:r>
          </w:p>
        </w:tc>
        <w:tc>
          <w:tcPr/>
          <w:p>
            <w:pPr>
              <w:pStyle w:val="Compact"/>
            </w:pPr>
            <w:r>
              <w:t xml:space="preserve">Modular, testable, reproducible, and maintainable implementation</w:t>
            </w:r>
          </w:p>
        </w:tc>
      </w:tr>
      <w:tr>
        <w:tc>
          <w:tcPr/>
          <w:p>
            <w:pPr>
              <w:pStyle w:val="Compact"/>
            </w:pPr>
            <w:r>
              <w:t xml:space="preserve">Customer-service teams</w:t>
            </w:r>
          </w:p>
        </w:tc>
        <w:tc>
          <w:tcPr/>
          <w:p>
            <w:pPr>
              <w:pStyle w:val="Compact"/>
            </w:pPr>
            <w:r>
              <w:t xml:space="preserve">Controlled and consistent follow-up requests</w:t>
            </w:r>
          </w:p>
        </w:tc>
      </w:tr>
      <w:tr>
        <w:tc>
          <w:tcPr/>
          <w:p>
            <w:pPr>
              <w:pStyle w:val="Compact"/>
            </w:pPr>
            <w:r>
              <w:t xml:space="preserve">Customers</w:t>
            </w:r>
          </w:p>
        </w:tc>
        <w:tc>
          <w:tcPr/>
          <w:p>
            <w:pPr>
              <w:pStyle w:val="Compact"/>
            </w:pPr>
            <w:r>
              <w:t xml:space="preserve">Fair handling with an authorised human retaining final responsibility</w:t>
            </w:r>
          </w:p>
        </w:tc>
      </w:tr>
    </w:tbl>
    <w:p>
      <w:pPr>
        <w:pStyle w:val="BodyText"/>
      </w:pPr>
      <w:r>
        <w:t xml:space="preserve">The main business risks considered were:</w:t>
      </w:r>
    </w:p>
    <w:p>
      <w:pPr>
        <w:pStyle w:val="Compact"/>
        <w:numPr>
          <w:ilvl w:val="0"/>
          <w:numId w:val="1001"/>
        </w:numPr>
      </w:pPr>
      <w:r>
        <w:t xml:space="preserve">inconsistent application of policy and evidence rules;</w:t>
      </w:r>
    </w:p>
    <w:p>
      <w:pPr>
        <w:pStyle w:val="Compact"/>
        <w:numPr>
          <w:ilvl w:val="0"/>
          <w:numId w:val="1001"/>
        </w:numPr>
      </w:pPr>
      <w:r>
        <w:t xml:space="preserve">unnecessary analyst effort spent locating procedures;</w:t>
      </w:r>
    </w:p>
    <w:p>
      <w:pPr>
        <w:pStyle w:val="Compact"/>
        <w:numPr>
          <w:ilvl w:val="0"/>
          <w:numId w:val="1001"/>
        </w:numPr>
      </w:pPr>
      <w:r>
        <w:t xml:space="preserve">weak visibility of the reason behind a recommendation;</w:t>
      </w:r>
    </w:p>
    <w:p>
      <w:pPr>
        <w:pStyle w:val="Compact"/>
        <w:numPr>
          <w:ilvl w:val="0"/>
          <w:numId w:val="1001"/>
        </w:numPr>
      </w:pPr>
      <w:r>
        <w:t xml:space="preserve">uncontrolled generation of follow-up questions;</w:t>
      </w:r>
    </w:p>
    <w:p>
      <w:pPr>
        <w:pStyle w:val="Compact"/>
        <w:numPr>
          <w:ilvl w:val="0"/>
          <w:numId w:val="1001"/>
        </w:numPr>
      </w:pPr>
      <w:r>
        <w:t xml:space="preserve">unsupported LLM interpretation of policy conditions;</w:t>
      </w:r>
    </w:p>
    <w:p>
      <w:pPr>
        <w:pStyle w:val="Compact"/>
        <w:numPr>
          <w:ilvl w:val="0"/>
          <w:numId w:val="1001"/>
        </w:numPr>
      </w:pPr>
      <w:r>
        <w:t xml:space="preserve">incorrect continuation of claims that require review or should not proceed;</w:t>
      </w:r>
    </w:p>
    <w:p>
      <w:pPr>
        <w:pStyle w:val="Compact"/>
        <w:numPr>
          <w:ilvl w:val="0"/>
          <w:numId w:val="1001"/>
        </w:numPr>
      </w:pPr>
      <w:r>
        <w:t xml:space="preserve">insufficient auditability of automated recommendations.</w:t>
      </w:r>
    </w:p>
    <w:p>
      <w:pPr>
        <w:pStyle w:val="FirstParagraph"/>
      </w:pPr>
      <w:r>
        <w:t xml:space="preserve">The project did not measure financial savings, handling-time reduction, customer satisfaction, or production-scale productivity. Its business conclusions are therefore limited to demonstrated technical feasibility and expected operational implications.</w:t>
      </w:r>
    </w:p>
    <w:bookmarkEnd w:id="13"/>
    <w:bookmarkStart w:id="14" w:name="X29a69c2a62d8916fb8cfeafac96d073f9d81812"/>
    <w:p>
      <w:pPr>
        <w:pStyle w:val="Heading3"/>
      </w:pPr>
      <w:r>
        <w:t xml:space="preserve">1.3 Project Objectives and Success Criteria</w:t>
      </w:r>
    </w:p>
    <w:p>
      <w:pPr>
        <w:pStyle w:val="FirstParagraph"/>
      </w:pPr>
      <w:r>
        <w:t xml:space="preserve">The project had six objectives:</w:t>
      </w:r>
    </w:p>
    <w:p>
      <w:pPr>
        <w:pStyle w:val="Compact"/>
        <w:numPr>
          <w:ilvl w:val="0"/>
          <w:numId w:val="1002"/>
        </w:numPr>
      </w:pPr>
      <w:r>
        <w:t xml:space="preserve">implement deterministic tools for policy, eligibility, coverage, evidence, history, and risk evaluation;</w:t>
      </w:r>
    </w:p>
    <w:p>
      <w:pPr>
        <w:pStyle w:val="Compact"/>
        <w:numPr>
          <w:ilvl w:val="0"/>
          <w:numId w:val="1002"/>
        </w:numPr>
      </w:pPr>
      <w:r>
        <w:t xml:space="preserve">apply explicit rule precedence to produce a traceable triage recommendation;</w:t>
      </w:r>
    </w:p>
    <w:p>
      <w:pPr>
        <w:pStyle w:val="Compact"/>
        <w:numPr>
          <w:ilvl w:val="0"/>
          <w:numId w:val="1002"/>
        </w:numPr>
      </w:pPr>
      <w:r>
        <w:t xml:space="preserve">use LangGraph to coordinate deterministic tools, retrieval, generation, and guardrails;</w:t>
      </w:r>
    </w:p>
    <w:p>
      <w:pPr>
        <w:pStyle w:val="Compact"/>
        <w:numPr>
          <w:ilvl w:val="0"/>
          <w:numId w:val="1002"/>
        </w:numPr>
      </w:pPr>
      <w:r>
        <w:t xml:space="preserve">retrieve approved operational guidance through controlled RAG and FAISS;</w:t>
      </w:r>
    </w:p>
    <w:p>
      <w:pPr>
        <w:pStyle w:val="Compact"/>
        <w:numPr>
          <w:ilvl w:val="0"/>
          <w:numId w:val="1002"/>
        </w:numPr>
      </w:pPr>
      <w:r>
        <w:t xml:space="preserve">generate analyst-facing explanations without transferring decision authority to the LLM;</w:t>
      </w:r>
    </w:p>
    <w:p>
      <w:pPr>
        <w:pStyle w:val="Compact"/>
        <w:numPr>
          <w:ilvl w:val="0"/>
          <w:numId w:val="1002"/>
        </w:numPr>
      </w:pPr>
      <w:r>
        <w:t xml:space="preserve">evaluate the complete workflow through regression testing, retrieval benchmarking, human review, LLM judging, Ragas, held-out claims, and adversarial safety cases.</w:t>
      </w:r>
    </w:p>
    <w:p>
      <w:pPr>
        <w:pStyle w:val="FirstParagraph"/>
      </w:pPr>
      <w:r>
        <w:t xml:space="preserve">The approved primary success criterion was at least</w:t>
      </w:r>
      <w:r>
        <w:t xml:space="preserve"> </w:t>
      </w:r>
      <w:r>
        <w:rPr>
          <w:b/>
          <w:bCs/>
        </w:rPr>
        <w:t xml:space="preserve">80% agreement with ground-truth outcomes across 55 held-out synthetic claims</w:t>
      </w:r>
      <w:r>
        <w:t xml:space="preserve"> </w:t>
      </w:r>
      <w:r>
        <w:t xml:space="preserve">[1].</w:t>
      </w:r>
    </w:p>
    <w:p>
      <w:pPr>
        <w:pStyle w:val="BodyText"/>
      </w:pPr>
      <w:r>
        <w:t xml:space="preserve">Supporting measures included:</w:t>
      </w:r>
    </w:p>
    <w:p>
      <w:pPr>
        <w:pStyle w:val="Compact"/>
        <w:numPr>
          <w:ilvl w:val="0"/>
          <w:numId w:val="1003"/>
        </w:numPr>
      </w:pPr>
      <w:r>
        <w:t xml:space="preserve">policy-rule adherence;</w:t>
      </w:r>
    </w:p>
    <w:p>
      <w:pPr>
        <w:pStyle w:val="Compact"/>
        <w:numPr>
          <w:ilvl w:val="0"/>
          <w:numId w:val="1003"/>
        </w:numPr>
      </w:pPr>
      <w:r>
        <w:t xml:space="preserve">exact triggering-rule agreement;</w:t>
      </w:r>
    </w:p>
    <w:p>
      <w:pPr>
        <w:pStyle w:val="Compact"/>
        <w:numPr>
          <w:ilvl w:val="0"/>
          <w:numId w:val="1003"/>
        </w:numPr>
      </w:pPr>
      <w:r>
        <w:t xml:space="preserve">follow-up requirement accuracy;</w:t>
      </w:r>
    </w:p>
    <w:p>
      <w:pPr>
        <w:pStyle w:val="Compact"/>
        <w:numPr>
          <w:ilvl w:val="0"/>
          <w:numId w:val="1003"/>
        </w:numPr>
      </w:pPr>
      <w:r>
        <w:t xml:space="preserve">exact follow-up-question selection;</w:t>
      </w:r>
    </w:p>
    <w:p>
      <w:pPr>
        <w:pStyle w:val="Compact"/>
        <w:numPr>
          <w:ilvl w:val="0"/>
          <w:numId w:val="1003"/>
        </w:numPr>
      </w:pPr>
      <w:r>
        <w:t xml:space="preserve">manual-review precision and recall;</w:t>
      </w:r>
    </w:p>
    <w:p>
      <w:pPr>
        <w:pStyle w:val="Compact"/>
        <w:numPr>
          <w:ilvl w:val="0"/>
          <w:numId w:val="1003"/>
        </w:numPr>
      </w:pPr>
      <w:r>
        <w:t xml:space="preserve">unsafe-decision rate;</w:t>
      </w:r>
    </w:p>
    <w:p>
      <w:pPr>
        <w:pStyle w:val="Compact"/>
        <w:numPr>
          <w:ilvl w:val="0"/>
          <w:numId w:val="1003"/>
        </w:numPr>
      </w:pPr>
      <w:r>
        <w:t xml:space="preserve">retrieval quality before and after reranking;</w:t>
      </w:r>
    </w:p>
    <w:p>
      <w:pPr>
        <w:pStyle w:val="Compact"/>
        <w:numPr>
          <w:ilvl w:val="0"/>
          <w:numId w:val="1003"/>
        </w:numPr>
      </w:pPr>
      <w:r>
        <w:t xml:space="preserve">preservation of deterministic authority;</w:t>
      </w:r>
    </w:p>
    <w:p>
      <w:pPr>
        <w:pStyle w:val="Compact"/>
        <w:numPr>
          <w:ilvl w:val="0"/>
          <w:numId w:val="1003"/>
        </w:numPr>
      </w:pPr>
      <w:r>
        <w:t xml:space="preserve">preservation of authorised human control.</w:t>
      </w:r>
    </w:p>
    <w:p>
      <w:pPr>
        <w:pStyle w:val="FirstParagraph"/>
      </w:pPr>
      <w:r>
        <w:t xml:space="preserve">The approved safety gate required</w:t>
      </w:r>
      <w:r>
        <w:t xml:space="preserve"> </w:t>
      </w:r>
      <w:r>
        <w:rPr>
          <w:b/>
          <w:bCs/>
        </w:rPr>
        <w:t xml:space="preserve">zero critical failures</w:t>
      </w:r>
      <w:r>
        <w:t xml:space="preserve"> </w:t>
      </w:r>
      <w:r>
        <w:t xml:space="preserve">in the held-out adversarial safety evaluation [1]. Critical failures included autonomous approval or denial, payment authorisation, fraud determination, fabricated policy authority, successful override of the deterministic result, or removal of the human-control boundary.</w:t>
      </w:r>
    </w:p>
    <w:bookmarkEnd w:id="14"/>
    <w:bookmarkStart w:id="15" w:name="X2dc9d81b7223dd4d23b05fc2bf76d4a706135f3"/>
    <w:p>
      <w:pPr>
        <w:pStyle w:val="Heading3"/>
      </w:pPr>
      <w:r>
        <w:t xml:space="preserve">1.4 Scope and Human-Control Boundary</w:t>
      </w:r>
    </w:p>
    <w:p>
      <w:pPr>
        <w:pStyle w:val="FirstParagraph"/>
      </w:pPr>
      <w:r>
        <w:t xml:space="preserve">The system produces four internal triage recommendations.</w:t>
      </w:r>
    </w:p>
    <w:p>
      <w:pPr>
        <w:pStyle w:val="BodyText"/>
      </w:pPr>
      <w:r>
        <w:rPr>
          <w:b/>
          <w:bCs/>
        </w:rPr>
        <w:t xml:space="preserve">Table 1.2 — Triage outcomes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Outcome</w:t>
            </w:r>
          </w:p>
        </w:tc>
        <w:tc>
          <w:tcPr/>
          <w:p>
            <w:pPr>
              <w:pStyle w:val="Compact"/>
            </w:pPr>
            <w:r>
              <w:t xml:space="preserve">Operational interpretation</w:t>
            </w:r>
          </w:p>
        </w:tc>
      </w:tr>
      <w:tr>
        <w:tc>
          <w:tcPr/>
          <w:p>
            <w:pPr>
              <w:pStyle w:val="Compact"/>
            </w:pPr>
            <w:r>
              <w:rPr>
                <w:rStyle w:val="VerbatimChar"/>
              </w:rPr>
              <w:t xml:space="preserve">PROCEED</w:t>
            </w:r>
          </w:p>
        </w:tc>
        <w:tc>
          <w:tcPr/>
          <w:p>
            <w:pPr>
              <w:pStyle w:val="Compact"/>
            </w:pPr>
            <w:r>
              <w:t xml:space="preserve">Available authoritative facts support continuation to standard processing; this is not a claim approval</w:t>
            </w:r>
          </w:p>
        </w:tc>
      </w:tr>
      <w:tr>
        <w:tc>
          <w:tcPr/>
          <w:p>
            <w:pPr>
              <w:pStyle w:val="Compact"/>
            </w:pPr>
            <w:r>
              <w:rPr>
                <w:rStyle w:val="VerbatimChar"/>
              </w:rPr>
              <w:t xml:space="preserve">INFO_REQUIRED</w:t>
            </w:r>
          </w:p>
        </w:tc>
        <w:tc>
          <w:tcPr/>
          <w:p>
            <w:pPr>
              <w:pStyle w:val="Compact"/>
            </w:pPr>
            <w:r>
              <w:t xml:space="preserve">Defined evidence or information is missing and an approved follow-up is required</w:t>
            </w:r>
          </w:p>
        </w:tc>
      </w:tr>
      <w:tr>
        <w:tc>
          <w:tcPr/>
          <w:p>
            <w:pPr>
              <w:pStyle w:val="Compact"/>
            </w:pPr>
            <w:r>
              <w:rPr>
                <w:rStyle w:val="VerbatimChar"/>
              </w:rPr>
              <w:t xml:space="preserve">MANUAL_REVIEW</w:t>
            </w:r>
          </w:p>
        </w:tc>
        <w:tc>
          <w:tcPr/>
          <w:p>
            <w:pPr>
              <w:pStyle w:val="Compact"/>
            </w:pPr>
            <w:r>
              <w:t xml:space="preserve">A conflict, anomaly, risk indicator, unsupported condition, or evaluation uncertainty requires authorised review</w:t>
            </w:r>
          </w:p>
        </w:tc>
      </w:tr>
      <w:tr>
        <w:tc>
          <w:tcPr/>
          <w:p>
            <w:pPr>
              <w:pStyle w:val="Compact"/>
            </w:pPr>
            <w:r>
              <w:rPr>
                <w:rStyle w:val="VerbatimChar"/>
              </w:rPr>
              <w:t xml:space="preserve">NOT_ELIGIBLE</w:t>
            </w:r>
          </w:p>
        </w:tc>
        <w:tc>
          <w:tcPr/>
          <w:p>
            <w:pPr>
              <w:pStyle w:val="Compact"/>
            </w:pPr>
            <w:r>
              <w:t xml:space="preserve">Deterministic rules support a non-eligibility recommendation; this is not a final customer-facing denial</w:t>
            </w:r>
          </w:p>
        </w:tc>
      </w:tr>
    </w:tbl>
    <w:p>
      <w:pPr>
        <w:pStyle w:val="BodyText"/>
      </w:pPr>
      <w:r>
        <w:t xml:space="preserve">The implemented scope includes deterministic rule evaluation, controlled follow-up selection, LangGraph orchestration, allow-listed RAG, FAISS semantic retrieval, optional cross-encoder reranking, LLM explanation support, protective guardrails, and systematic evaluation.</w:t>
      </w:r>
    </w:p>
    <w:p>
      <w:pPr>
        <w:pStyle w:val="BodyText"/>
      </w:pPr>
      <w:r>
        <w:t xml:space="preserve">The following actions remain outside the autonomous system boundary:</w:t>
      </w:r>
    </w:p>
    <w:p>
      <w:pPr>
        <w:pStyle w:val="Compact"/>
        <w:numPr>
          <w:ilvl w:val="0"/>
          <w:numId w:val="1004"/>
        </w:numPr>
      </w:pPr>
      <w:r>
        <w:t xml:space="preserve">claim approval;</w:t>
      </w:r>
    </w:p>
    <w:p>
      <w:pPr>
        <w:pStyle w:val="Compact"/>
        <w:numPr>
          <w:ilvl w:val="0"/>
          <w:numId w:val="1004"/>
        </w:numPr>
      </w:pPr>
      <w:r>
        <w:t xml:space="preserve">final customer-facing denial;</w:t>
      </w:r>
    </w:p>
    <w:p>
      <w:pPr>
        <w:pStyle w:val="Compact"/>
        <w:numPr>
          <w:ilvl w:val="0"/>
          <w:numId w:val="1004"/>
        </w:numPr>
      </w:pPr>
      <w:r>
        <w:t xml:space="preserve">payment or settlement authorisation;</w:t>
      </w:r>
    </w:p>
    <w:p>
      <w:pPr>
        <w:pStyle w:val="Compact"/>
        <w:numPr>
          <w:ilvl w:val="0"/>
          <w:numId w:val="1004"/>
        </w:numPr>
      </w:pPr>
      <w:r>
        <w:t xml:space="preserve">fraud determination;</w:t>
      </w:r>
    </w:p>
    <w:p>
      <w:pPr>
        <w:pStyle w:val="Compact"/>
        <w:numPr>
          <w:ilvl w:val="0"/>
          <w:numId w:val="1004"/>
        </w:numPr>
      </w:pPr>
      <w:r>
        <w:t xml:space="preserve">unrestricted customer communication;</w:t>
      </w:r>
    </w:p>
    <w:p>
      <w:pPr>
        <w:pStyle w:val="Compact"/>
        <w:numPr>
          <w:ilvl w:val="0"/>
          <w:numId w:val="1004"/>
        </w:numPr>
      </w:pPr>
      <w:r>
        <w:t xml:space="preserve">use of unverified narrative as authoritative policy evidence;</w:t>
      </w:r>
    </w:p>
    <w:p>
      <w:pPr>
        <w:pStyle w:val="Compact"/>
        <w:numPr>
          <w:ilvl w:val="0"/>
          <w:numId w:val="1004"/>
        </w:numPr>
      </w:pPr>
      <w:r>
        <w:t xml:space="preserve">production deployment and live enterprise integration.</w:t>
      </w:r>
    </w:p>
    <w:p>
      <w:pPr>
        <w:pStyle w:val="FirstParagraph"/>
      </w:pPr>
      <w:r>
        <w:t xml:space="preserve">The approved proposal explicitly retained settlement, approval, rejection, and customer communication under authorised human control [1]. The final architecture implements this boundary through deterministic authority, manual-review routing, approved follow-up wording, restricted prompts, content-safety validation, response-authority validation, and explicit decision-support notices.</w:t>
      </w:r>
    </w:p>
    <w:p>
      <w:pPr>
        <w:pStyle w:val="BodyText"/>
      </w:pPr>
      <w:r>
        <w:t xml:space="preserve">The governing design principle is:</w:t>
      </w:r>
    </w:p>
    <w:p>
      <w:pPr>
        <w:pStyle w:val="BlockText"/>
      </w:pPr>
      <w:r>
        <w:t xml:space="preserve">Deterministic rules evaluate authoritative claim facts; LangGraph coordinates the workflow; RAG retrieves non-authoritative operational guidance; the LLM explains the result; and an authorised human remains accountable for the final action.</w:t>
      </w:r>
    </w:p>
    <w:p>
      <w:r>
        <w:pict>
          <v:rect style="width:0;height:1.5pt" o:hralign="center" o:hrstd="t" o:hr="t"/>
        </w:pict>
      </w:r>
    </w:p>
    <w:bookmarkEnd w:id="15"/>
    <w:bookmarkEnd w:id="16"/>
    <w:bookmarkStart w:id="29" w:name="Xfadf1b1b48cadc05a2e90613e96539476711872"/>
    <w:p>
      <w:pPr>
        <w:pStyle w:val="Heading2"/>
      </w:pPr>
      <w:r>
        <w:t xml:space="preserve">2. Data Architecture &amp; Methodology</w:t>
      </w:r>
    </w:p>
    <w:bookmarkStart w:id="17" w:name="Xef200e2f40a084679cd4a12a18b54e1367e3577"/>
    <w:p>
      <w:pPr>
        <w:pStyle w:val="Heading3"/>
      </w:pPr>
      <w:r>
        <w:t xml:space="preserve">2.1 Synthetic Data, Governance, and Held-Out Design</w:t>
      </w:r>
    </w:p>
    <w:p>
      <w:pPr>
        <w:pStyle w:val="FirstParagraph"/>
      </w:pPr>
      <w:r>
        <w:t xml:space="preserve">Real device-protection claims may contain personal identifiers, device details, financial information, incident narratives, and confidential policy decisions. Production rules and operating procedures may also contain proprietary organisational information. The project therefore used a purpose-built, domain-representative synthetic ecosystem consistent with the approved privacy and intellectual-property safeguards [1].</w:t>
      </w:r>
    </w:p>
    <w:p>
      <w:pPr>
        <w:pStyle w:val="BodyText"/>
      </w:pPr>
      <w:r>
        <w:t xml:space="preserve">The synthetic data models policies, protected devices, plan configuration, incident coverage, claim history, evidence, risk indicators, operational guidance, follow-up questions, and expected outcomes.</w:t>
      </w:r>
    </w:p>
    <w:p>
      <w:pPr>
        <w:pStyle w:val="BodyText"/>
      </w:pPr>
      <w:r>
        <w:rPr>
          <w:b/>
          <w:bCs/>
        </w:rPr>
        <w:t xml:space="preserve">Table 2.1 — Final data and evaluation volumes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jc w:val="right"/>
            </w:pPr>
            <w:r>
              <w:t xml:space="preserve">Records</w:t>
            </w:r>
          </w:p>
        </w:tc>
      </w:tr>
      <w:tr>
        <w:tc>
          <w:tcPr/>
          <w:p>
            <w:pPr>
              <w:pStyle w:val="Compact"/>
            </w:pPr>
            <w:r>
              <w:t xml:space="preserve">Policy-device records</w:t>
            </w:r>
          </w:p>
        </w:tc>
        <w:tc>
          <w:tcPr/>
          <w:p>
            <w:pPr>
              <w:pStyle w:val="Compact"/>
              <w:jc w:val="right"/>
            </w:pPr>
            <w:r>
              <w:t xml:space="preserve">120</w:t>
            </w:r>
          </w:p>
        </w:tc>
      </w:tr>
      <w:tr>
        <w:tc>
          <w:tcPr/>
          <w:p>
            <w:pPr>
              <w:pStyle w:val="Compact"/>
            </w:pPr>
            <w:r>
              <w:t xml:space="preserve">Historical claims</w:t>
            </w:r>
          </w:p>
        </w:tc>
        <w:tc>
          <w:tcPr/>
          <w:p>
            <w:pPr>
              <w:pStyle w:val="Compact"/>
              <w:jc w:val="right"/>
            </w:pPr>
            <w:r>
              <w:t xml:space="preserve">112</w:t>
            </w:r>
          </w:p>
        </w:tc>
      </w:tr>
      <w:tr>
        <w:tc>
          <w:tcPr/>
          <w:p>
            <w:pPr>
              <w:pStyle w:val="Compact"/>
            </w:pPr>
            <w:r>
              <w:t xml:space="preserve">New claims</w:t>
            </w:r>
          </w:p>
        </w:tc>
        <w:tc>
          <w:tcPr/>
          <w:p>
            <w:pPr>
              <w:pStyle w:val="Compact"/>
              <w:jc w:val="right"/>
            </w:pPr>
            <w:r>
              <w:t xml:space="preserve">220</w:t>
            </w:r>
          </w:p>
        </w:tc>
      </w:tr>
      <w:tr>
        <w:tc>
          <w:tcPr/>
          <w:p>
            <w:pPr>
              <w:pStyle w:val="Compact"/>
            </w:pPr>
            <w:r>
              <w:t xml:space="preserve">Development claims</w:t>
            </w:r>
          </w:p>
        </w:tc>
        <w:tc>
          <w:tcPr/>
          <w:p>
            <w:pPr>
              <w:pStyle w:val="Compact"/>
              <w:jc w:val="right"/>
            </w:pPr>
            <w:r>
              <w:t xml:space="preserve">165</w:t>
            </w:r>
          </w:p>
        </w:tc>
      </w:tr>
      <w:tr>
        <w:tc>
          <w:tcPr/>
          <w:p>
            <w:pPr>
              <w:pStyle w:val="Compact"/>
            </w:pPr>
            <w:r>
              <w:t xml:space="preserve">Held-out claims</w:t>
            </w:r>
          </w:p>
        </w:tc>
        <w:tc>
          <w:tcPr/>
          <w:p>
            <w:pPr>
              <w:pStyle w:val="Compact"/>
              <w:jc w:val="right"/>
            </w:pPr>
            <w:r>
              <w:t xml:space="preserve">55</w:t>
            </w:r>
          </w:p>
        </w:tc>
      </w:tr>
      <w:tr>
        <w:tc>
          <w:tcPr/>
          <w:p>
            <w:pPr>
              <w:pStyle w:val="Compact"/>
            </w:pPr>
            <w:r>
              <w:t xml:space="preserve">Evidence bundles</w:t>
            </w:r>
          </w:p>
        </w:tc>
        <w:tc>
          <w:tcPr/>
          <w:p>
            <w:pPr>
              <w:pStyle w:val="Compact"/>
              <w:jc w:val="right"/>
            </w:pPr>
            <w:r>
              <w:t xml:space="preserve">220</w:t>
            </w:r>
          </w:p>
        </w:tc>
      </w:tr>
      <w:tr>
        <w:tc>
          <w:tcPr/>
          <w:p>
            <w:pPr>
              <w:pStyle w:val="Compact"/>
            </w:pPr>
            <w:r>
              <w:t xml:space="preserve">Evidence-document records</w:t>
            </w:r>
          </w:p>
        </w:tc>
        <w:tc>
          <w:tcPr/>
          <w:p>
            <w:pPr>
              <w:pStyle w:val="Compact"/>
              <w:jc w:val="right"/>
            </w:pPr>
            <w:r>
              <w:t xml:space="preserve">283</w:t>
            </w:r>
          </w:p>
        </w:tc>
      </w:tr>
      <w:tr>
        <w:tc>
          <w:tcPr/>
          <w:p>
            <w:pPr>
              <w:pStyle w:val="Compact"/>
            </w:pPr>
            <w:r>
              <w:t xml:space="preserve">Knowledge-base documents</w:t>
            </w:r>
          </w:p>
        </w:tc>
        <w:tc>
          <w:tcPr/>
          <w:p>
            <w:pPr>
              <w:pStyle w:val="Compact"/>
              <w:jc w:val="right"/>
            </w:pPr>
            <w:r>
              <w:t xml:space="preserve">7</w:t>
            </w:r>
          </w:p>
        </w:tc>
      </w:tr>
      <w:tr>
        <w:tc>
          <w:tcPr/>
          <w:p>
            <w:pPr>
              <w:pStyle w:val="Compact"/>
            </w:pPr>
            <w:r>
              <w:t xml:space="preserve">Knowledge-base chunks</w:t>
            </w:r>
          </w:p>
        </w:tc>
        <w:tc>
          <w:tcPr/>
          <w:p>
            <w:pPr>
              <w:pStyle w:val="Compact"/>
              <w:jc w:val="right"/>
            </w:pPr>
            <w:r>
              <w:t xml:space="preserve">21</w:t>
            </w:r>
          </w:p>
        </w:tc>
      </w:tr>
      <w:tr>
        <w:tc>
          <w:tcPr/>
          <w:p>
            <w:pPr>
              <w:pStyle w:val="Compact"/>
            </w:pPr>
            <w:r>
              <w:t xml:space="preserve">Approved follow-up questions</w:t>
            </w:r>
          </w:p>
        </w:tc>
        <w:tc>
          <w:tcPr/>
          <w:p>
            <w:pPr>
              <w:pStyle w:val="Compact"/>
              <w:jc w:val="right"/>
            </w:pPr>
            <w:r>
              <w:t xml:space="preserve">14</w:t>
            </w:r>
          </w:p>
        </w:tc>
      </w:tr>
      <w:tr>
        <w:tc>
          <w:tcPr/>
          <w:p>
            <w:pPr>
              <w:pStyle w:val="Compact"/>
            </w:pPr>
            <w:r>
              <w:t xml:space="preserve">Ground-truth labels</w:t>
            </w:r>
          </w:p>
        </w:tc>
        <w:tc>
          <w:tcPr/>
          <w:p>
            <w:pPr>
              <w:pStyle w:val="Compact"/>
              <w:jc w:val="right"/>
            </w:pPr>
            <w:r>
              <w:t xml:space="preserve">220</w:t>
            </w:r>
          </w:p>
        </w:tc>
      </w:tr>
      <w:tr>
        <w:tc>
          <w:tcPr/>
          <w:p>
            <w:pPr>
              <w:pStyle w:val="Compact"/>
            </w:pPr>
            <w:r>
              <w:t xml:space="preserve">Safety and adversarial cases</w:t>
            </w:r>
          </w:p>
        </w:tc>
        <w:tc>
          <w:tcPr/>
          <w:p>
            <w:pPr>
              <w:pStyle w:val="Compact"/>
              <w:jc w:val="right"/>
            </w:pPr>
            <w:r>
              <w:t xml:space="preserve">24</w:t>
            </w:r>
          </w:p>
        </w:tc>
      </w:tr>
      <w:tr>
        <w:tc>
          <w:tcPr/>
          <w:p>
            <w:pPr>
              <w:pStyle w:val="Compact"/>
            </w:pPr>
            <w:r>
              <w:t xml:space="preserve">Held-out safety cases</w:t>
            </w:r>
          </w:p>
        </w:tc>
        <w:tc>
          <w:tcPr/>
          <w:p>
            <w:pPr>
              <w:pStyle w:val="Compact"/>
              <w:jc w:val="right"/>
            </w:pPr>
            <w:r>
              <w:t xml:space="preserve">8</w:t>
            </w:r>
          </w:p>
        </w:tc>
      </w:tr>
    </w:tbl>
    <w:p>
      <w:pPr>
        <w:pStyle w:val="BodyText"/>
      </w:pPr>
      <w:r>
        <w:t xml:space="preserve">The 220 new claims were divided into 165 development cases and 55 held-out cases, with identifiers verified as disjoint. Development cases supported implementation and evaluation design; held-out cases were reserved for the final assessment.</w:t>
      </w:r>
    </w:p>
    <w:p>
      <w:pPr>
        <w:pStyle w:val="BodyText"/>
      </w:pPr>
      <w:r>
        <w:t xml:space="preserve">The controlled sources consisted of CSV, JSON, and Markdown files, so Optical Character Recognition and complex layout extraction were not required. Validation focused on:</w:t>
      </w:r>
    </w:p>
    <w:p>
      <w:pPr>
        <w:pStyle w:val="Compact"/>
        <w:numPr>
          <w:ilvl w:val="0"/>
          <w:numId w:val="1005"/>
        </w:numPr>
      </w:pPr>
      <w:r>
        <w:t xml:space="preserve">schemas, mandatory fields, and controlled values;</w:t>
      </w:r>
    </w:p>
    <w:p>
      <w:pPr>
        <w:pStyle w:val="Compact"/>
        <w:numPr>
          <w:ilvl w:val="0"/>
          <w:numId w:val="1005"/>
        </w:numPr>
      </w:pPr>
      <w:r>
        <w:t xml:space="preserve">claim-to-policy and policy-to-device relationships;</w:t>
      </w:r>
    </w:p>
    <w:p>
      <w:pPr>
        <w:pStyle w:val="Compact"/>
        <w:numPr>
          <w:ilvl w:val="0"/>
          <w:numId w:val="1005"/>
        </w:numPr>
      </w:pPr>
      <w:r>
        <w:t xml:space="preserve">evidence and historical-claim links;</w:t>
      </w:r>
    </w:p>
    <w:p>
      <w:pPr>
        <w:pStyle w:val="Compact"/>
        <w:numPr>
          <w:ilvl w:val="0"/>
          <w:numId w:val="1005"/>
        </w:numPr>
      </w:pPr>
      <w:r>
        <w:t xml:space="preserve">date normalisation;</w:t>
      </w:r>
    </w:p>
    <w:p>
      <w:pPr>
        <w:pStyle w:val="Compact"/>
        <w:numPr>
          <w:ilvl w:val="0"/>
          <w:numId w:val="1005"/>
        </w:numPr>
      </w:pPr>
      <w:r>
        <w:t xml:space="preserve">ground-truth identifier integrity;</w:t>
      </w:r>
    </w:p>
    <w:p>
      <w:pPr>
        <w:pStyle w:val="Compact"/>
        <w:numPr>
          <w:ilvl w:val="0"/>
          <w:numId w:val="1005"/>
        </w:numPr>
      </w:pPr>
      <w:r>
        <w:t xml:space="preserve">development and held-out partition separation.</w:t>
      </w:r>
    </w:p>
    <w:p>
      <w:pPr>
        <w:pStyle w:val="FirstParagraph"/>
      </w:pPr>
      <w:r>
        <w:t xml:space="preserve">The final held-out protocol was:</w:t>
      </w:r>
    </w:p>
    <w:p>
      <w:pPr>
        <w:pStyle w:val="Compact"/>
        <w:numPr>
          <w:ilvl w:val="0"/>
          <w:numId w:val="1006"/>
        </w:numPr>
      </w:pPr>
      <w:r>
        <w:t xml:space="preserve">freeze the workflow and configuration;</w:t>
      </w:r>
    </w:p>
    <w:p>
      <w:pPr>
        <w:pStyle w:val="Compact"/>
        <w:numPr>
          <w:ilvl w:val="0"/>
          <w:numId w:val="1006"/>
        </w:numPr>
      </w:pPr>
      <w:r>
        <w:t xml:space="preserve">run all 55 claims without consulting labels;</w:t>
      </w:r>
    </w:p>
    <w:p>
      <w:pPr>
        <w:pStyle w:val="Compact"/>
        <w:numPr>
          <w:ilvl w:val="0"/>
          <w:numId w:val="1006"/>
        </w:numPr>
      </w:pPr>
      <w:r>
        <w:t xml:space="preserve">export the prediction-only artifact;</w:t>
      </w:r>
    </w:p>
    <w:p>
      <w:pPr>
        <w:pStyle w:val="Compact"/>
        <w:numPr>
          <w:ilvl w:val="0"/>
          <w:numId w:val="1006"/>
        </w:numPr>
      </w:pPr>
      <w:r>
        <w:t xml:space="preserve">calculate its SHA-256 fingerprint;</w:t>
      </w:r>
    </w:p>
    <w:p>
      <w:pPr>
        <w:pStyle w:val="Compact"/>
        <w:numPr>
          <w:ilvl w:val="0"/>
          <w:numId w:val="1006"/>
        </w:numPr>
      </w:pPr>
      <w:r>
        <w:t xml:space="preserve">join labels only after predictions were frozen;</w:t>
      </w:r>
    </w:p>
    <w:p>
      <w:pPr>
        <w:pStyle w:val="Compact"/>
        <w:numPr>
          <w:ilvl w:val="0"/>
          <w:numId w:val="1006"/>
        </w:numPr>
      </w:pPr>
      <w:r>
        <w:t xml:space="preserve">calculate metrics without subsequent tuning.</w:t>
      </w:r>
    </w:p>
    <w:p>
      <w:pPr>
        <w:pStyle w:val="FirstParagraph"/>
      </w:pPr>
      <w:r>
        <w:t xml:space="preserve">The frozen prediction fingerprint is:</w:t>
      </w:r>
    </w:p>
    <w:p>
      <w:pPr>
        <w:pStyle w:val="BodyText"/>
      </w:pPr>
      <w:r>
        <w:rPr>
          <w:rStyle w:val="VerbatimChar"/>
        </w:rPr>
        <w:t xml:space="preserve">0a20deead9d8fdcf75b740d39d11f8ff3934cb173da55c02ec61c860c92e2a1f</w:t>
      </w:r>
    </w:p>
    <w:p>
      <w:pPr>
        <w:pStyle w:val="BodyText"/>
      </w:pPr>
      <w:r>
        <w:t xml:space="preserve">All claims, policies, evidence records, and knowledge documents are synthetic. This supports privacy, legal usability, and reproducibility, but cannot fully represent the ambiguity, missingness, behavioural variation, and integration complexity of production data.</w:t>
      </w:r>
    </w:p>
    <w:bookmarkEnd w:id="17"/>
    <w:bookmarkStart w:id="22" w:name="X2c18c7a83494af49fc00d594b0222050a1be5bc"/>
    <w:p>
      <w:pPr>
        <w:pStyle w:val="Heading3"/>
      </w:pPr>
      <w:r>
        <w:t xml:space="preserve">2.2 Architecture and Authority Model</w:t>
      </w:r>
    </w:p>
    <w:p>
      <w:pPr>
        <w:pStyle w:val="FirstParagraph"/>
      </w:pPr>
      <w:r>
        <w:t xml:space="preserve">The solution separates authoritative business-rule execution from non-authoritative AI assistance. LangGraph represents the workflow as a stateful graph in which nodes operate on shared state and execute in a controlled sequence [5].</w:t>
      </w:r>
    </w:p>
    <w:p>
      <w:pPr>
        <w:pStyle w:val="BodyText"/>
      </w:pPr>
      <w:r>
        <w:rPr>
          <w:b/>
          <w:bCs/>
        </w:rPr>
        <w:t xml:space="preserve">Figure 1 — End-to-End System Architecture</w:t>
      </w:r>
    </w:p>
    <w:p>
      <w:pPr>
        <w:pStyle w:val="BodyText"/>
      </w:pPr>
      <w:r>
        <w:drawing>
          <wp:inline>
            <wp:extent cx="3810000" cy="2540000"/>
            <wp:effectExtent b="0" l="0" r="0" t="0"/>
            <wp:docPr descr="End-to-end architecture of the rule-grounded claims-triage system" title="" id="19" name="Picture"/>
            <a:graphic>
              <a:graphicData uri="http://schemas.openxmlformats.org/drawingml/2006/picture">
                <pic:pic>
                  <pic:nvPicPr>
                    <pic:cNvPr descr="figures/figure_1_end_to_end_architecture.svg" id="20" name="Picture"/>
                    <pic:cNvPicPr>
                      <a:picLocks noChangeArrowheads="1" noChangeAspect="1"/>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rPr>
          <w:i/>
          <w:iCs/>
        </w:rPr>
        <w:t xml:space="preserve">The architecture separates authoritative deterministic evaluation from non-authoritative retrieval and LLM explanation. LangGraph coordinates the workflow, guardrails protect the deterministic result, and an authorised human retains final accountability.</w:t>
      </w:r>
    </w:p>
    <w:p>
      <w:pPr>
        <w:pStyle w:val="BodyText"/>
      </w:pPr>
      <w:r>
        <w:t xml:space="preserve">Deterministic tools evaluate policy, plan, device, coverage, evidence, history, risk, conflicts, and limits. Rule precedence then selects the outcome and triggering rule. Retrieval and generation occur only after this result has been established.</w:t>
      </w:r>
    </w:p>
    <w:p>
      <w:pPr>
        <w:pStyle w:val="BodyText"/>
      </w:pPr>
      <w:r>
        <w:t xml:space="preserve">The remaining components have restricted responsibilities:</w:t>
      </w:r>
    </w:p>
    <w:p>
      <w:pPr>
        <w:pStyle w:val="Compact"/>
        <w:numPr>
          <w:ilvl w:val="0"/>
          <w:numId w:val="1007"/>
        </w:numPr>
      </w:pPr>
      <w:r>
        <w:t xml:space="preserve">LangGraph coordinates execution but does not select the disposition;</w:t>
      </w:r>
    </w:p>
    <w:p>
      <w:pPr>
        <w:pStyle w:val="Compact"/>
        <w:numPr>
          <w:ilvl w:val="0"/>
          <w:numId w:val="1007"/>
        </w:numPr>
      </w:pPr>
      <w:r>
        <w:t xml:space="preserve">the follow-up selector chooses only from an approved catalogue;</w:t>
      </w:r>
    </w:p>
    <w:p>
      <w:pPr>
        <w:pStyle w:val="Compact"/>
        <w:numPr>
          <w:ilvl w:val="0"/>
          <w:numId w:val="1007"/>
        </w:numPr>
      </w:pPr>
      <w:r>
        <w:t xml:space="preserve">FAISS and the cross-encoder retrieve or reorder approved guidance;</w:t>
      </w:r>
    </w:p>
    <w:p>
      <w:pPr>
        <w:pStyle w:val="Compact"/>
        <w:numPr>
          <w:ilvl w:val="0"/>
          <w:numId w:val="1007"/>
        </w:numPr>
      </w:pPr>
      <w:r>
        <w:t xml:space="preserve">the LLM produces analyst-facing explanation;</w:t>
      </w:r>
    </w:p>
    <w:p>
      <w:pPr>
        <w:pStyle w:val="Compact"/>
        <w:numPr>
          <w:ilvl w:val="0"/>
          <w:numId w:val="1007"/>
        </w:numPr>
      </w:pPr>
      <w:r>
        <w:t xml:space="preserve">content and authority guardrails block unsafe behaviour and preserve protected fields;</w:t>
      </w:r>
    </w:p>
    <w:p>
      <w:pPr>
        <w:pStyle w:val="Compact"/>
        <w:numPr>
          <w:ilvl w:val="0"/>
          <w:numId w:val="1007"/>
        </w:numPr>
      </w:pPr>
      <w:r>
        <w:t xml:space="preserve">an authorised human determines the final operational action.</w:t>
      </w:r>
    </w:p>
    <w:p>
      <w:pPr>
        <w:pStyle w:val="FirstParagraph"/>
      </w:pPr>
      <w:r>
        <w:t xml:space="preserve">This design combines the repeatability and auditability of deterministic rules with the retrieval and communication capabilities of generative AI, without transferring policy authority to the LLM.</w:t>
      </w:r>
    </w:p>
    <w:bookmarkEnd w:id="22"/>
    <w:bookmarkStart w:id="27" w:name="Xc2823e332cf8bca7447ff80e305c761cf587bb7"/>
    <w:p>
      <w:pPr>
        <w:pStyle w:val="Heading3"/>
      </w:pPr>
      <w:r>
        <w:t xml:space="preserve">2.3 Knowledge Base, Embeddings, and FAISS</w:t>
      </w:r>
    </w:p>
    <w:p>
      <w:pPr>
        <w:pStyle w:val="FirstParagraph"/>
      </w:pPr>
      <w:r>
        <w:t xml:space="preserve">Retrieval-Augmented Generation combines retrieved information with language-model generation [2]. In this project, retrieval provides operational guidance after deterministic triage; it does not determine claim eligibility or outcome.</w:t>
      </w:r>
    </w:p>
    <w:p>
      <w:pPr>
        <w:pStyle w:val="BodyText"/>
      </w:pPr>
      <w:r>
        <w:t xml:space="preserve">Seven allow-listed synthetic documents were divided into 21 section-aware chunks. Each chunk retains its source-document and section identity. Chunk overlap was not used because the documents were short and structurally organised; overlap would have created duplicated guidance and near-identical Top-K results.</w:t>
      </w:r>
    </w:p>
    <w:p>
      <w:pPr>
        <w:pStyle w:val="BodyText"/>
      </w:pPr>
      <w:r>
        <w:t xml:space="preserve">The semantic retriever uses</w:t>
      </w:r>
      <w:r>
        <w:t xml:space="preserve"> </w:t>
      </w:r>
      <w:r>
        <w:rPr>
          <w:rStyle w:val="VerbatimChar"/>
        </w:rPr>
        <w:t xml:space="preserve">text-embedding-3-small</w:t>
      </w:r>
      <w:r>
        <w:t xml:space="preserve">, which produces 1536-dimensional embeddings by default [4]. Vectors are L2-normalised and searched using FAISS</w:t>
      </w:r>
      <w:r>
        <w:t xml:space="preserve"> </w:t>
      </w:r>
      <w:r>
        <w:rPr>
          <w:rStyle w:val="VerbatimChar"/>
        </w:rPr>
        <w:t xml:space="preserve">IndexFlatIP</w:t>
      </w:r>
      <w:r>
        <w:t xml:space="preserve">. FAISS provides efficient dense-vector indexing and similarity search [3].</w:t>
      </w:r>
    </w:p>
    <w:p>
      <w:pPr>
        <w:pStyle w:val="BodyText"/>
      </w:pPr>
      <w:r>
        <w:rPr>
          <w:b/>
          <w:bCs/>
        </w:rPr>
        <w:t xml:space="preserve">Table 2.2 — Retrieval configuration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Configuration</w:t>
            </w:r>
          </w:p>
        </w:tc>
      </w:tr>
      <w:tr>
        <w:tc>
          <w:tcPr/>
          <w:p>
            <w:pPr>
              <w:pStyle w:val="Compact"/>
            </w:pPr>
            <w:r>
              <w:t xml:space="preserve">Knowledge documents</w:t>
            </w:r>
          </w:p>
        </w:tc>
        <w:tc>
          <w:tcPr/>
          <w:p>
            <w:pPr>
              <w:pStyle w:val="Compact"/>
            </w:pPr>
            <w:r>
              <w:t xml:space="preserve">7 allow-listed documents</w:t>
            </w:r>
          </w:p>
        </w:tc>
      </w:tr>
      <w:tr>
        <w:tc>
          <w:tcPr/>
          <w:p>
            <w:pPr>
              <w:pStyle w:val="Compact"/>
            </w:pPr>
            <w:r>
              <w:t xml:space="preserve">Retrieval chunks</w:t>
            </w:r>
          </w:p>
        </w:tc>
        <w:tc>
          <w:tcPr/>
          <w:p>
            <w:pPr>
              <w:pStyle w:val="Compact"/>
            </w:pPr>
            <w:r>
              <w:t xml:space="preserve">21 section-aware chunks</w:t>
            </w:r>
          </w:p>
        </w:tc>
      </w:tr>
      <w:tr>
        <w:tc>
          <w:tcPr/>
          <w:p>
            <w:pPr>
              <w:pStyle w:val="Compact"/>
            </w:pPr>
            <w:r>
              <w:t xml:space="preserve">Embedding model</w:t>
            </w:r>
          </w:p>
        </w:tc>
        <w:tc>
          <w:tcPr/>
          <w:p>
            <w:pPr>
              <w:pStyle w:val="Compact"/>
            </w:pPr>
            <w:r>
              <w:rPr>
                <w:rStyle w:val="VerbatimChar"/>
              </w:rPr>
              <w:t xml:space="preserve">text-embedding-3-small</w:t>
            </w:r>
          </w:p>
        </w:tc>
      </w:tr>
      <w:tr>
        <w:tc>
          <w:tcPr/>
          <w:p>
            <w:pPr>
              <w:pStyle w:val="Compact"/>
            </w:pPr>
            <w:r>
              <w:t xml:space="preserve">Embedding dimension</w:t>
            </w:r>
          </w:p>
        </w:tc>
        <w:tc>
          <w:tcPr/>
          <w:p>
            <w:pPr>
              <w:pStyle w:val="Compact"/>
            </w:pPr>
            <w:r>
              <w:t xml:space="preserve">1536</w:t>
            </w:r>
          </w:p>
        </w:tc>
      </w:tr>
      <w:tr>
        <w:tc>
          <w:tcPr/>
          <w:p>
            <w:pPr>
              <w:pStyle w:val="Compact"/>
            </w:pPr>
            <w:r>
              <w:t xml:space="preserve">Vector index</w:t>
            </w:r>
          </w:p>
        </w:tc>
        <w:tc>
          <w:tcPr/>
          <w:p>
            <w:pPr>
              <w:pStyle w:val="Compact"/>
            </w:pPr>
            <w:r>
              <w:t xml:space="preserve">FAISS</w:t>
            </w:r>
            <w:r>
              <w:t xml:space="preserve"> </w:t>
            </w:r>
            <w:r>
              <w:rPr>
                <w:rStyle w:val="VerbatimChar"/>
              </w:rPr>
              <w:t xml:space="preserve">IndexFlatIP</w:t>
            </w:r>
          </w:p>
        </w:tc>
      </w:tr>
      <w:tr>
        <w:tc>
          <w:tcPr/>
          <w:p>
            <w:pPr>
              <w:pStyle w:val="Compact"/>
            </w:pPr>
            <w:r>
              <w:t xml:space="preserve">Search method</w:t>
            </w:r>
          </w:p>
        </w:tc>
        <w:tc>
          <w:tcPr/>
          <w:p>
            <w:pPr>
              <w:pStyle w:val="Compact"/>
            </w:pPr>
            <w:r>
              <w:t xml:space="preserve">Exact inner-product search</w:t>
            </w:r>
          </w:p>
        </w:tc>
      </w:tr>
      <w:tr>
        <w:tc>
          <w:tcPr/>
          <w:p>
            <w:pPr>
              <w:pStyle w:val="Compact"/>
            </w:pPr>
            <w:r>
              <w:t xml:space="preserve">Cross-encoder</w:t>
            </w:r>
          </w:p>
        </w:tc>
        <w:tc>
          <w:tcPr/>
          <w:p>
            <w:pPr>
              <w:pStyle w:val="Compact"/>
            </w:pPr>
            <w:r>
              <w:rPr>
                <w:rStyle w:val="VerbatimChar"/>
              </w:rPr>
              <w:t xml:space="preserve">cross-encoder/ms-marco-MiniLM-L-6-v2</w:t>
            </w:r>
          </w:p>
        </w:tc>
      </w:tr>
      <w:tr>
        <w:tc>
          <w:tcPr/>
          <w:p>
            <w:pPr>
              <w:pStyle w:val="Compact"/>
            </w:pPr>
            <w:r>
              <w:t xml:space="preserve">Reranker status</w:t>
            </w:r>
          </w:p>
        </w:tc>
        <w:tc>
          <w:tcPr/>
          <w:p>
            <w:pPr>
              <w:pStyle w:val="Compact"/>
            </w:pPr>
            <w:r>
              <w:t xml:space="preserve">Controlled optional stage</w:t>
            </w:r>
          </w:p>
        </w:tc>
      </w:tr>
    </w:tbl>
    <w:p>
      <w:pPr>
        <w:pStyle w:val="BodyText"/>
      </w:pPr>
      <w:r>
        <w:t xml:space="preserve">Exact search was appropriate because the corpus contained only 21 chunks. The persisted index records the embedding model, vector dimension, expected chunk count, corpus fingerprint, and chunk-order fingerprint. A mismatch blocks normal loading and requires a controlled rebuild.</w:t>
      </w:r>
    </w:p>
    <w:p>
      <w:pPr>
        <w:pStyle w:val="BodyText"/>
      </w:pPr>
      <w:r>
        <w:rPr>
          <w:b/>
          <w:bCs/>
        </w:rPr>
        <w:t xml:space="preserve">Figure 2 — Controlled Retrieval Pipeline</w:t>
      </w:r>
    </w:p>
    <w:p>
      <w:pPr>
        <w:pStyle w:val="BodyText"/>
      </w:pPr>
      <w:r>
        <w:drawing>
          <wp:inline>
            <wp:extent cx="3810000" cy="2540000"/>
            <wp:effectExtent b="0" l="0" r="0" t="0"/>
            <wp:docPr descr="Controlled retrieval pipeline showing knowledge-base preparation, query construction, FAISS retrieval, optional reranking, and index validation" title="" id="24" name="Picture"/>
            <a:graphic>
              <a:graphicData uri="http://schemas.openxmlformats.org/drawingml/2006/picture">
                <pic:pic>
                  <pic:nvPicPr>
                    <pic:cNvPr descr="figures/figure_2_controlled_retrieval_pipeline.svg" id="25" name="Picture"/>
                    <pic:cNvPicPr>
                      <a:picLocks noChangeArrowheads="1" noChangeAspect="1"/>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rPr>
          <w:i/>
          <w:iCs/>
        </w:rPr>
        <w:t xml:space="preserve">The pipeline uses allow-listed documents and authoritative structured facts. Customer narrative and identifiers are excluded from the controlled query. Fingerprints protect the persisted index from stale or mismatched use, while retrieved content remains non-authoritative guidance.</w:t>
      </w:r>
    </w:p>
    <w:p>
      <w:pPr>
        <w:pStyle w:val="BodyText"/>
      </w:pPr>
      <w:r>
        <w:t xml:space="preserve">The runtime query is built from an allow-listed projection that may include the outcome, triggering rule, claim category, coverage status, evidence state, missing evidence codes, and manual-review requirement. Customer statements, arbitrary free text, identifiers, evidence-document text, and generated reasons are excluded. This improves reproducibility and limits the influence of unverified or adversarial narrative.</w:t>
      </w:r>
    </w:p>
    <w:bookmarkEnd w:id="27"/>
    <w:bookmarkStart w:id="28" w:name="Xf467d435fe43035bb2ebc5aebf504c95240d6de"/>
    <w:p>
      <w:pPr>
        <w:pStyle w:val="Heading3"/>
      </w:pPr>
      <w:r>
        <w:t xml:space="preserve">2.4 Comparative Retrieval and Design Choices</w:t>
      </w:r>
    </w:p>
    <w:p>
      <w:pPr>
        <w:pStyle w:val="FirstParagraph"/>
      </w:pPr>
      <w:r>
        <w:t xml:space="preserve">Four retrieval configurations were evaluated on the same frozen set of 14 manually grounded queries at</w:t>
      </w:r>
      <w:r>
        <w:t xml:space="preserve"> </w:t>
      </w:r>
      <w:r>
        <w:rPr>
          <w:rStyle w:val="VerbatimChar"/>
        </w:rPr>
        <w:t xml:space="preserve">Top K = 3</w:t>
      </w:r>
      <w:r>
        <w:t xml:space="preserve">:</w:t>
      </w:r>
    </w:p>
    <w:p>
      <w:pPr>
        <w:pStyle w:val="Compact"/>
        <w:numPr>
          <w:ilvl w:val="0"/>
          <w:numId w:val="1008"/>
        </w:numPr>
      </w:pPr>
      <w:r>
        <w:t xml:space="preserve">lexical TF-IDF;</w:t>
      </w:r>
    </w:p>
    <w:p>
      <w:pPr>
        <w:pStyle w:val="Compact"/>
        <w:numPr>
          <w:ilvl w:val="0"/>
          <w:numId w:val="1008"/>
        </w:numPr>
      </w:pPr>
      <w:r>
        <w:t xml:space="preserve">semantic embedding retrieval;</w:t>
      </w:r>
    </w:p>
    <w:p>
      <w:pPr>
        <w:pStyle w:val="Compact"/>
        <w:numPr>
          <w:ilvl w:val="0"/>
          <w:numId w:val="1008"/>
        </w:numPr>
      </w:pPr>
      <w:r>
        <w:t xml:space="preserve">Hybrid Reciprocal Rank Fusion;</w:t>
      </w:r>
    </w:p>
    <w:p>
      <w:pPr>
        <w:pStyle w:val="Compact"/>
        <w:numPr>
          <w:ilvl w:val="0"/>
          <w:numId w:val="1008"/>
        </w:numPr>
      </w:pPr>
      <w:r>
        <w:t xml:space="preserve">semantic retrieval followed by cross-encoder reranking.</w:t>
      </w:r>
    </w:p>
    <w:p>
      <w:pPr>
        <w:pStyle w:val="FirstParagraph"/>
      </w:pPr>
      <w:r>
        <w:t xml:space="preserve">TF-IDF provided a transparent lexical baseline. Semantic retrieval tested whether embeddings improved retrieval where query and document wording differed. Reciprocal Rank Fusion combined lexical and semantic rankings without requiring directly comparable raw scores [9]. The cross-encoder provided second-stage scoring of a bounded semantic candidate set.</w:t>
      </w:r>
    </w:p>
    <w:p>
      <w:pPr>
        <w:pStyle w:val="BodyText"/>
      </w:pPr>
      <w:r>
        <w:t xml:space="preserve">The principal metrics were Hit@1, Hit@3, MRR@3, and no-result rate. Aggregate results were supplemented by query-level analysis so that reranker improvements and regressions remained visible.</w:t>
      </w:r>
    </w:p>
    <w:p>
      <w:pPr>
        <w:pStyle w:val="BodyText"/>
      </w:pPr>
      <w:r>
        <w:t xml:space="preserve">Several initial assumptions were deliberately narrowed:</w:t>
      </w:r>
    </w:p>
    <w:p>
      <w:pPr>
        <w:pStyle w:val="Compact"/>
        <w:numPr>
          <w:ilvl w:val="0"/>
          <w:numId w:val="1009"/>
        </w:numPr>
      </w:pPr>
      <w:r>
        <w:t xml:space="preserve">unrestricted follow-up generation became selection from an approved 14-question catalogue;</w:t>
      </w:r>
    </w:p>
    <w:p>
      <w:pPr>
        <w:pStyle w:val="Compact"/>
        <w:numPr>
          <w:ilvl w:val="0"/>
          <w:numId w:val="1009"/>
        </w:numPr>
      </w:pPr>
      <w:r>
        <w:t xml:space="preserve">customer narrative was excluded from authoritative decisions and controlled queries;</w:t>
      </w:r>
    </w:p>
    <w:p>
      <w:pPr>
        <w:pStyle w:val="Compact"/>
        <w:numPr>
          <w:ilvl w:val="0"/>
          <w:numId w:val="1009"/>
        </w:numPr>
      </w:pPr>
      <w:r>
        <w:t xml:space="preserve">TF-IDF replaced the planned BM25-style baseline because it was sufficient for the small corpus;</w:t>
      </w:r>
    </w:p>
    <w:p>
      <w:pPr>
        <w:pStyle w:val="Compact"/>
        <w:numPr>
          <w:ilvl w:val="0"/>
          <w:numId w:val="1009"/>
        </w:numPr>
      </w:pPr>
      <w:r>
        <w:t xml:space="preserve">semantic retrieval became the default after comparative evaluation;</w:t>
      </w:r>
    </w:p>
    <w:p>
      <w:pPr>
        <w:pStyle w:val="Compact"/>
        <w:numPr>
          <w:ilvl w:val="0"/>
          <w:numId w:val="1009"/>
        </w:numPr>
      </w:pPr>
      <w:r>
        <w:t xml:space="preserve">reranking remained optional because it did not improve aggregate performance;</w:t>
      </w:r>
    </w:p>
    <w:p>
      <w:pPr>
        <w:pStyle w:val="Compact"/>
        <w:numPr>
          <w:ilvl w:val="0"/>
          <w:numId w:val="1009"/>
        </w:numPr>
      </w:pPr>
      <w:r>
        <w:t xml:space="preserve">Ragas faithfulness used structured authoritative facts plus retrieved guidance;</w:t>
      </w:r>
    </w:p>
    <w:p>
      <w:pPr>
        <w:pStyle w:val="Compact"/>
        <w:numPr>
          <w:ilvl w:val="0"/>
          <w:numId w:val="1009"/>
        </w:numPr>
      </w:pPr>
      <w:r>
        <w:t xml:space="preserve">the LLM judge was calibrated against human review;</w:t>
      </w:r>
    </w:p>
    <w:p>
      <w:pPr>
        <w:pStyle w:val="Compact"/>
        <w:numPr>
          <w:ilvl w:val="0"/>
          <w:numId w:val="1009"/>
        </w:numPr>
      </w:pPr>
      <w:r>
        <w:t xml:space="preserve">predictions were frozen before held-out labels were revealed.</w:t>
      </w:r>
    </w:p>
    <w:p>
      <w:pPr>
        <w:pStyle w:val="FirstParagraph"/>
      </w:pPr>
      <w:r>
        <w:t xml:space="preserve">These refinements reduced generative authority and improved auditability, reproducibility, and methodological validity.</w:t>
      </w:r>
    </w:p>
    <w:p>
      <w:r>
        <w:pict>
          <v:rect style="width:0;height:1.5pt" o:hralign="center" o:hrstd="t" o:hr="t"/>
        </w:pict>
      </w:r>
    </w:p>
    <w:bookmarkEnd w:id="28"/>
    <w:bookmarkEnd w:id="29"/>
    <w:bookmarkStart w:id="44" w:name="X4d1904469622743063a53b3acbdf47eb727f84d"/>
    <w:p>
      <w:pPr>
        <w:pStyle w:val="Heading2"/>
      </w:pPr>
      <w:r>
        <w:t xml:space="preserve">3. Implementation &amp; Results</w:t>
      </w:r>
    </w:p>
    <w:bookmarkStart w:id="34" w:name="X1383630e10faddb354fc434fc1504bfe8f61901"/>
    <w:p>
      <w:pPr>
        <w:pStyle w:val="Heading3"/>
      </w:pPr>
      <w:r>
        <w:t xml:space="preserve">3.1 Modular Implementation and LangGraph Workflow</w:t>
      </w:r>
    </w:p>
    <w:p>
      <w:pPr>
        <w:pStyle w:val="FirstParagraph"/>
      </w:pPr>
      <w:r>
        <w:t xml:space="preserve">The solution was implemented as a modular Python project rather than as a notebook-only prototype. Reusable logic is separated across deterministic tools, agent orchestration, retrieval, explanation, guardrails, evaluation utilities, and tests. Notebooks preserve implementation walkthroughs and frozen evaluation evidence, while the source modules contain the executable workflow logic.</w:t>
      </w:r>
    </w:p>
    <w:p>
      <w:pPr>
        <w:pStyle w:val="BodyText"/>
      </w:pPr>
      <w:r>
        <w:t xml:space="preserve">The principal implementation stages are summarised in Table 3.1.</w:t>
      </w:r>
    </w:p>
    <w:p>
      <w:pPr>
        <w:pStyle w:val="BodyText"/>
      </w:pPr>
      <w:r>
        <w:rPr>
          <w:b/>
          <w:bCs/>
        </w:rPr>
        <w:t xml:space="preserve">Table 3.1 — Implemented workflow stages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Stage</w:t>
            </w:r>
          </w:p>
        </w:tc>
        <w:tc>
          <w:tcPr/>
          <w:p>
            <w:pPr>
              <w:pStyle w:val="Compact"/>
            </w:pPr>
            <w:r>
              <w:t xml:space="preserve">Responsibility</w:t>
            </w:r>
          </w:p>
        </w:tc>
      </w:tr>
      <w:tr>
        <w:tc>
          <w:tcPr/>
          <w:p>
            <w:pPr>
              <w:pStyle w:val="Compact"/>
            </w:pPr>
            <w:r>
              <w:t xml:space="preserve">Claim intake</w:t>
            </w:r>
          </w:p>
        </w:tc>
        <w:tc>
          <w:tcPr/>
          <w:p>
            <w:pPr>
              <w:pStyle w:val="Compact"/>
            </w:pPr>
            <w:r>
              <w:t xml:space="preserve">Load the claim and linked policy, device, evidence, history, and risk records</w:t>
            </w:r>
          </w:p>
        </w:tc>
      </w:tr>
      <w:tr>
        <w:tc>
          <w:tcPr/>
          <w:p>
            <w:pPr>
              <w:pStyle w:val="Compact"/>
            </w:pPr>
            <w:r>
              <w:t xml:space="preserve">Deterministic tools</w:t>
            </w:r>
          </w:p>
        </w:tc>
        <w:tc>
          <w:tcPr/>
          <w:p>
            <w:pPr>
              <w:pStyle w:val="Compact"/>
            </w:pPr>
            <w:r>
              <w:t xml:space="preserve">Evaluate authoritative policy, eligibility, coverage, evidence, history, and risk facts</w:t>
            </w:r>
          </w:p>
        </w:tc>
      </w:tr>
      <w:tr>
        <w:tc>
          <w:tcPr/>
          <w:p>
            <w:pPr>
              <w:pStyle w:val="Compact"/>
            </w:pPr>
            <w:r>
              <w:t xml:space="preserve">Rule precedence</w:t>
            </w:r>
          </w:p>
        </w:tc>
        <w:tc>
          <w:tcPr/>
          <w:p>
            <w:pPr>
              <w:pStyle w:val="Compact"/>
            </w:pPr>
            <w:r>
              <w:t xml:space="preserve">Select the disposition, triggering rule, and decision reason</w:t>
            </w:r>
          </w:p>
        </w:tc>
      </w:tr>
      <w:tr>
        <w:tc>
          <w:tcPr/>
          <w:p>
            <w:pPr>
              <w:pStyle w:val="Compact"/>
            </w:pPr>
            <w:r>
              <w:t xml:space="preserve">Controlled follow-up</w:t>
            </w:r>
          </w:p>
        </w:tc>
        <w:tc>
          <w:tcPr/>
          <w:p>
            <w:pPr>
              <w:pStyle w:val="Compact"/>
            </w:pPr>
            <w:r>
              <w:t xml:space="preserve">Select an approved catalogue question when information is missing</w:t>
            </w:r>
          </w:p>
        </w:tc>
      </w:tr>
      <w:tr>
        <w:tc>
          <w:tcPr/>
          <w:p>
            <w:pPr>
              <w:pStyle w:val="Compact"/>
            </w:pPr>
            <w:r>
              <w:t xml:space="preserve">Controlled query</w:t>
            </w:r>
          </w:p>
        </w:tc>
        <w:tc>
          <w:tcPr/>
          <w:p>
            <w:pPr>
              <w:pStyle w:val="Compact"/>
            </w:pPr>
            <w:r>
              <w:t xml:space="preserve">Project allow-listed authoritative facts into a retrieval query</w:t>
            </w:r>
          </w:p>
        </w:tc>
      </w:tr>
      <w:tr>
        <w:tc>
          <w:tcPr/>
          <w:p>
            <w:pPr>
              <w:pStyle w:val="Compact"/>
            </w:pPr>
            <w:r>
              <w:t xml:space="preserve">FAISS retrieval</w:t>
            </w:r>
          </w:p>
        </w:tc>
        <w:tc>
          <w:tcPr/>
          <w:p>
            <w:pPr>
              <w:pStyle w:val="Compact"/>
            </w:pPr>
            <w:r>
              <w:t xml:space="preserve">Retrieve approved operational guidance</w:t>
            </w:r>
          </w:p>
        </w:tc>
      </w:tr>
      <w:tr>
        <w:tc>
          <w:tcPr/>
          <w:p>
            <w:pPr>
              <w:pStyle w:val="Compact"/>
            </w:pPr>
            <w:r>
              <w:t xml:space="preserve">Cross-encoder reranking</w:t>
            </w:r>
          </w:p>
        </w:tc>
        <w:tc>
          <w:tcPr/>
          <w:p>
            <w:pPr>
              <w:pStyle w:val="Compact"/>
            </w:pPr>
            <w:r>
              <w:t xml:space="preserve">Optionally reorder a bounded candidate set</w:t>
            </w:r>
          </w:p>
        </w:tc>
      </w:tr>
      <w:tr>
        <w:tc>
          <w:tcPr/>
          <w:p>
            <w:pPr>
              <w:pStyle w:val="Compact"/>
            </w:pPr>
            <w:r>
              <w:t xml:space="preserve">LLM explanation</w:t>
            </w:r>
          </w:p>
        </w:tc>
        <w:tc>
          <w:tcPr/>
          <w:p>
            <w:pPr>
              <w:pStyle w:val="Compact"/>
            </w:pPr>
            <w:r>
              <w:t xml:space="preserve">Produce non-authoritative analyst-facing support</w:t>
            </w:r>
          </w:p>
        </w:tc>
      </w:tr>
      <w:tr>
        <w:tc>
          <w:tcPr/>
          <w:p>
            <w:pPr>
              <w:pStyle w:val="Compact"/>
            </w:pPr>
            <w:r>
              <w:t xml:space="preserve">Content-safety guardrail</w:t>
            </w:r>
          </w:p>
        </w:tc>
        <w:tc>
          <w:tcPr/>
          <w:p>
            <w:pPr>
              <w:pStyle w:val="Compact"/>
            </w:pPr>
            <w:r>
              <w:t xml:space="preserve">Detect prohibited generated behaviour</w:t>
            </w:r>
          </w:p>
        </w:tc>
      </w:tr>
      <w:tr>
        <w:tc>
          <w:tcPr/>
          <w:p>
            <w:pPr>
              <w:pStyle w:val="Compact"/>
            </w:pPr>
            <w:r>
              <w:t xml:space="preserve">Response-authority guardrail</w:t>
            </w:r>
          </w:p>
        </w:tc>
        <w:tc>
          <w:tcPr/>
          <w:p>
            <w:pPr>
              <w:pStyle w:val="Compact"/>
            </w:pPr>
            <w:r>
              <w:t xml:space="preserve">Preserve deterministic outcomes and protected fields</w:t>
            </w:r>
          </w:p>
        </w:tc>
      </w:tr>
      <w:tr>
        <w:tc>
          <w:tcPr/>
          <w:p>
            <w:pPr>
              <w:pStyle w:val="Compact"/>
            </w:pPr>
            <w:r>
              <w:t xml:space="preserve">Human review</w:t>
            </w:r>
          </w:p>
        </w:tc>
        <w:tc>
          <w:tcPr/>
          <w:p>
            <w:pPr>
              <w:pStyle w:val="Compact"/>
            </w:pPr>
            <w:r>
              <w:t xml:space="preserve">Determine the final operational or customer-facing action</w:t>
            </w:r>
          </w:p>
        </w:tc>
      </w:tr>
    </w:tbl>
    <w:p>
      <w:pPr>
        <w:pStyle w:val="BodyText"/>
      </w:pPr>
      <w:r>
        <w:t xml:space="preserve">LangGraph was used to represent these stages as an explicit stateful workflow [5]. The compiled final implementation, identified as</w:t>
      </w:r>
      <w:r>
        <w:t xml:space="preserve"> </w:t>
      </w:r>
      <w:r>
        <w:rPr>
          <w:rStyle w:val="VerbatimChar"/>
        </w:rPr>
        <w:t xml:space="preserve">langgraph_v6</w:t>
      </w:r>
      <w:r>
        <w:t xml:space="preserve">, follows this sequence:</w:t>
      </w:r>
    </w:p>
    <w:p>
      <w:pPr>
        <w:pStyle w:val="Compact"/>
        <w:numPr>
          <w:ilvl w:val="0"/>
          <w:numId w:val="1010"/>
        </w:numPr>
      </w:pPr>
      <w:r>
        <w:rPr>
          <w:rStyle w:val="VerbatimChar"/>
        </w:rPr>
        <w:t xml:space="preserve">deterministic_triage</w:t>
      </w:r>
      <w:r>
        <w:t xml:space="preserve">;</w:t>
      </w:r>
    </w:p>
    <w:p>
      <w:pPr>
        <w:pStyle w:val="Compact"/>
        <w:numPr>
          <w:ilvl w:val="0"/>
          <w:numId w:val="1010"/>
        </w:numPr>
      </w:pPr>
      <w:r>
        <w:rPr>
          <w:rStyle w:val="VerbatimChar"/>
        </w:rPr>
        <w:t xml:space="preserve">controlled_follow_up_selection</w:t>
      </w:r>
      <w:r>
        <w:t xml:space="preserve">;</w:t>
      </w:r>
    </w:p>
    <w:p>
      <w:pPr>
        <w:pStyle w:val="Compact"/>
        <w:numPr>
          <w:ilvl w:val="0"/>
          <w:numId w:val="1010"/>
        </w:numPr>
      </w:pPr>
      <w:r>
        <w:rPr>
          <w:rStyle w:val="VerbatimChar"/>
        </w:rPr>
        <w:t xml:space="preserve">controlled_rag_retrieval</w:t>
      </w:r>
      <w:r>
        <w:t xml:space="preserve">;</w:t>
      </w:r>
    </w:p>
    <w:p>
      <w:pPr>
        <w:pStyle w:val="Compact"/>
        <w:numPr>
          <w:ilvl w:val="0"/>
          <w:numId w:val="1010"/>
        </w:numPr>
      </w:pPr>
      <w:r>
        <w:rPr>
          <w:rStyle w:val="VerbatimChar"/>
        </w:rPr>
        <w:t xml:space="preserve">explanation_proposal</w:t>
      </w:r>
      <w:r>
        <w:t xml:space="preserve">;</w:t>
      </w:r>
    </w:p>
    <w:p>
      <w:pPr>
        <w:pStyle w:val="Compact"/>
        <w:numPr>
          <w:ilvl w:val="0"/>
          <w:numId w:val="1010"/>
        </w:numPr>
      </w:pPr>
      <w:r>
        <w:rPr>
          <w:rStyle w:val="VerbatimChar"/>
        </w:rPr>
        <w:t xml:space="preserve">agent_content_safety_guardrail</w:t>
      </w:r>
      <w:r>
        <w:t xml:space="preserve">;</w:t>
      </w:r>
    </w:p>
    <w:p>
      <w:pPr>
        <w:pStyle w:val="Compact"/>
        <w:numPr>
          <w:ilvl w:val="0"/>
          <w:numId w:val="1010"/>
        </w:numPr>
      </w:pPr>
      <w:r>
        <w:rPr>
          <w:rStyle w:val="VerbatimChar"/>
        </w:rPr>
        <w:t xml:space="preserve">response_guardrail</w:t>
      </w:r>
      <w:r>
        <w:t xml:space="preserve">.</w:t>
      </w:r>
    </w:p>
    <w:p>
      <w:pPr>
        <w:pStyle w:val="FirstParagraph"/>
      </w:pPr>
      <w:r>
        <w:rPr>
          <w:b/>
          <w:bCs/>
        </w:rPr>
        <w:t xml:space="preserve">Figure 3 — LangGraph Orchestration Flow</w:t>
      </w:r>
    </w:p>
    <w:p>
      <w:pPr>
        <w:pStyle w:val="BodyText"/>
      </w:pPr>
      <w:r>
        <w:drawing>
          <wp:inline>
            <wp:extent cx="3810000" cy="2540000"/>
            <wp:effectExtent b="0" l="0" r="0" t="0"/>
            <wp:docPr descr="LangGraph orchestration flow showing deterministic triage, controlled retrieval, explanation generation, guardrails, and authorised human review" title="" id="31" name="Picture"/>
            <a:graphic>
              <a:graphicData uri="http://schemas.openxmlformats.org/drawingml/2006/picture">
                <pic:pic>
                  <pic:nvPicPr>
                    <pic:cNvPr descr="figures/figure_3_langgraph_orchestration_flow.svg" id="32" name="Picture"/>
                    <pic:cNvPicPr>
                      <a:picLocks noChangeArrowheads="1" noChangeAspect="1"/>
                    </pic:cNvPicPr>
                  </pic:nvPicPr>
                  <pic:blipFill>
                    <a:blip r:embed="rId33">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rPr>
          <w:i/>
          <w:iCs/>
        </w:rPr>
        <w:t xml:space="preserve">Deterministic triage is completed before retrieval or generation. Controlled RAG may be enabled or bypassed without changing the authoritative result. The content-safety guardrail replaces prohibited generated content, while the response-authority guardrail restores protected deterministic values when an override is detected. Final operational responsibility remains with an authorised human reviewer.</w:t>
      </w:r>
    </w:p>
    <w:p>
      <w:pPr>
        <w:pStyle w:val="BodyText"/>
      </w:pPr>
      <w:r>
        <w:t xml:space="preserve">The deterministic tools evaluate:</w:t>
      </w:r>
    </w:p>
    <w:p>
      <w:pPr>
        <w:pStyle w:val="Compact"/>
        <w:numPr>
          <w:ilvl w:val="0"/>
          <w:numId w:val="1011"/>
        </w:numPr>
      </w:pPr>
      <w:r>
        <w:t xml:space="preserve">policy and customer matching;</w:t>
      </w:r>
    </w:p>
    <w:p>
      <w:pPr>
        <w:pStyle w:val="Compact"/>
        <w:numPr>
          <w:ilvl w:val="0"/>
          <w:numId w:val="1011"/>
        </w:numPr>
      </w:pPr>
      <w:r>
        <w:t xml:space="preserve">applicable plan configuration;</w:t>
      </w:r>
    </w:p>
    <w:p>
      <w:pPr>
        <w:pStyle w:val="Compact"/>
        <w:numPr>
          <w:ilvl w:val="0"/>
          <w:numId w:val="1011"/>
        </w:numPr>
      </w:pPr>
      <w:r>
        <w:t xml:space="preserve">product scope;</w:t>
      </w:r>
    </w:p>
    <w:p>
      <w:pPr>
        <w:pStyle w:val="Compact"/>
        <w:numPr>
          <w:ilvl w:val="0"/>
          <w:numId w:val="1011"/>
        </w:numPr>
      </w:pPr>
      <w:r>
        <w:t xml:space="preserve">policy status on the incident date;</w:t>
      </w:r>
    </w:p>
    <w:p>
      <w:pPr>
        <w:pStyle w:val="Compact"/>
        <w:numPr>
          <w:ilvl w:val="0"/>
          <w:numId w:val="1011"/>
        </w:numPr>
      </w:pPr>
      <w:r>
        <w:t xml:space="preserve">protected-device match;</w:t>
      </w:r>
    </w:p>
    <w:p>
      <w:pPr>
        <w:pStyle w:val="Compact"/>
        <w:numPr>
          <w:ilvl w:val="0"/>
          <w:numId w:val="1011"/>
        </w:numPr>
      </w:pPr>
      <w:r>
        <w:t xml:space="preserve">incident coverage;</w:t>
      </w:r>
    </w:p>
    <w:p>
      <w:pPr>
        <w:pStyle w:val="Compact"/>
        <w:numPr>
          <w:ilvl w:val="0"/>
          <w:numId w:val="1011"/>
        </w:numPr>
      </w:pPr>
      <w:r>
        <w:t xml:space="preserve">prior-claim utilisation and limits;</w:t>
      </w:r>
    </w:p>
    <w:p>
      <w:pPr>
        <w:pStyle w:val="Compact"/>
        <w:numPr>
          <w:ilvl w:val="0"/>
          <w:numId w:val="1011"/>
        </w:numPr>
      </w:pPr>
      <w:r>
        <w:t xml:space="preserve">evidence availability and sufficiency;</w:t>
      </w:r>
    </w:p>
    <w:p>
      <w:pPr>
        <w:pStyle w:val="Compact"/>
        <w:numPr>
          <w:ilvl w:val="0"/>
          <w:numId w:val="1011"/>
        </w:numPr>
      </w:pPr>
      <w:r>
        <w:t xml:space="preserve">risk, anomaly, and conflict indicators.</w:t>
      </w:r>
    </w:p>
    <w:p>
      <w:pPr>
        <w:pStyle w:val="FirstParagraph"/>
      </w:pPr>
      <w:r>
        <w:t xml:space="preserve">Their outputs are consolidated into an authoritative claim context. Rule precedence then produces the triage outcome, triggering rule, precedence stage, decision reason, and rule trace. The LLM receives this result only after deterministic evaluation has completed.</w:t>
      </w:r>
    </w:p>
    <w:p>
      <w:pPr>
        <w:pStyle w:val="BodyText"/>
      </w:pPr>
      <w:r>
        <w:t xml:space="preserve">Claims classified as</w:t>
      </w:r>
      <w:r>
        <w:t xml:space="preserve"> </w:t>
      </w:r>
      <w:r>
        <w:rPr>
          <w:rStyle w:val="VerbatimChar"/>
        </w:rPr>
        <w:t xml:space="preserve">INFO_REQUIRED</w:t>
      </w:r>
      <w:r>
        <w:t xml:space="preserve"> </w:t>
      </w:r>
      <w:r>
        <w:t xml:space="preserve">use an approved catalogue containing 14 follow-up questions. The workflow selects an existing question identifier and wording rather than allowing unrestricted question generation. This provides consistent wording, auditability, and direct comparison with ground-truth labels.</w:t>
      </w:r>
    </w:p>
    <w:p>
      <w:pPr>
        <w:pStyle w:val="BodyText"/>
      </w:pPr>
      <w:r>
        <w:t xml:space="preserve">The controlled RAG query is constructed from an allow-listed projection of authoritative facts. It may include the outcome, triggering rule, claim category, coverage status, evidence state, missing evidence codes, and manual-review requirement. Customer narrative, identifiers, evidence-document text, and generated reasoning are excluded.</w:t>
      </w:r>
    </w:p>
    <w:p>
      <w:pPr>
        <w:pStyle w:val="BodyText"/>
      </w:pPr>
      <w:r>
        <w:t xml:space="preserve">The cross-encoder uses</w:t>
      </w:r>
      <w:r>
        <w:t xml:space="preserve"> </w:t>
      </w:r>
      <w:r>
        <w:rPr>
          <w:rStyle w:val="VerbatimChar"/>
        </w:rPr>
        <w:t xml:space="preserve">cross-encoder/ms-marco-MiniLM-L-6-v2</w:t>
      </w:r>
      <w:r>
        <w:t xml:space="preserve">. Cross-encoders jointly score query-document pairs and are commonly used as second-stage passage rerankers because they can model interactions that are not captured when query and document embeddings are generated independently [6]. In this project, reranking could change only the order of approved retrieved chunks; it could not introduce external information or change the claim outcome.</w:t>
      </w:r>
    </w:p>
    <w:p>
      <w:pPr>
        <w:pStyle w:val="BodyText"/>
      </w:pPr>
      <w:r>
        <w:t xml:space="preserve">The LLM explanation is processed through two protective controls:</w:t>
      </w:r>
    </w:p>
    <w:p>
      <w:pPr>
        <w:pStyle w:val="Compact"/>
        <w:numPr>
          <w:ilvl w:val="0"/>
          <w:numId w:val="1012"/>
        </w:numPr>
      </w:pPr>
      <w:r>
        <w:t xml:space="preserve">the content-safety guardrail detects prohibited behaviour such as autonomous approval, denial, fraud determination, payment authorisation, fabricated facts, or attempts to bypass human review;</w:t>
      </w:r>
    </w:p>
    <w:p>
      <w:pPr>
        <w:pStyle w:val="Compact"/>
        <w:numPr>
          <w:ilvl w:val="0"/>
          <w:numId w:val="1012"/>
        </w:numPr>
      </w:pPr>
      <w:r>
        <w:t xml:space="preserve">the response-authority guardrail mechanically compares protected fields with the deterministic state and restores the authoritative outcome, rule, and approved follow-up values if a conflict is detected.</w:t>
      </w:r>
    </w:p>
    <w:p>
      <w:pPr>
        <w:pStyle w:val="FirstParagraph"/>
      </w:pPr>
      <w:r>
        <w:t xml:space="preserve">This separation ensures that safe-sounding generated text cannot silently alter the authoritative decision record.</w:t>
      </w:r>
    </w:p>
    <w:bookmarkEnd w:id="34"/>
    <w:bookmarkStart w:id="39" w:name="X66126bb2e57c7b6bb7947088ba69a7cd4eb8c92"/>
    <w:p>
      <w:pPr>
        <w:pStyle w:val="Heading3"/>
      </w:pPr>
      <w:r>
        <w:t xml:space="preserve">3.2 One Claim Journey</w:t>
      </w:r>
    </w:p>
    <w:p>
      <w:pPr>
        <w:pStyle w:val="FirstParagraph"/>
      </w:pPr>
      <w:r>
        <w:t xml:space="preserve">The frozen development case</w:t>
      </w:r>
      <w:r>
        <w:t xml:space="preserve"> </w:t>
      </w:r>
      <w:r>
        <w:rPr>
          <w:rStyle w:val="VerbatimChar"/>
        </w:rPr>
        <w:t xml:space="preserve">GEN-001</w:t>
      </w:r>
      <w:r>
        <w:t xml:space="preserve">, linked to claim</w:t>
      </w:r>
      <w:r>
        <w:t xml:space="preserve"> </w:t>
      </w:r>
      <w:r>
        <w:rPr>
          <w:rStyle w:val="VerbatimChar"/>
        </w:rPr>
        <w:t xml:space="preserve">CLM-000001</w:t>
      </w:r>
      <w:r>
        <w:t xml:space="preserve">, illustrates the complete workflow for a screen-damage repair claim.</w:t>
      </w:r>
    </w:p>
    <w:p>
      <w:pPr>
        <w:pStyle w:val="BodyText"/>
      </w:pPr>
      <w:r>
        <w:rPr>
          <w:b/>
          <w:bCs/>
        </w:rPr>
        <w:t xml:space="preserve">Figure 4 — One Claim Journey</w:t>
      </w:r>
    </w:p>
    <w:p>
      <w:pPr>
        <w:pStyle w:val="BodyText"/>
      </w:pPr>
      <w:r>
        <w:drawing>
          <wp:inline>
            <wp:extent cx="3810000" cy="2540000"/>
            <wp:effectExtent b="0" l="0" r="0" t="0"/>
            <wp:docPr descr="Journey of claim CLM-000001 through deterministic evaluation, controlled retrieval, explanation, guardrails, and human review" title="" id="36" name="Picture"/>
            <a:graphic>
              <a:graphicData uri="http://schemas.openxmlformats.org/drawingml/2006/picture">
                <pic:pic>
                  <pic:nvPicPr>
                    <pic:cNvPr descr="figures/figure_4_one_claim_journey.svg" id="37" name="Picture"/>
                    <pic:cNvPicPr>
                      <a:picLocks noChangeArrowheads="1" noChangeAspect="1"/>
                    </pic:cNvPicPr>
                  </pic:nvPicPr>
                  <pic:blipFill>
                    <a:blip r:embed="rId38">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rPr>
          <w:i/>
          <w:iCs/>
        </w:rPr>
        <w:t xml:space="preserve">The claim was matched to an active</w:t>
      </w:r>
      <w:r>
        <w:rPr>
          <w:i/>
          <w:iCs/>
        </w:rPr>
        <w:t xml:space="preserve"> </w:t>
      </w:r>
      <w:r>
        <w:rPr>
          <w:rStyle w:val="VerbatimChar"/>
          <w:i/>
          <w:iCs/>
        </w:rPr>
        <w:t xml:space="preserve">DP-ESSENTIAL</w:t>
      </w:r>
      <w:r>
        <w:rPr>
          <w:i/>
          <w:iCs/>
        </w:rPr>
        <w:t xml:space="preserve"> </w:t>
      </w:r>
      <w:r>
        <w:rPr>
          <w:i/>
          <w:iCs/>
        </w:rPr>
        <w:t xml:space="preserve">policy, confirmed as in scope and covered, and assessed as having sufficient evidence with no risk indicators. Rule precedence produced</w:t>
      </w:r>
      <w:r>
        <w:rPr>
          <w:i/>
          <w:iCs/>
        </w:rPr>
        <w:t xml:space="preserve"> </w:t>
      </w:r>
      <w:r>
        <w:rPr>
          <w:rStyle w:val="VerbatimChar"/>
          <w:i/>
          <w:iCs/>
        </w:rPr>
        <w:t xml:space="preserve">OUT-001 → PROCEED</w:t>
      </w:r>
      <w:r>
        <w:rPr>
          <w:i/>
          <w:iCs/>
        </w:rPr>
        <w:t xml:space="preserve">. Controlled retrieval supplied evidence-handling guidance, while the explanation remained non-authoritative. The final response passed both guardrails before being presented for authorised human review.</w:t>
      </w:r>
    </w:p>
    <w:p>
      <w:pPr>
        <w:pStyle w:val="BodyText"/>
      </w:pPr>
      <w:r>
        <w:rPr>
          <w:b/>
          <w:bCs/>
        </w:rPr>
        <w:t xml:space="preserve">Table 3.2 — Representative journey for</w:t>
      </w:r>
      <w:r>
        <w:rPr>
          <w:b/>
          <w:bCs/>
        </w:rPr>
        <w:t xml:space="preserve"> </w:t>
      </w:r>
      <w:r>
        <w:rPr>
          <w:rStyle w:val="VerbatimChar"/>
          <w:b/>
          <w:bCs/>
        </w:rPr>
        <w:t xml:space="preserve">CLM-000001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Actual project output</w:t>
            </w:r>
          </w:p>
        </w:tc>
        <w:tc>
          <w:tcPr/>
          <w:p>
            <w:pPr>
              <w:pStyle w:val="Compact"/>
            </w:pPr>
            <w:r>
              <w:t xml:space="preserve">Role</w:t>
            </w:r>
          </w:p>
        </w:tc>
      </w:tr>
      <w:tr>
        <w:tc>
          <w:tcPr/>
          <w:p>
            <w:pPr>
              <w:pStyle w:val="Compact"/>
            </w:pPr>
            <w:r>
              <w:t xml:space="preserve">Policy lookup</w:t>
            </w:r>
          </w:p>
        </w:tc>
        <w:tc>
          <w:tcPr/>
          <w:p>
            <w:pPr>
              <w:pStyle w:val="Compact"/>
            </w:pPr>
            <w:r>
              <w:rPr>
                <w:rStyle w:val="VerbatimChar"/>
              </w:rPr>
              <w:t xml:space="preserve">UNIQUE_MATCH</w:t>
            </w:r>
            <w:r>
              <w:t xml:space="preserve">; plan</w:t>
            </w:r>
            <w:r>
              <w:t xml:space="preserve"> </w:t>
            </w:r>
            <w:r>
              <w:rPr>
                <w:rStyle w:val="VerbatimChar"/>
              </w:rPr>
              <w:t xml:space="preserve">DP-ESSENTIAL</w:t>
            </w:r>
          </w:p>
        </w:tc>
        <w:tc>
          <w:tcPr/>
          <w:p>
            <w:pPr>
              <w:pStyle w:val="Compact"/>
            </w:pPr>
            <w:r>
              <w:t xml:space="preserve">Authoritative</w:t>
            </w:r>
          </w:p>
        </w:tc>
      </w:tr>
      <w:tr>
        <w:tc>
          <w:tcPr/>
          <w:p>
            <w:pPr>
              <w:pStyle w:val="Compact"/>
            </w:pPr>
            <w:r>
              <w:t xml:space="preserve">Plan and product scope</w:t>
            </w:r>
          </w:p>
        </w:tc>
        <w:tc>
          <w:tcPr/>
          <w:p>
            <w:pPr>
              <w:pStyle w:val="Compact"/>
            </w:pPr>
            <w:r>
              <w:rPr>
                <w:rStyle w:val="VerbatimChar"/>
              </w:rPr>
              <w:t xml:space="preserve">ACTIVE_CONFIGURATION_AVAILABLE</w:t>
            </w:r>
            <w:r>
              <w:t xml:space="preserve">;</w:t>
            </w:r>
            <w:r>
              <w:t xml:space="preserve"> </w:t>
            </w:r>
            <w:r>
              <w:rPr>
                <w:rStyle w:val="VerbatimChar"/>
              </w:rPr>
              <w:t xml:space="preserve">IN_SCOPE</w:t>
            </w:r>
          </w:p>
        </w:tc>
        <w:tc>
          <w:tcPr/>
          <w:p>
            <w:pPr>
              <w:pStyle w:val="Compact"/>
            </w:pPr>
            <w:r>
              <w:t xml:space="preserve">Authoritative</w:t>
            </w:r>
          </w:p>
        </w:tc>
      </w:tr>
      <w:tr>
        <w:tc>
          <w:tcPr/>
          <w:p>
            <w:pPr>
              <w:pStyle w:val="Compact"/>
            </w:pPr>
            <w:r>
              <w:t xml:space="preserve">Policy and device checks</w:t>
            </w:r>
          </w:p>
        </w:tc>
        <w:tc>
          <w:tcPr/>
          <w:p>
            <w:pPr>
              <w:pStyle w:val="Compact"/>
            </w:pPr>
            <w:r>
              <w:rPr>
                <w:rStyle w:val="VerbatimChar"/>
              </w:rPr>
              <w:t xml:space="preserve">ACTIVE_ON_INCIDENT_DATE</w:t>
            </w:r>
            <w:r>
              <w:t xml:space="preserve">;</w:t>
            </w:r>
            <w:r>
              <w:t xml:space="preserve"> </w:t>
            </w:r>
            <w:r>
              <w:rPr>
                <w:rStyle w:val="VerbatimChar"/>
              </w:rPr>
              <w:t xml:space="preserve">DEVICE_MATCH</w:t>
            </w:r>
          </w:p>
        </w:tc>
        <w:tc>
          <w:tcPr/>
          <w:p>
            <w:pPr>
              <w:pStyle w:val="Compact"/>
            </w:pPr>
            <w:r>
              <w:t xml:space="preserve">Authoritative</w:t>
            </w:r>
          </w:p>
        </w:tc>
      </w:tr>
      <w:tr>
        <w:tc>
          <w:tcPr/>
          <w:p>
            <w:pPr>
              <w:pStyle w:val="Compact"/>
            </w:pPr>
            <w:r>
              <w:t xml:space="preserve">Coverage</w:t>
            </w:r>
          </w:p>
        </w:tc>
        <w:tc>
          <w:tcPr/>
          <w:p>
            <w:pPr>
              <w:pStyle w:val="Compact"/>
            </w:pPr>
            <w:r>
              <w:rPr>
                <w:rStyle w:val="VerbatimChar"/>
              </w:rPr>
              <w:t xml:space="preserve">UNIQUE_COVERAGE_RECORD</w:t>
            </w:r>
            <w:r>
              <w:t xml:space="preserve">; covered</w:t>
            </w:r>
          </w:p>
        </w:tc>
        <w:tc>
          <w:tcPr/>
          <w:p>
            <w:pPr>
              <w:pStyle w:val="Compact"/>
            </w:pPr>
            <w:r>
              <w:t xml:space="preserve">Authoritative</w:t>
            </w:r>
          </w:p>
        </w:tc>
      </w:tr>
      <w:tr>
        <w:tc>
          <w:tcPr/>
          <w:p>
            <w:pPr>
              <w:pStyle w:val="Compact"/>
            </w:pPr>
            <w:r>
              <w:t xml:space="preserve">Claims history</w:t>
            </w:r>
          </w:p>
        </w:tc>
        <w:tc>
          <w:tcPr/>
          <w:p>
            <w:pPr>
              <w:pStyle w:val="Compact"/>
            </w:pPr>
            <w:r>
              <w:t xml:space="preserve">Annual claims used: 0 of 1</w:t>
            </w:r>
          </w:p>
        </w:tc>
        <w:tc>
          <w:tcPr/>
          <w:p>
            <w:pPr>
              <w:pStyle w:val="Compact"/>
            </w:pPr>
            <w:r>
              <w:t xml:space="preserve">Authoritative</w:t>
            </w:r>
          </w:p>
        </w:tc>
      </w:tr>
      <w:tr>
        <w:tc>
          <w:tcPr/>
          <w:p>
            <w:pPr>
              <w:pStyle w:val="Compact"/>
            </w:pPr>
            <w:r>
              <w:t xml:space="preserve">Evidence assessment</w:t>
            </w:r>
          </w:p>
        </w:tc>
        <w:tc>
          <w:tcPr/>
          <w:p>
            <w:pPr>
              <w:pStyle w:val="Compact"/>
            </w:pPr>
            <w:r>
              <w:rPr>
                <w:rStyle w:val="VerbatimChar"/>
              </w:rPr>
              <w:t xml:space="preserve">EVD-SCREEN-01</w:t>
            </w:r>
            <w:r>
              <w:t xml:space="preserve">;</w:t>
            </w:r>
            <w:r>
              <w:t xml:space="preserve"> </w:t>
            </w:r>
            <w:r>
              <w:rPr>
                <w:rStyle w:val="VerbatimChar"/>
              </w:rPr>
              <w:t xml:space="preserve">SUFFICIENT</w:t>
            </w:r>
          </w:p>
        </w:tc>
        <w:tc>
          <w:tcPr/>
          <w:p>
            <w:pPr>
              <w:pStyle w:val="Compact"/>
            </w:pPr>
            <w:r>
              <w:t xml:space="preserve">Authoritative</w:t>
            </w:r>
          </w:p>
        </w:tc>
      </w:tr>
      <w:tr>
        <w:tc>
          <w:tcPr/>
          <w:p>
            <w:pPr>
              <w:pStyle w:val="Compact"/>
            </w:pPr>
            <w:r>
              <w:t xml:space="preserve">Risk assessment</w:t>
            </w:r>
          </w:p>
        </w:tc>
        <w:tc>
          <w:tcPr/>
          <w:p>
            <w:pPr>
              <w:pStyle w:val="Compact"/>
            </w:pPr>
            <w:r>
              <w:t xml:space="preserve">No triggered indicators</w:t>
            </w:r>
          </w:p>
        </w:tc>
        <w:tc>
          <w:tcPr/>
          <w:p>
            <w:pPr>
              <w:pStyle w:val="Compact"/>
            </w:pPr>
            <w:r>
              <w:t xml:space="preserve">Authoritative</w:t>
            </w:r>
          </w:p>
        </w:tc>
      </w:tr>
      <w:tr>
        <w:tc>
          <w:tcPr/>
          <w:p>
            <w:pPr>
              <w:pStyle w:val="Compact"/>
            </w:pPr>
            <w:r>
              <w:t xml:space="preserve">Rule precedence</w:t>
            </w:r>
          </w:p>
        </w:tc>
        <w:tc>
          <w:tcPr/>
          <w:p>
            <w:pPr>
              <w:pStyle w:val="Compact"/>
            </w:pPr>
            <w:r>
              <w:rPr>
                <w:rStyle w:val="VerbatimChar"/>
              </w:rPr>
              <w:t xml:space="preserve">OUT-001</w:t>
            </w:r>
          </w:p>
        </w:tc>
        <w:tc>
          <w:tcPr/>
          <w:p>
            <w:pPr>
              <w:pStyle w:val="Compact"/>
            </w:pPr>
            <w:r>
              <w:t xml:space="preserve">Authoritative</w:t>
            </w:r>
          </w:p>
        </w:tc>
      </w:tr>
      <w:tr>
        <w:tc>
          <w:tcPr/>
          <w:p>
            <w:pPr>
              <w:pStyle w:val="Compact"/>
            </w:pPr>
            <w:r>
              <w:t xml:space="preserve">Triage outcome</w:t>
            </w:r>
          </w:p>
        </w:tc>
        <w:tc>
          <w:tcPr/>
          <w:p>
            <w:pPr>
              <w:pStyle w:val="Compact"/>
            </w:pPr>
            <w:r>
              <w:rPr>
                <w:rStyle w:val="VerbatimChar"/>
              </w:rPr>
              <w:t xml:space="preserve">PROCEED</w:t>
            </w:r>
          </w:p>
        </w:tc>
        <w:tc>
          <w:tcPr/>
          <w:p>
            <w:pPr>
              <w:pStyle w:val="Compact"/>
            </w:pPr>
            <w:r>
              <w:t xml:space="preserve">Authoritative recommendation</w:t>
            </w:r>
          </w:p>
        </w:tc>
      </w:tr>
      <w:tr>
        <w:tc>
          <w:tcPr/>
          <w:p>
            <w:pPr>
              <w:pStyle w:val="Compact"/>
            </w:pPr>
            <w:r>
              <w:t xml:space="preserve">Follow-up</w:t>
            </w:r>
          </w:p>
        </w:tc>
        <w:tc>
          <w:tcPr/>
          <w:p>
            <w:pPr>
              <w:pStyle w:val="Compact"/>
            </w:pPr>
            <w:r>
              <w:rPr>
                <w:rStyle w:val="VerbatimChar"/>
              </w:rPr>
              <w:t xml:space="preserve">NOT_REQUIRED</w:t>
            </w:r>
          </w:p>
        </w:tc>
        <w:tc>
          <w:tcPr/>
          <w:p>
            <w:pPr>
              <w:pStyle w:val="Compact"/>
            </w:pPr>
            <w:r>
              <w:t xml:space="preserve">Catalogue-controlled</w:t>
            </w:r>
          </w:p>
        </w:tc>
      </w:tr>
      <w:tr>
        <w:tc>
          <w:tcPr/>
          <w:p>
            <w:pPr>
              <w:pStyle w:val="Compact"/>
            </w:pPr>
            <w:r>
              <w:t xml:space="preserve">Retrieved chunks</w:t>
            </w:r>
          </w:p>
        </w:tc>
        <w:tc>
          <w:tcPr/>
          <w:p>
            <w:pPr>
              <w:pStyle w:val="Compact"/>
            </w:pPr>
            <w:r>
              <w:rPr>
                <w:rStyle w:val="VerbatimChar"/>
              </w:rPr>
              <w:t xml:space="preserve">KB-002::S03</w:t>
            </w:r>
            <w:r>
              <w:t xml:space="preserve">,</w:t>
            </w:r>
            <w:r>
              <w:t xml:space="preserve"> </w:t>
            </w:r>
            <w:r>
              <w:rPr>
                <w:rStyle w:val="VerbatimChar"/>
              </w:rPr>
              <w:t xml:space="preserve">KB-001::S01</w:t>
            </w:r>
            <w:r>
              <w:t xml:space="preserve">,</w:t>
            </w:r>
            <w:r>
              <w:t xml:space="preserve"> </w:t>
            </w:r>
            <w:r>
              <w:rPr>
                <w:rStyle w:val="VerbatimChar"/>
              </w:rPr>
              <w:t xml:space="preserve">KB-002::S01</w:t>
            </w:r>
          </w:p>
        </w:tc>
        <w:tc>
          <w:tcPr/>
          <w:p>
            <w:pPr>
              <w:pStyle w:val="Compact"/>
            </w:pPr>
            <w:r>
              <w:t xml:space="preserve">Non-authoritative</w:t>
            </w:r>
          </w:p>
        </w:tc>
      </w:tr>
      <w:tr>
        <w:tc>
          <w:tcPr/>
          <w:p>
            <w:pPr>
              <w:pStyle w:val="Compact"/>
            </w:pPr>
            <w:r>
              <w:t xml:space="preserve">Highest-ranked guidance</w:t>
            </w:r>
          </w:p>
        </w:tc>
        <w:tc>
          <w:tcPr/>
          <w:p>
            <w:pPr>
              <w:pStyle w:val="Compact"/>
            </w:pPr>
            <w:r>
              <w:t xml:space="preserve">Screen-damage evidence profile requires a damage photo</w:t>
            </w:r>
          </w:p>
        </w:tc>
        <w:tc>
          <w:tcPr/>
          <w:p>
            <w:pPr>
              <w:pStyle w:val="Compact"/>
            </w:pPr>
            <w:r>
              <w:t xml:space="preserve">Non-authoritative</w:t>
            </w:r>
          </w:p>
        </w:tc>
      </w:tr>
      <w:tr>
        <w:tc>
          <w:tcPr/>
          <w:p>
            <w:pPr>
              <w:pStyle w:val="Compact"/>
            </w:pPr>
            <w:r>
              <w:t xml:space="preserve">Content-safety status</w:t>
            </w:r>
          </w:p>
        </w:tc>
        <w:tc>
          <w:tcPr/>
          <w:p>
            <w:pPr>
              <w:pStyle w:val="Compact"/>
            </w:pPr>
            <w:r>
              <w:rPr>
                <w:rStyle w:val="VerbatimChar"/>
              </w:rPr>
              <w:t xml:space="preserve">SAFE</w:t>
            </w:r>
          </w:p>
        </w:tc>
        <w:tc>
          <w:tcPr/>
          <w:p>
            <w:pPr>
              <w:pStyle w:val="Compact"/>
            </w:pPr>
            <w:r>
              <w:t xml:space="preserve">Protective</w:t>
            </w:r>
          </w:p>
        </w:tc>
      </w:tr>
      <w:tr>
        <w:tc>
          <w:tcPr/>
          <w:p>
            <w:pPr>
              <w:pStyle w:val="Compact"/>
            </w:pPr>
            <w:r>
              <w:t xml:space="preserve">Authority status</w:t>
            </w:r>
          </w:p>
        </w:tc>
        <w:tc>
          <w:tcPr/>
          <w:p>
            <w:pPr>
              <w:pStyle w:val="Compact"/>
            </w:pPr>
            <w:r>
              <w:rPr>
                <w:rStyle w:val="VerbatimChar"/>
              </w:rPr>
              <w:t xml:space="preserve">ALIGNED</w:t>
            </w:r>
          </w:p>
        </w:tc>
        <w:tc>
          <w:tcPr/>
          <w:p>
            <w:pPr>
              <w:pStyle w:val="Compact"/>
            </w:pPr>
            <w:r>
              <w:t xml:space="preserve">Protective</w:t>
            </w:r>
          </w:p>
        </w:tc>
      </w:tr>
      <w:tr>
        <w:tc>
          <w:tcPr/>
          <w:p>
            <w:pPr>
              <w:pStyle w:val="Compact"/>
            </w:pPr>
            <w:r>
              <w:t xml:space="preserve">Final action</w:t>
            </w:r>
          </w:p>
        </w:tc>
        <w:tc>
          <w:tcPr/>
          <w:p>
            <w:pPr>
              <w:pStyle w:val="Compact"/>
            </w:pPr>
            <w:r>
              <w:t xml:space="preserve">Presented to an authorised analyst</w:t>
            </w:r>
          </w:p>
        </w:tc>
        <w:tc>
          <w:tcPr/>
          <w:p>
            <w:pPr>
              <w:pStyle w:val="Compact"/>
            </w:pPr>
            <w:r>
              <w:t xml:space="preserve">Human-controlled</w:t>
            </w:r>
          </w:p>
        </w:tc>
      </w:tr>
    </w:tbl>
    <w:p>
      <w:pPr>
        <w:pStyle w:val="BodyText"/>
      </w:pPr>
      <w:r>
        <w:t xml:space="preserve">The controlled query described the established outcome, triggering rule, screen-damage category, repair service, active configuration, confirmed coverage, sufficient evidence, and device match. The highest-ranked chunk came from the Evidence Review Guide and confirmed the evidence profile applicable to screen damage.</w:t>
      </w:r>
    </w:p>
    <w:p>
      <w:pPr>
        <w:pStyle w:val="BodyText"/>
      </w:pPr>
      <w:r>
        <w:t xml:space="preserve">The retrieved passage supported analyst interpretation but did not create the evidence requirement. The final explanation clarified that</w:t>
      </w:r>
      <w:r>
        <w:t xml:space="preserve"> </w:t>
      </w:r>
      <w:r>
        <w:rPr>
          <w:rStyle w:val="VerbatimChar"/>
        </w:rPr>
        <w:t xml:space="preserve">PROCEED</w:t>
      </w:r>
      <w:r>
        <w:t xml:space="preserve"> </w:t>
      </w:r>
      <w:r>
        <w:t xml:space="preserve">meant continuation to standard processing rather than claim approval or payment authorisation.</w:t>
      </w:r>
    </w:p>
    <w:p>
      <w:pPr>
        <w:pStyle w:val="BodyText"/>
      </w:pPr>
      <w:r>
        <w:t xml:space="preserve">The journey therefore demonstrates the separation of responsibilities: deterministic tools establish the recommendation, retrieval supplies guidance, the LLM explains the result, guardrails protect it, and the analyst determines the final action.</w:t>
      </w:r>
    </w:p>
    <w:bookmarkEnd w:id="39"/>
    <w:bookmarkStart w:id="40" w:name="X196382c442ebcee0edf7e68017094d7f46080bf"/>
    <w:p>
      <w:pPr>
        <w:pStyle w:val="Heading3"/>
      </w:pPr>
      <w:r>
        <w:t xml:space="preserve">3.3 Testing and Reproducibility</w:t>
      </w:r>
    </w:p>
    <w:p>
      <w:pPr>
        <w:pStyle w:val="FirstParagraph"/>
      </w:pPr>
      <w:r>
        <w:t xml:space="preserve">The final regression suite contains</w:t>
      </w:r>
      <w:r>
        <w:t xml:space="preserve"> </w:t>
      </w:r>
      <w:r>
        <w:rPr>
          <w:b/>
          <w:bCs/>
        </w:rPr>
        <w:t xml:space="preserve">149 passing tests</w:t>
      </w:r>
      <w:r>
        <w:t xml:space="preserve">. It covers:</w:t>
      </w:r>
    </w:p>
    <w:p>
      <w:pPr>
        <w:pStyle w:val="Compact"/>
        <w:numPr>
          <w:ilvl w:val="0"/>
          <w:numId w:val="1013"/>
        </w:numPr>
      </w:pPr>
      <w:r>
        <w:t xml:space="preserve">deterministic triage and rule precedence;</w:t>
      </w:r>
    </w:p>
    <w:p>
      <w:pPr>
        <w:pStyle w:val="Compact"/>
        <w:numPr>
          <w:ilvl w:val="0"/>
          <w:numId w:val="1013"/>
        </w:numPr>
      </w:pPr>
      <w:r>
        <w:t xml:space="preserve">plan, policy, device, and coverage checks;</w:t>
      </w:r>
    </w:p>
    <w:p>
      <w:pPr>
        <w:pStyle w:val="Compact"/>
        <w:numPr>
          <w:ilvl w:val="0"/>
          <w:numId w:val="1013"/>
        </w:numPr>
      </w:pPr>
      <w:r>
        <w:t xml:space="preserve">follow-up catalogue validation and selection;</w:t>
      </w:r>
    </w:p>
    <w:p>
      <w:pPr>
        <w:pStyle w:val="Compact"/>
        <w:numPr>
          <w:ilvl w:val="0"/>
          <w:numId w:val="1013"/>
        </w:numPr>
      </w:pPr>
      <w:r>
        <w:t xml:space="preserve">lexical, semantic, hybrid, and FAISS retrieval;</w:t>
      </w:r>
    </w:p>
    <w:p>
      <w:pPr>
        <w:pStyle w:val="Compact"/>
        <w:numPr>
          <w:ilvl w:val="0"/>
          <w:numId w:val="1013"/>
        </w:numPr>
      </w:pPr>
      <w:r>
        <w:t xml:space="preserve">index persistence and stale-index detection;</w:t>
      </w:r>
    </w:p>
    <w:p>
      <w:pPr>
        <w:pStyle w:val="Compact"/>
        <w:numPr>
          <w:ilvl w:val="0"/>
          <w:numId w:val="1013"/>
        </w:numPr>
      </w:pPr>
      <w:r>
        <w:t xml:space="preserve">cross-encoder reranking;</w:t>
      </w:r>
    </w:p>
    <w:p>
      <w:pPr>
        <w:pStyle w:val="Compact"/>
        <w:numPr>
          <w:ilvl w:val="0"/>
          <w:numId w:val="1013"/>
        </w:numPr>
      </w:pPr>
      <w:r>
        <w:t xml:space="preserve">controlled query construction;</w:t>
      </w:r>
    </w:p>
    <w:p>
      <w:pPr>
        <w:pStyle w:val="Compact"/>
        <w:numPr>
          <w:ilvl w:val="0"/>
          <w:numId w:val="1013"/>
        </w:numPr>
      </w:pPr>
      <w:r>
        <w:t xml:space="preserve">LangGraph orchestration;</w:t>
      </w:r>
    </w:p>
    <w:p>
      <w:pPr>
        <w:pStyle w:val="Compact"/>
        <w:numPr>
          <w:ilvl w:val="0"/>
          <w:numId w:val="1013"/>
        </w:numPr>
      </w:pPr>
      <w:r>
        <w:t xml:space="preserve">explanation and analyst-guidance formatting;</w:t>
      </w:r>
    </w:p>
    <w:p>
      <w:pPr>
        <w:pStyle w:val="Compact"/>
        <w:numPr>
          <w:ilvl w:val="0"/>
          <w:numId w:val="1013"/>
        </w:numPr>
      </w:pPr>
      <w:r>
        <w:t xml:space="preserve">content-safety and response-authority guardrails;</w:t>
      </w:r>
    </w:p>
    <w:p>
      <w:pPr>
        <w:pStyle w:val="Compact"/>
        <w:numPr>
          <w:ilvl w:val="0"/>
          <w:numId w:val="1013"/>
        </w:numPr>
      </w:pPr>
      <w:r>
        <w:t xml:space="preserve">Ragas and LLM-judge evaluation utilities.</w:t>
      </w:r>
    </w:p>
    <w:p>
      <w:pPr>
        <w:pStyle w:val="FirstParagraph"/>
      </w:pPr>
      <w:r>
        <w:t xml:space="preserve">The project separates locally reproducible validation from external-model execution. Deterministic tools, guardrails, committed-artifact review, fingerprint verification, and regression tests do not require an OpenAI API key. Live embedding generation, explanation generation, and LLM-judge reruns require separately configured model access.</w:t>
      </w:r>
    </w:p>
    <w:p>
      <w:pPr>
        <w:pStyle w:val="BodyText"/>
      </w:pPr>
      <w:r>
        <w:t xml:space="preserve">Reproducibility controls include:</w:t>
      </w:r>
    </w:p>
    <w:p>
      <w:pPr>
        <w:pStyle w:val="Compact"/>
        <w:numPr>
          <w:ilvl w:val="0"/>
          <w:numId w:val="1014"/>
        </w:numPr>
      </w:pPr>
      <w:r>
        <w:t xml:space="preserve">documented environment and dependency versions;</w:t>
      </w:r>
    </w:p>
    <w:p>
      <w:pPr>
        <w:pStyle w:val="Compact"/>
        <w:numPr>
          <w:ilvl w:val="0"/>
          <w:numId w:val="1014"/>
        </w:numPr>
      </w:pPr>
      <w:r>
        <w:t xml:space="preserve">relative repository paths;</w:t>
      </w:r>
    </w:p>
    <w:p>
      <w:pPr>
        <w:pStyle w:val="Compact"/>
        <w:numPr>
          <w:ilvl w:val="0"/>
          <w:numId w:val="1014"/>
        </w:numPr>
      </w:pPr>
      <w:r>
        <w:t xml:space="preserve">modular source files;</w:t>
      </w:r>
    </w:p>
    <w:p>
      <w:pPr>
        <w:pStyle w:val="Compact"/>
        <w:numPr>
          <w:ilvl w:val="0"/>
          <w:numId w:val="1014"/>
        </w:numPr>
      </w:pPr>
      <w:r>
        <w:t xml:space="preserve">committed case-level evaluation outputs;</w:t>
      </w:r>
    </w:p>
    <w:p>
      <w:pPr>
        <w:pStyle w:val="Compact"/>
        <w:numPr>
          <w:ilvl w:val="0"/>
          <w:numId w:val="1014"/>
        </w:numPr>
      </w:pPr>
      <w:r>
        <w:t xml:space="preserve">evaluation manifests;</w:t>
      </w:r>
    </w:p>
    <w:p>
      <w:pPr>
        <w:pStyle w:val="Compact"/>
        <w:numPr>
          <w:ilvl w:val="0"/>
          <w:numId w:val="1014"/>
        </w:numPr>
      </w:pPr>
      <w:r>
        <w:t xml:space="preserve">corpus and chunk-order fingerprints;</w:t>
      </w:r>
    </w:p>
    <w:p>
      <w:pPr>
        <w:pStyle w:val="Compact"/>
        <w:numPr>
          <w:ilvl w:val="0"/>
          <w:numId w:val="1014"/>
        </w:numPr>
      </w:pPr>
      <w:r>
        <w:t xml:space="preserve">persisted FAISS artifacts;</w:t>
      </w:r>
    </w:p>
    <w:p>
      <w:pPr>
        <w:pStyle w:val="Compact"/>
        <w:numPr>
          <w:ilvl w:val="0"/>
          <w:numId w:val="1014"/>
        </w:numPr>
      </w:pPr>
      <w:r>
        <w:t xml:space="preserve">disjoint development and held-out partitions;</w:t>
      </w:r>
    </w:p>
    <w:p>
      <w:pPr>
        <w:pStyle w:val="Compact"/>
        <w:numPr>
          <w:ilvl w:val="0"/>
          <w:numId w:val="1014"/>
        </w:numPr>
      </w:pPr>
      <w:r>
        <w:t xml:space="preserve">frozen held-out predictions;</w:t>
      </w:r>
    </w:p>
    <w:p>
      <w:pPr>
        <w:pStyle w:val="Compact"/>
        <w:numPr>
          <w:ilvl w:val="0"/>
          <w:numId w:val="1014"/>
        </w:numPr>
      </w:pPr>
      <w:r>
        <w:t xml:space="preserve">SHA-256 verification;</w:t>
      </w:r>
    </w:p>
    <w:p>
      <w:pPr>
        <w:pStyle w:val="Compact"/>
        <w:numPr>
          <w:ilvl w:val="0"/>
          <w:numId w:val="1014"/>
        </w:numPr>
      </w:pPr>
      <w:r>
        <w:t xml:space="preserve">a final reviewer walkthrough.</w:t>
      </w:r>
    </w:p>
    <w:p>
      <w:pPr>
        <w:pStyle w:val="FirstParagraph"/>
      </w:pPr>
      <w:r>
        <w:t xml:space="preserve">The reviewer walkthrough displays the compiled LangGraph, validates expected artifact counts, recalculates the prediction fingerprint, and executes the 149-test suite. It does not regenerate embeddings, call the LLM, rerun Ragas, recreate held-out predictions, or tune the workflow.</w:t>
      </w:r>
    </w:p>
    <w:bookmarkEnd w:id="40"/>
    <w:bookmarkStart w:id="41" w:name="Xdc4e8a82baf1c88e08ce63cec364277f60f4c28"/>
    <w:p>
      <w:pPr>
        <w:pStyle w:val="Heading3"/>
      </w:pPr>
      <w:r>
        <w:t xml:space="preserve">3.4 Retrieval and Reranking Results</w:t>
      </w:r>
    </w:p>
    <w:p>
      <w:pPr>
        <w:pStyle w:val="FirstParagraph"/>
      </w:pPr>
      <w:r>
        <w:t xml:space="preserve">Four retrieval methods were evaluated on 14 frozen, manually grounded queries at</w:t>
      </w:r>
      <w:r>
        <w:t xml:space="preserve"> </w:t>
      </w:r>
      <w:r>
        <w:rPr>
          <w:rStyle w:val="VerbatimChar"/>
        </w:rPr>
        <w:t xml:space="preserve">Top K = 3</w:t>
      </w:r>
      <w:r>
        <w:t xml:space="preserve">.</w:t>
      </w:r>
    </w:p>
    <w:p>
      <w:pPr>
        <w:pStyle w:val="BodyText"/>
      </w:pPr>
      <w:r>
        <w:rPr>
          <w:b/>
          <w:bCs/>
        </w:rPr>
        <w:t xml:space="preserve">Table 3.3 — Retrieval benchmark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Retrieval method</w:t>
            </w:r>
          </w:p>
        </w:tc>
        <w:tc>
          <w:tcPr/>
          <w:p>
            <w:pPr>
              <w:pStyle w:val="Compact"/>
              <w:jc w:val="right"/>
            </w:pPr>
            <w:r>
              <w:t xml:space="preserve">Hit@1</w:t>
            </w:r>
          </w:p>
        </w:tc>
        <w:tc>
          <w:tcPr/>
          <w:p>
            <w:pPr>
              <w:pStyle w:val="Compact"/>
              <w:jc w:val="right"/>
            </w:pPr>
            <w:r>
              <w:t xml:space="preserve">Hit@3</w:t>
            </w:r>
          </w:p>
        </w:tc>
        <w:tc>
          <w:tcPr/>
          <w:p>
            <w:pPr>
              <w:pStyle w:val="Compact"/>
              <w:jc w:val="right"/>
            </w:pPr>
            <w:r>
              <w:t xml:space="preserve">MRR@3</w:t>
            </w:r>
          </w:p>
        </w:tc>
      </w:tr>
      <w:tr>
        <w:tc>
          <w:tcPr/>
          <w:p>
            <w:pPr>
              <w:pStyle w:val="Compact"/>
            </w:pPr>
            <w:r>
              <w:t xml:space="preserve">Lexical TF-IDF</w:t>
            </w:r>
          </w:p>
        </w:tc>
        <w:tc>
          <w:tcPr/>
          <w:p>
            <w:pPr>
              <w:pStyle w:val="Compact"/>
              <w:jc w:val="right"/>
            </w:pPr>
            <w:r>
              <w:t xml:space="preserve">57.1%</w:t>
            </w:r>
          </w:p>
        </w:tc>
        <w:tc>
          <w:tcPr/>
          <w:p>
            <w:pPr>
              <w:pStyle w:val="Compact"/>
              <w:jc w:val="right"/>
            </w:pPr>
            <w:r>
              <w:t xml:space="preserve">85.7%</w:t>
            </w:r>
          </w:p>
        </w:tc>
        <w:tc>
          <w:tcPr/>
          <w:p>
            <w:pPr>
              <w:pStyle w:val="Compact"/>
              <w:jc w:val="right"/>
            </w:pPr>
            <w:r>
              <w:t xml:space="preserve">0.702</w:t>
            </w:r>
          </w:p>
        </w:tc>
      </w:tr>
      <w:tr>
        <w:tc>
          <w:tcPr/>
          <w:p>
            <w:pPr>
              <w:pStyle w:val="Compact"/>
            </w:pPr>
            <w:r>
              <w:t xml:space="preserve">Semantic Embedding</w:t>
            </w:r>
          </w:p>
        </w:tc>
        <w:tc>
          <w:tcPr/>
          <w:p>
            <w:pPr>
              <w:pStyle w:val="Compact"/>
              <w:jc w:val="right"/>
            </w:pPr>
            <w:r>
              <w:rPr>
                <w:b/>
                <w:bCs/>
              </w:rPr>
              <w:t xml:space="preserve">78.6%</w:t>
            </w:r>
          </w:p>
        </w:tc>
        <w:tc>
          <w:tcPr/>
          <w:p>
            <w:pPr>
              <w:pStyle w:val="Compact"/>
              <w:jc w:val="right"/>
            </w:pPr>
            <w:r>
              <w:rPr>
                <w:b/>
                <w:bCs/>
              </w:rPr>
              <w:t xml:space="preserve">92.9%</w:t>
            </w:r>
          </w:p>
        </w:tc>
        <w:tc>
          <w:tcPr/>
          <w:p>
            <w:pPr>
              <w:pStyle w:val="Compact"/>
              <w:jc w:val="right"/>
            </w:pPr>
            <w:r>
              <w:rPr>
                <w:b/>
                <w:bCs/>
              </w:rPr>
              <w:t xml:space="preserve">0.857</w:t>
            </w:r>
          </w:p>
        </w:tc>
      </w:tr>
      <w:tr>
        <w:tc>
          <w:tcPr/>
          <w:p>
            <w:pPr>
              <w:pStyle w:val="Compact"/>
            </w:pPr>
            <w:r>
              <w:t xml:space="preserve">Hybrid RRF</w:t>
            </w:r>
          </w:p>
        </w:tc>
        <w:tc>
          <w:tcPr/>
          <w:p>
            <w:pPr>
              <w:pStyle w:val="Compact"/>
              <w:jc w:val="right"/>
            </w:pPr>
            <w:r>
              <w:t xml:space="preserve">71.4%</w:t>
            </w:r>
          </w:p>
        </w:tc>
        <w:tc>
          <w:tcPr/>
          <w:p>
            <w:pPr>
              <w:pStyle w:val="Compact"/>
              <w:jc w:val="right"/>
            </w:pPr>
            <w:r>
              <w:t xml:space="preserve">92.9%</w:t>
            </w:r>
          </w:p>
        </w:tc>
        <w:tc>
          <w:tcPr/>
          <w:p>
            <w:pPr>
              <w:pStyle w:val="Compact"/>
              <w:jc w:val="right"/>
            </w:pPr>
            <w:r>
              <w:t xml:space="preserve">0.798</w:t>
            </w:r>
          </w:p>
        </w:tc>
      </w:tr>
      <w:tr>
        <w:tc>
          <w:tcPr/>
          <w:p>
            <w:pPr>
              <w:pStyle w:val="Compact"/>
            </w:pPr>
            <w:r>
              <w:t xml:space="preserve">Semantic plus Cross-Encoder</w:t>
            </w:r>
          </w:p>
        </w:tc>
        <w:tc>
          <w:tcPr/>
          <w:p>
            <w:pPr>
              <w:pStyle w:val="Compact"/>
              <w:jc w:val="right"/>
            </w:pPr>
            <w:r>
              <w:t xml:space="preserve">78.6%</w:t>
            </w:r>
          </w:p>
        </w:tc>
        <w:tc>
          <w:tcPr/>
          <w:p>
            <w:pPr>
              <w:pStyle w:val="Compact"/>
              <w:jc w:val="right"/>
            </w:pPr>
            <w:r>
              <w:t xml:space="preserve">92.9%</w:t>
            </w:r>
          </w:p>
        </w:tc>
        <w:tc>
          <w:tcPr/>
          <w:p>
            <w:pPr>
              <w:pStyle w:val="Compact"/>
              <w:jc w:val="right"/>
            </w:pPr>
            <w:r>
              <w:t xml:space="preserve">0.845</w:t>
            </w:r>
          </w:p>
        </w:tc>
      </w:tr>
    </w:tbl>
    <w:p>
      <w:pPr>
        <w:pStyle w:val="BodyText"/>
      </w:pPr>
      <w:r>
        <w:t xml:space="preserve">Semantic retrieval achieved the strongest aggregate result. Compared with TF-IDF, it improved Hit@1 by 21.5 percentage points and Hit@3 by 7.2 percentage points. Hybrid RRF matched semantic retrieval at Hit@3 but did not improve Hit@1 or MRR@3.</w:t>
      </w:r>
    </w:p>
    <w:p>
      <w:pPr>
        <w:pStyle w:val="BodyText"/>
      </w:pPr>
      <w:r>
        <w:t xml:space="preserve">The cross-encoder produced mixed case-level behaviour:</w:t>
      </w:r>
    </w:p>
    <w:p>
      <w:pPr>
        <w:pStyle w:val="Compact"/>
        <w:numPr>
          <w:ilvl w:val="0"/>
          <w:numId w:val="1015"/>
        </w:numPr>
      </w:pPr>
      <w:r>
        <w:t xml:space="preserve">two queries improved;</w:t>
      </w:r>
    </w:p>
    <w:p>
      <w:pPr>
        <w:pStyle w:val="Compact"/>
        <w:numPr>
          <w:ilvl w:val="0"/>
          <w:numId w:val="1015"/>
        </w:numPr>
      </w:pPr>
      <w:r>
        <w:t xml:space="preserve">two queries regressed;</w:t>
      </w:r>
    </w:p>
    <w:p>
      <w:pPr>
        <w:pStyle w:val="Compact"/>
        <w:numPr>
          <w:ilvl w:val="0"/>
          <w:numId w:val="1015"/>
        </w:numPr>
      </w:pPr>
      <w:r>
        <w:t xml:space="preserve">nine retained the same Top-1 result;</w:t>
      </w:r>
    </w:p>
    <w:p>
      <w:pPr>
        <w:pStyle w:val="Compact"/>
        <w:numPr>
          <w:ilvl w:val="0"/>
          <w:numId w:val="1015"/>
        </w:numPr>
      </w:pPr>
      <w:r>
        <w:t xml:space="preserve">one remained a Top-3 miss.</w:t>
      </w:r>
    </w:p>
    <w:p>
      <w:pPr>
        <w:pStyle w:val="FirstParagraph"/>
      </w:pPr>
      <w:r>
        <w:t xml:space="preserve">Hit@1 and Hit@3 were unchanged, while MRR@3 decreased from 0.857 to 0.845. Semantic Embedding was therefore selected as the default, and reranking was retained as a</w:t>
      </w:r>
      <w:r>
        <w:t xml:space="preserve"> </w:t>
      </w:r>
      <w:r>
        <w:rPr>
          <w:rStyle w:val="VerbatimChar"/>
        </w:rPr>
        <w:t xml:space="preserve">CONTROLLED_OPTIONAL_STAGE</w:t>
      </w:r>
      <w:r>
        <w:t xml:space="preserve">.</w:t>
      </w:r>
    </w:p>
    <w:p>
      <w:pPr>
        <w:pStyle w:val="BodyText"/>
      </w:pPr>
      <w:r>
        <w:t xml:space="preserve">The benchmark demonstrates that additional model complexity did not automatically improve retrieval for the small specialised corpus. Aggregate metrics were therefore interpreted together with query-level regressions rather than using only favourable examples.</w:t>
      </w:r>
    </w:p>
    <w:bookmarkEnd w:id="41"/>
    <w:bookmarkStart w:id="42" w:name="X51b3aa42acbcedb343b71a23e40322cc20e78db"/>
    <w:p>
      <w:pPr>
        <w:pStyle w:val="Heading3"/>
      </w:pPr>
      <w:r>
        <w:t xml:space="preserve">3.5 Generation Quality, Human Review, and Automated Evaluation</w:t>
      </w:r>
    </w:p>
    <w:p>
      <w:pPr>
        <w:pStyle w:val="FirstParagraph"/>
      </w:pPr>
      <w:r>
        <w:t xml:space="preserve">Generation quality was evaluated on 12 frozen development cases covering all four dispositions. In every case:</w:t>
      </w:r>
    </w:p>
    <w:p>
      <w:pPr>
        <w:pStyle w:val="Compact"/>
        <w:numPr>
          <w:ilvl w:val="0"/>
          <w:numId w:val="1016"/>
        </w:numPr>
      </w:pPr>
      <w:r>
        <w:t xml:space="preserve">the final outcome matched the deterministic outcome;</w:t>
      </w:r>
    </w:p>
    <w:p>
      <w:pPr>
        <w:pStyle w:val="Compact"/>
        <w:numPr>
          <w:ilvl w:val="0"/>
          <w:numId w:val="1016"/>
        </w:numPr>
      </w:pPr>
      <w:r>
        <w:t xml:space="preserve">the final triggering rule matched the deterministic rule;</w:t>
      </w:r>
    </w:p>
    <w:p>
      <w:pPr>
        <w:pStyle w:val="Compact"/>
        <w:numPr>
          <w:ilvl w:val="0"/>
          <w:numId w:val="1016"/>
        </w:numPr>
      </w:pPr>
      <w:r>
        <w:t xml:space="preserve">content-safety status was</w:t>
      </w:r>
      <w:r>
        <w:t xml:space="preserve"> </w:t>
      </w:r>
      <w:r>
        <w:rPr>
          <w:rStyle w:val="VerbatimChar"/>
        </w:rPr>
        <w:t xml:space="preserve">SAFE</w:t>
      </w:r>
      <w:r>
        <w:t xml:space="preserve">;</w:t>
      </w:r>
    </w:p>
    <w:p>
      <w:pPr>
        <w:pStyle w:val="Compact"/>
        <w:numPr>
          <w:ilvl w:val="0"/>
          <w:numId w:val="1016"/>
        </w:numPr>
      </w:pPr>
      <w:r>
        <w:t xml:space="preserve">authority-guardrail status was</w:t>
      </w:r>
      <w:r>
        <w:t xml:space="preserve"> </w:t>
      </w:r>
      <w:r>
        <w:rPr>
          <w:rStyle w:val="VerbatimChar"/>
        </w:rPr>
        <w:t xml:space="preserve">ALIGNED</w:t>
      </w:r>
      <w:r>
        <w:t xml:space="preserve">;</w:t>
      </w:r>
    </w:p>
    <w:p>
      <w:pPr>
        <w:pStyle w:val="Compact"/>
        <w:numPr>
          <w:ilvl w:val="0"/>
          <w:numId w:val="1016"/>
        </w:numPr>
      </w:pPr>
      <w:r>
        <w:t xml:space="preserve">no critical human-identified safety failure occurred.</w:t>
      </w:r>
    </w:p>
    <w:p>
      <w:pPr>
        <w:pStyle w:val="FirstParagraph"/>
      </w:pPr>
      <w:r>
        <w:rPr>
          <w:b/>
          <w:bCs/>
        </w:rPr>
        <w:t xml:space="preserve">Table 3.4 — Human generation review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jc w:val="right"/>
            </w:pPr>
            <w:r>
              <w:t xml:space="preserve">Mean score</w:t>
            </w:r>
          </w:p>
        </w:tc>
      </w:tr>
      <w:tr>
        <w:tc>
          <w:tcPr/>
          <w:p>
            <w:pPr>
              <w:pStyle w:val="Compact"/>
            </w:pPr>
            <w:r>
              <w:t xml:space="preserve">Context relevance</w:t>
            </w:r>
          </w:p>
        </w:tc>
        <w:tc>
          <w:tcPr/>
          <w:p>
            <w:pPr>
              <w:pStyle w:val="Compact"/>
              <w:jc w:val="right"/>
            </w:pPr>
            <w:r>
              <w:t xml:space="preserve">2.75 / 4</w:t>
            </w:r>
          </w:p>
        </w:tc>
      </w:tr>
      <w:tr>
        <w:tc>
          <w:tcPr/>
          <w:p>
            <w:pPr>
              <w:pStyle w:val="Compact"/>
            </w:pPr>
            <w:r>
              <w:t xml:space="preserve">Groundedness</w:t>
            </w:r>
          </w:p>
        </w:tc>
        <w:tc>
          <w:tcPr/>
          <w:p>
            <w:pPr>
              <w:pStyle w:val="Compact"/>
              <w:jc w:val="right"/>
            </w:pPr>
            <w:r>
              <w:t xml:space="preserve">3.75 / 4</w:t>
            </w:r>
          </w:p>
        </w:tc>
      </w:tr>
      <w:tr>
        <w:tc>
          <w:tcPr/>
          <w:p>
            <w:pPr>
              <w:pStyle w:val="Compact"/>
            </w:pPr>
            <w:r>
              <w:t xml:space="preserve">Answer relevance</w:t>
            </w:r>
          </w:p>
        </w:tc>
        <w:tc>
          <w:tcPr/>
          <w:p>
            <w:pPr>
              <w:pStyle w:val="Compact"/>
              <w:jc w:val="right"/>
            </w:pPr>
            <w:r>
              <w:t xml:space="preserve">3.67 / 4</w:t>
            </w:r>
          </w:p>
        </w:tc>
      </w:tr>
      <w:tr>
        <w:tc>
          <w:tcPr/>
          <w:p>
            <w:pPr>
              <w:pStyle w:val="Compact"/>
            </w:pPr>
            <w:r>
              <w:t xml:space="preserve">Hallucination control</w:t>
            </w:r>
          </w:p>
        </w:tc>
        <w:tc>
          <w:tcPr/>
          <w:p>
            <w:pPr>
              <w:pStyle w:val="Compact"/>
              <w:jc w:val="right"/>
            </w:pPr>
            <w:r>
              <w:t xml:space="preserve">3.75 / 4</w:t>
            </w:r>
          </w:p>
        </w:tc>
      </w:tr>
      <w:tr>
        <w:tc>
          <w:tcPr/>
          <w:p>
            <w:pPr>
              <w:pStyle w:val="Compact"/>
            </w:pPr>
            <w:r>
              <w:t xml:space="preserve">Critical safety failures</w:t>
            </w:r>
          </w:p>
        </w:tc>
        <w:tc>
          <w:tcPr/>
          <w:p>
            <w:pPr>
              <w:pStyle w:val="Compact"/>
              <w:jc w:val="right"/>
            </w:pPr>
            <w:r>
              <w:t xml:space="preserve">0</w:t>
            </w:r>
          </w:p>
        </w:tc>
      </w:tr>
    </w:tbl>
    <w:p>
      <w:pPr>
        <w:pStyle w:val="BodyText"/>
      </w:pPr>
      <w:r>
        <w:t xml:space="preserve">Groundedness, answer relevance, and hallucination control were strong. Context relevance was lower because some retrieved passages were broadly related to evidence handling but did not directly address the triggering rule or immediate analyst action.</w:t>
      </w:r>
    </w:p>
    <w:p>
      <w:pPr>
        <w:pStyle w:val="BodyText"/>
      </w:pPr>
      <w:r>
        <w:t xml:space="preserve">An LLM-as-judge evaluated the same cases and was calibrated against the human baseline. LLM judges can provide scalable comparative evaluation, but their reliability depends on the task, rubric, and evaluator model; human calibration remains necessary when the judged dimension involves domain-specific usefulness or nuance [8].</w:t>
      </w:r>
    </w:p>
    <w:p>
      <w:pPr>
        <w:pStyle w:val="BodyText"/>
      </w:pPr>
      <w:r>
        <w:t xml:space="preserve">The largest disagreement concerned context relevance. The automated judge frequently rewarded semantic relatedness, while the human reviewer distinguished between generally relevant content and guidance that was directly useful for the particular rule.</w:t>
      </w:r>
    </w:p>
    <w:p>
      <w:pPr>
        <w:pStyle w:val="BodyText"/>
      </w:pPr>
      <w:r>
        <w:t xml:space="preserve">The judge was therefore retained as supplementary evidence rather than as a replacement for human review.</w:t>
      </w:r>
    </w:p>
    <w:p>
      <w:pPr>
        <w:pStyle w:val="BodyText"/>
      </w:pPr>
      <w:r>
        <w:t xml:space="preserve">Ragas was applied to the same 12 frozen cases. Ragas provides reference-based and reference-free metrics for evaluating retrieval and generated responses in RAG systems [7].</w:t>
      </w:r>
    </w:p>
    <w:p>
      <w:pPr>
        <w:pStyle w:val="BodyText"/>
      </w:pPr>
      <w:r>
        <w:rPr>
          <w:b/>
          <w:bCs/>
        </w:rPr>
        <w:t xml:space="preserve">Table 3.5 — Automated Ragas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Mean</w:t>
            </w:r>
          </w:p>
        </w:tc>
      </w:tr>
      <w:tr>
        <w:tc>
          <w:tcPr/>
          <w:p>
            <w:pPr>
              <w:pStyle w:val="Compact"/>
            </w:pPr>
            <w:r>
              <w:t xml:space="preserve">Context Precision</w:t>
            </w:r>
          </w:p>
        </w:tc>
        <w:tc>
          <w:tcPr/>
          <w:p>
            <w:pPr>
              <w:pStyle w:val="Compact"/>
              <w:jc w:val="right"/>
            </w:pPr>
            <w:r>
              <w:t xml:space="preserve">0.576</w:t>
            </w:r>
          </w:p>
        </w:tc>
      </w:tr>
      <w:tr>
        <w:tc>
          <w:tcPr/>
          <w:p>
            <w:pPr>
              <w:pStyle w:val="Compact"/>
            </w:pPr>
            <w:r>
              <w:t xml:space="preserve">Context Recall</w:t>
            </w:r>
          </w:p>
        </w:tc>
        <w:tc>
          <w:tcPr/>
          <w:p>
            <w:pPr>
              <w:pStyle w:val="Compact"/>
              <w:jc w:val="right"/>
            </w:pPr>
            <w:r>
              <w:t xml:space="preserve">0.417</w:t>
            </w:r>
          </w:p>
        </w:tc>
      </w:tr>
      <w:tr>
        <w:tc>
          <w:tcPr/>
          <w:p>
            <w:pPr>
              <w:pStyle w:val="Compact"/>
            </w:pPr>
            <w:r>
              <w:t xml:space="preserve">Faithfulness</w:t>
            </w:r>
          </w:p>
        </w:tc>
        <w:tc>
          <w:tcPr/>
          <w:p>
            <w:pPr>
              <w:pStyle w:val="Compact"/>
              <w:jc w:val="right"/>
            </w:pPr>
            <w:r>
              <w:t xml:space="preserve">0.627</w:t>
            </w:r>
          </w:p>
        </w:tc>
      </w:tr>
      <w:tr>
        <w:tc>
          <w:tcPr/>
          <w:p>
            <w:pPr>
              <w:pStyle w:val="Compact"/>
            </w:pPr>
            <w:r>
              <w:t xml:space="preserve">Answer Relevancy</w:t>
            </w:r>
          </w:p>
        </w:tc>
        <w:tc>
          <w:tcPr/>
          <w:p>
            <w:pPr>
              <w:pStyle w:val="Compact"/>
              <w:jc w:val="right"/>
            </w:pPr>
            <w:r>
              <w:t xml:space="preserve">0.533</w:t>
            </w:r>
          </w:p>
        </w:tc>
      </w:tr>
    </w:tbl>
    <w:p>
      <w:pPr>
        <w:pStyle w:val="BodyText"/>
      </w:pPr>
      <w:r>
        <w:t xml:space="preserve">Context Precision and Context Recall compared retrieved chunks with preferred rule-level guidance. Faithfulness used the complete legitimate generation context: authoritative structured facts plus retrieved KB guidance.</w:t>
      </w:r>
    </w:p>
    <w:p>
      <w:pPr>
        <w:pStyle w:val="BodyText"/>
      </w:pPr>
      <w:r>
        <w:t xml:space="preserve">This adaptation was required because the architecture is not a document-only RAG system. Statements such as the deterministic outcome, rule, evidence state, and precedence stage may be grounded in structured tool outputs rather than in the retrieved documents.</w:t>
      </w:r>
    </w:p>
    <w:p>
      <w:pPr>
        <w:pStyle w:val="BodyText"/>
      </w:pPr>
      <w:r>
        <w:t xml:space="preserve">Diagnostic analysis found:</w:t>
      </w:r>
    </w:p>
    <w:p>
      <w:pPr>
        <w:pStyle w:val="Compact"/>
        <w:numPr>
          <w:ilvl w:val="0"/>
          <w:numId w:val="1017"/>
        </w:numPr>
      </w:pPr>
      <w:r>
        <w:t xml:space="preserve">the exact preferred chunk in 3 of 12 cases;</w:t>
      </w:r>
    </w:p>
    <w:p>
      <w:pPr>
        <w:pStyle w:val="Compact"/>
        <w:numPr>
          <w:ilvl w:val="0"/>
          <w:numId w:val="1017"/>
        </w:numPr>
      </w:pPr>
      <w:r>
        <w:t xml:space="preserve">semantically adequate context in 6 of 12 cases;</w:t>
      </w:r>
    </w:p>
    <w:p>
      <w:pPr>
        <w:pStyle w:val="Compact"/>
        <w:numPr>
          <w:ilvl w:val="0"/>
          <w:numId w:val="1017"/>
        </w:numPr>
      </w:pPr>
      <w:r>
        <w:t xml:space="preserve">partial semantic coverage without the exact preferred chunk in 3 of 12 cases.</w:t>
      </w:r>
    </w:p>
    <w:p>
      <w:pPr>
        <w:pStyle w:val="FirstParagraph"/>
      </w:pPr>
      <w:r>
        <w:t xml:space="preserve">The main weakness was therefore retrieval alignment rather than loss of decision authority. The relevant improvement is more rule-aware query construction and guidance retrieval, not additional authority for RAG or the LLM.</w:t>
      </w:r>
    </w:p>
    <w:bookmarkEnd w:id="42"/>
    <w:bookmarkStart w:id="43" w:name="Xeac3c2117a232d6736ffed35e6479001f758b32"/>
    <w:p>
      <w:pPr>
        <w:pStyle w:val="Heading3"/>
      </w:pPr>
      <w:r>
        <w:t xml:space="preserve">3.6 Final Held-Out and Safety Results</w:t>
      </w:r>
    </w:p>
    <w:p>
      <w:pPr>
        <w:pStyle w:val="FirstParagraph"/>
      </w:pPr>
      <w:r>
        <w:t xml:space="preserve">The frozen workflow was evaluated on 55 held-out claims after the prediction artifact had been exported and fingerprinted. No tuning was performed after labels were joined.</w:t>
      </w:r>
    </w:p>
    <w:p>
      <w:pPr>
        <w:pStyle w:val="BodyText"/>
      </w:pPr>
      <w:r>
        <w:rPr>
          <w:b/>
          <w:bCs/>
        </w:rPr>
        <w:t xml:space="preserve">Table 3.6 — Primary and supporting held-out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Result</w:t>
            </w:r>
          </w:p>
        </w:tc>
      </w:tr>
      <w:tr>
        <w:tc>
          <w:tcPr/>
          <w:p>
            <w:pPr>
              <w:pStyle w:val="Compact"/>
            </w:pPr>
            <w:r>
              <w:t xml:space="preserve">Disposition accuracy</w:t>
            </w:r>
          </w:p>
        </w:tc>
        <w:tc>
          <w:tcPr/>
          <w:p>
            <w:pPr>
              <w:pStyle w:val="Compact"/>
              <w:jc w:val="right"/>
            </w:pPr>
            <w:r>
              <w:rPr>
                <w:b/>
                <w:bCs/>
              </w:rPr>
              <w:t xml:space="preserve">49/55, 89.1%</w:t>
            </w:r>
          </w:p>
        </w:tc>
      </w:tr>
      <w:tr>
        <w:tc>
          <w:tcPr/>
          <w:p>
            <w:pPr>
              <w:pStyle w:val="Compact"/>
            </w:pPr>
            <w:r>
              <w:t xml:space="preserve">Approved accuracy target</w:t>
            </w:r>
          </w:p>
        </w:tc>
        <w:tc>
          <w:tcPr/>
          <w:p>
            <w:pPr>
              <w:pStyle w:val="Compact"/>
              <w:jc w:val="right"/>
            </w:pPr>
            <w:r>
              <w:t xml:space="preserve">At least 80%</w:t>
            </w:r>
          </w:p>
        </w:tc>
      </w:tr>
      <w:tr>
        <w:tc>
          <w:tcPr/>
          <w:p>
            <w:pPr>
              <w:pStyle w:val="Compact"/>
            </w:pPr>
            <w:r>
              <w:t xml:space="preserve">Policy-rule adherence</w:t>
            </w:r>
          </w:p>
        </w:tc>
        <w:tc>
          <w:tcPr/>
          <w:p>
            <w:pPr>
              <w:pStyle w:val="Compact"/>
              <w:jc w:val="right"/>
            </w:pPr>
            <w:r>
              <w:t xml:space="preserve">89.1%</w:t>
            </w:r>
          </w:p>
        </w:tc>
      </w:tr>
      <w:tr>
        <w:tc>
          <w:tcPr/>
          <w:p>
            <w:pPr>
              <w:pStyle w:val="Compact"/>
            </w:pPr>
            <w:r>
              <w:t xml:space="preserve">Exact primary-rule agreement</w:t>
            </w:r>
          </w:p>
        </w:tc>
        <w:tc>
          <w:tcPr/>
          <w:p>
            <w:pPr>
              <w:pStyle w:val="Compact"/>
              <w:jc w:val="right"/>
            </w:pPr>
            <w:r>
              <w:t xml:space="preserve">87.3%</w:t>
            </w:r>
          </w:p>
        </w:tc>
      </w:tr>
      <w:tr>
        <w:tc>
          <w:tcPr/>
          <w:p>
            <w:pPr>
              <w:pStyle w:val="Compact"/>
            </w:pPr>
            <w:r>
              <w:t xml:space="preserve">Follow-up requirement accuracy</w:t>
            </w:r>
          </w:p>
        </w:tc>
        <w:tc>
          <w:tcPr/>
          <w:p>
            <w:pPr>
              <w:pStyle w:val="Compact"/>
              <w:jc w:val="right"/>
            </w:pPr>
            <w:r>
              <w:t xml:space="preserve">100.0%</w:t>
            </w:r>
          </w:p>
        </w:tc>
      </w:tr>
      <w:tr>
        <w:tc>
          <w:tcPr/>
          <w:p>
            <w:pPr>
              <w:pStyle w:val="Compact"/>
            </w:pPr>
            <w:r>
              <w:t xml:space="preserve">Exact follow-up selection</w:t>
            </w:r>
          </w:p>
        </w:tc>
        <w:tc>
          <w:tcPr/>
          <w:p>
            <w:pPr>
              <w:pStyle w:val="Compact"/>
              <w:jc w:val="right"/>
            </w:pPr>
            <w:r>
              <w:t xml:space="preserve">93.3%</w:t>
            </w:r>
          </w:p>
        </w:tc>
      </w:tr>
      <w:tr>
        <w:tc>
          <w:tcPr/>
          <w:p>
            <w:pPr>
              <w:pStyle w:val="Compact"/>
            </w:pPr>
            <w:r>
              <w:t xml:space="preserve">Manual-review recall</w:t>
            </w:r>
          </w:p>
        </w:tc>
        <w:tc>
          <w:tcPr/>
          <w:p>
            <w:pPr>
              <w:pStyle w:val="Compact"/>
              <w:jc w:val="right"/>
            </w:pPr>
            <w:r>
              <w:t xml:space="preserve">78.6%</w:t>
            </w:r>
          </w:p>
        </w:tc>
      </w:tr>
      <w:tr>
        <w:tc>
          <w:tcPr/>
          <w:p>
            <w:pPr>
              <w:pStyle w:val="Compact"/>
            </w:pPr>
            <w:r>
              <w:t xml:space="preserve">Manual-review precision</w:t>
            </w:r>
          </w:p>
        </w:tc>
        <w:tc>
          <w:tcPr/>
          <w:p>
            <w:pPr>
              <w:pStyle w:val="Compact"/>
              <w:jc w:val="right"/>
            </w:pPr>
            <w:r>
              <w:t xml:space="preserve">100.0%</w:t>
            </w:r>
          </w:p>
        </w:tc>
      </w:tr>
      <w:tr>
        <w:tc>
          <w:tcPr/>
          <w:p>
            <w:pPr>
              <w:pStyle w:val="Compact"/>
            </w:pPr>
            <w:r>
              <w:t xml:space="preserve">Authority alignment</w:t>
            </w:r>
          </w:p>
        </w:tc>
        <w:tc>
          <w:tcPr/>
          <w:p>
            <w:pPr>
              <w:pStyle w:val="Compact"/>
              <w:jc w:val="right"/>
            </w:pPr>
            <w:r>
              <w:t xml:space="preserve">100.0%</w:t>
            </w:r>
          </w:p>
        </w:tc>
      </w:tr>
      <w:tr>
        <w:tc>
          <w:tcPr/>
          <w:p>
            <w:pPr>
              <w:pStyle w:val="Compact"/>
            </w:pPr>
            <w:r>
              <w:t xml:space="preserve">Human-control preservation</w:t>
            </w:r>
          </w:p>
        </w:tc>
        <w:tc>
          <w:tcPr/>
          <w:p>
            <w:pPr>
              <w:pStyle w:val="Compact"/>
              <w:jc w:val="right"/>
            </w:pPr>
            <w:r>
              <w:t xml:space="preserve">100.0%</w:t>
            </w:r>
          </w:p>
        </w:tc>
      </w:tr>
      <w:tr>
        <w:tc>
          <w:tcPr/>
          <w:p>
            <w:pPr>
              <w:pStyle w:val="Compact"/>
            </w:pPr>
            <w:r>
              <w:t xml:space="preserve">Unsafe-decision diagnostic</w:t>
            </w:r>
          </w:p>
        </w:tc>
        <w:tc>
          <w:tcPr/>
          <w:p>
            <w:pPr>
              <w:pStyle w:val="Compact"/>
              <w:jc w:val="right"/>
            </w:pPr>
            <w:r>
              <w:t xml:space="preserve">10.9%</w:t>
            </w:r>
          </w:p>
        </w:tc>
      </w:tr>
    </w:tbl>
    <w:p>
      <w:pPr>
        <w:pStyle w:val="BodyText"/>
      </w:pPr>
      <w:r>
        <w:t xml:space="preserve">The primary proposal criterion was passed by 9.1 percentage points.</w:t>
      </w:r>
    </w:p>
    <w:p>
      <w:pPr>
        <w:pStyle w:val="BodyText"/>
      </w:pPr>
      <w:r>
        <w:rPr>
          <w:b/>
          <w:bCs/>
        </w:rPr>
        <w:t xml:space="preserve">Table 3.7 — Held-out confusion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Gold \ Predicted</w:t>
            </w:r>
          </w:p>
        </w:tc>
        <w:tc>
          <w:tcPr/>
          <w:p>
            <w:pPr>
              <w:pStyle w:val="Compact"/>
              <w:jc w:val="right"/>
            </w:pPr>
            <w:r>
              <w:rPr>
                <w:rStyle w:val="VerbatimChar"/>
              </w:rPr>
              <w:t xml:space="preserve">PROCEED</w:t>
            </w:r>
          </w:p>
        </w:tc>
        <w:tc>
          <w:tcPr/>
          <w:p>
            <w:pPr>
              <w:pStyle w:val="Compact"/>
              <w:jc w:val="right"/>
            </w:pPr>
            <w:r>
              <w:rPr>
                <w:rStyle w:val="VerbatimChar"/>
              </w:rPr>
              <w:t xml:space="preserve">INFO_REQUIRED</w:t>
            </w:r>
          </w:p>
        </w:tc>
        <w:tc>
          <w:tcPr/>
          <w:p>
            <w:pPr>
              <w:pStyle w:val="Compact"/>
              <w:jc w:val="right"/>
            </w:pPr>
            <w:r>
              <w:rPr>
                <w:rStyle w:val="VerbatimChar"/>
              </w:rPr>
              <w:t xml:space="preserve">MANUAL_REVIEW</w:t>
            </w:r>
          </w:p>
        </w:tc>
        <w:tc>
          <w:tcPr/>
          <w:p>
            <w:pPr>
              <w:pStyle w:val="Compact"/>
              <w:jc w:val="right"/>
            </w:pPr>
            <w:r>
              <w:rPr>
                <w:rStyle w:val="VerbatimChar"/>
              </w:rPr>
              <w:t xml:space="preserve">NOT_ELIGIBLE</w:t>
            </w:r>
          </w:p>
        </w:tc>
      </w:tr>
      <w:tr>
        <w:tc>
          <w:tcPr/>
          <w:p>
            <w:pPr>
              <w:pStyle w:val="Compact"/>
            </w:pPr>
            <w:r>
              <w:rPr>
                <w:rStyle w:val="VerbatimChar"/>
              </w:rPr>
              <w:t xml:space="preserve">PROCEED</w:t>
            </w:r>
          </w:p>
        </w:tc>
        <w:tc>
          <w:tcPr/>
          <w:p>
            <w:pPr>
              <w:pStyle w:val="Compact"/>
              <w:jc w:val="right"/>
            </w:pPr>
            <w:r>
              <w:t xml:space="preserve">17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pPr>
            <w:r>
              <w:rPr>
                <w:rStyle w:val="VerbatimChar"/>
              </w:rPr>
              <w:t xml:space="preserve">INFO_REQUIRED</w:t>
            </w:r>
          </w:p>
        </w:tc>
        <w:tc>
          <w:tcPr/>
          <w:p>
            <w:pPr>
              <w:pStyle w:val="Compact"/>
              <w:jc w:val="right"/>
            </w:pPr>
            <w:r>
              <w:t xml:space="preserve">0</w:t>
            </w:r>
          </w:p>
        </w:tc>
        <w:tc>
          <w:tcPr/>
          <w:p>
            <w:pPr>
              <w:pStyle w:val="Compact"/>
              <w:jc w:val="right"/>
            </w:pPr>
            <w:r>
              <w:t xml:space="preserve">15</w:t>
            </w:r>
          </w:p>
        </w:tc>
        <w:tc>
          <w:tcPr/>
          <w:p>
            <w:pPr>
              <w:pStyle w:val="Compact"/>
              <w:jc w:val="right"/>
            </w:pPr>
            <w:r>
              <w:t xml:space="preserve">0</w:t>
            </w:r>
          </w:p>
        </w:tc>
        <w:tc>
          <w:tcPr/>
          <w:p>
            <w:pPr>
              <w:pStyle w:val="Compact"/>
              <w:jc w:val="right"/>
            </w:pPr>
            <w:r>
              <w:t xml:space="preserve">0</w:t>
            </w:r>
          </w:p>
        </w:tc>
      </w:tr>
      <w:tr>
        <w:tc>
          <w:tcPr/>
          <w:p>
            <w:pPr>
              <w:pStyle w:val="Compact"/>
            </w:pPr>
            <w:r>
              <w:rPr>
                <w:rStyle w:val="VerbatimChar"/>
              </w:rPr>
              <w:t xml:space="preserve">MANUAL_REVIEW</w:t>
            </w:r>
          </w:p>
        </w:tc>
        <w:tc>
          <w:tcPr/>
          <w:p>
            <w:pPr>
              <w:pStyle w:val="Compact"/>
              <w:jc w:val="right"/>
            </w:pPr>
            <w:r>
              <w:t xml:space="preserve">3</w:t>
            </w:r>
          </w:p>
        </w:tc>
        <w:tc>
          <w:tcPr/>
          <w:p>
            <w:pPr>
              <w:pStyle w:val="Compact"/>
              <w:jc w:val="right"/>
            </w:pPr>
            <w:r>
              <w:t xml:space="preserve">0</w:t>
            </w:r>
          </w:p>
        </w:tc>
        <w:tc>
          <w:tcPr/>
          <w:p>
            <w:pPr>
              <w:pStyle w:val="Compact"/>
              <w:jc w:val="right"/>
            </w:pPr>
            <w:r>
              <w:t xml:space="preserve">11</w:t>
            </w:r>
          </w:p>
        </w:tc>
        <w:tc>
          <w:tcPr/>
          <w:p>
            <w:pPr>
              <w:pStyle w:val="Compact"/>
              <w:jc w:val="right"/>
            </w:pPr>
            <w:r>
              <w:t xml:space="preserve">0</w:t>
            </w:r>
          </w:p>
        </w:tc>
      </w:tr>
      <w:tr>
        <w:tc>
          <w:tcPr/>
          <w:p>
            <w:pPr>
              <w:pStyle w:val="Compact"/>
            </w:pPr>
            <w:r>
              <w:rPr>
                <w:rStyle w:val="VerbatimChar"/>
              </w:rPr>
              <w:t xml:space="preserve">NOT_ELIGIBLE</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6</w:t>
            </w:r>
          </w:p>
        </w:tc>
      </w:tr>
    </w:tbl>
    <w:p>
      <w:pPr>
        <w:pStyle w:val="BodyText"/>
      </w:pPr>
      <w:r>
        <w:t xml:space="preserve">All genuine</w:t>
      </w:r>
      <w:r>
        <w:t xml:space="preserve"> </w:t>
      </w:r>
      <w:r>
        <w:rPr>
          <w:rStyle w:val="VerbatimChar"/>
        </w:rPr>
        <w:t xml:space="preserve">PROCEED</w:t>
      </w:r>
      <w:r>
        <w:t xml:space="preserve"> </w:t>
      </w:r>
      <w:r>
        <w:t xml:space="preserve">and</w:t>
      </w:r>
      <w:r>
        <w:t xml:space="preserve"> </w:t>
      </w:r>
      <w:r>
        <w:rPr>
          <w:rStyle w:val="VerbatimChar"/>
        </w:rPr>
        <w:t xml:space="preserve">INFO_REQUIRED</w:t>
      </w:r>
      <w:r>
        <w:t xml:space="preserve"> </w:t>
      </w:r>
      <w:r>
        <w:t xml:space="preserve">cases were classified correctly. The weakness was over-routing to</w:t>
      </w:r>
      <w:r>
        <w:t xml:space="preserve"> </w:t>
      </w:r>
      <w:r>
        <w:rPr>
          <w:rStyle w:val="VerbatimChar"/>
        </w:rPr>
        <w:t xml:space="preserve">PROCEED</w:t>
      </w:r>
      <w:r>
        <w:t xml:space="preserve">: three</w:t>
      </w:r>
      <w:r>
        <w:t xml:space="preserve"> </w:t>
      </w:r>
      <w:r>
        <w:rPr>
          <w:rStyle w:val="VerbatimChar"/>
        </w:rPr>
        <w:t xml:space="preserve">MANUAL_REVIEW</w:t>
      </w:r>
      <w:r>
        <w:t xml:space="preserve"> </w:t>
      </w:r>
      <w:r>
        <w:t xml:space="preserve">cases and three</w:t>
      </w:r>
      <w:r>
        <w:t xml:space="preserve"> </w:t>
      </w:r>
      <w:r>
        <w:rPr>
          <w:rStyle w:val="VerbatimChar"/>
        </w:rPr>
        <w:t xml:space="preserve">NOT_ELIGIBLE</w:t>
      </w:r>
      <w:r>
        <w:t xml:space="preserve"> </w:t>
      </w:r>
      <w:r>
        <w:t xml:space="preserve">cases were incorrectly allowed to continue.</w:t>
      </w:r>
    </w:p>
    <w:p>
      <w:pPr>
        <w:pStyle w:val="BodyText"/>
      </w:pPr>
      <w:r>
        <w:t xml:space="preserve">The class-level results reinforce this pattern:</w:t>
      </w:r>
    </w:p>
    <w:p>
      <w:pPr>
        <w:pStyle w:val="Compact"/>
        <w:numPr>
          <w:ilvl w:val="0"/>
          <w:numId w:val="1018"/>
        </w:numPr>
      </w:pPr>
      <w:r>
        <w:rPr>
          <w:rStyle w:val="VerbatimChar"/>
        </w:rPr>
        <w:t xml:space="preserve">PROCEED</w:t>
      </w:r>
      <w:r>
        <w:t xml:space="preserve">: precision 0.739, recall 1.000, F1 0.850;</w:t>
      </w:r>
    </w:p>
    <w:p>
      <w:pPr>
        <w:pStyle w:val="Compact"/>
        <w:numPr>
          <w:ilvl w:val="0"/>
          <w:numId w:val="1018"/>
        </w:numPr>
      </w:pPr>
      <w:r>
        <w:rPr>
          <w:rStyle w:val="VerbatimChar"/>
        </w:rPr>
        <w:t xml:space="preserve">INFO_REQUIRED</w:t>
      </w:r>
      <w:r>
        <w:t xml:space="preserve">: precision, recall, and F1 of 1.000;</w:t>
      </w:r>
    </w:p>
    <w:p>
      <w:pPr>
        <w:pStyle w:val="Compact"/>
        <w:numPr>
          <w:ilvl w:val="0"/>
          <w:numId w:val="1018"/>
        </w:numPr>
      </w:pPr>
      <w:r>
        <w:rPr>
          <w:rStyle w:val="VerbatimChar"/>
        </w:rPr>
        <w:t xml:space="preserve">MANUAL_REVIEW</w:t>
      </w:r>
      <w:r>
        <w:t xml:space="preserve">: precision 1.000, recall 0.786, F1 0.880;</w:t>
      </w:r>
    </w:p>
    <w:p>
      <w:pPr>
        <w:pStyle w:val="Compact"/>
        <w:numPr>
          <w:ilvl w:val="0"/>
          <w:numId w:val="1018"/>
        </w:numPr>
      </w:pPr>
      <w:r>
        <w:rPr>
          <w:rStyle w:val="VerbatimChar"/>
        </w:rPr>
        <w:t xml:space="preserve">NOT_ELIGIBLE</w:t>
      </w:r>
      <w:r>
        <w:t xml:space="preserve">: precision 1.000, recall 0.667, F1 0.800.</w:t>
      </w:r>
    </w:p>
    <w:p>
      <w:pPr>
        <w:pStyle w:val="FirstParagraph"/>
      </w:pPr>
      <w:r>
        <w:t xml:space="preserve">Eight separate adversarial and edge cases formed the final safety gate.</w:t>
      </w:r>
    </w:p>
    <w:p>
      <w:pPr>
        <w:pStyle w:val="BodyText"/>
      </w:pPr>
      <w:r>
        <w:rPr>
          <w:b/>
          <w:bCs/>
        </w:rPr>
        <w:t xml:space="preserve">Table 3.8 — Held-out safety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Safety control</w:t>
            </w:r>
          </w:p>
        </w:tc>
        <w:tc>
          <w:tcPr/>
          <w:p>
            <w:pPr>
              <w:pStyle w:val="Compact"/>
              <w:jc w:val="right"/>
            </w:pPr>
            <w:r>
              <w:t xml:space="preserve">Result</w:t>
            </w:r>
          </w:p>
        </w:tc>
      </w:tr>
      <w:tr>
        <w:tc>
          <w:tcPr/>
          <w:p>
            <w:pPr>
              <w:pStyle w:val="Compact"/>
            </w:pPr>
            <w:r>
              <w:t xml:space="preserve">Safety cases passed</w:t>
            </w:r>
          </w:p>
        </w:tc>
        <w:tc>
          <w:tcPr/>
          <w:p>
            <w:pPr>
              <w:pStyle w:val="Compact"/>
              <w:jc w:val="right"/>
            </w:pPr>
            <w:r>
              <w:t xml:space="preserve">8/8</w:t>
            </w:r>
          </w:p>
        </w:tc>
      </w:tr>
      <w:tr>
        <w:tc>
          <w:tcPr/>
          <w:p>
            <w:pPr>
              <w:pStyle w:val="Compact"/>
            </w:pPr>
            <w:r>
              <w:t xml:space="preserve">Deterministic outcome preserved</w:t>
            </w:r>
          </w:p>
        </w:tc>
        <w:tc>
          <w:tcPr/>
          <w:p>
            <w:pPr>
              <w:pStyle w:val="Compact"/>
              <w:jc w:val="right"/>
            </w:pPr>
            <w:r>
              <w:t xml:space="preserve">8/8</w:t>
            </w:r>
          </w:p>
        </w:tc>
      </w:tr>
      <w:tr>
        <w:tc>
          <w:tcPr/>
          <w:p>
            <w:pPr>
              <w:pStyle w:val="Compact"/>
            </w:pPr>
            <w:r>
              <w:t xml:space="preserve">Applicable rule preserved</w:t>
            </w:r>
          </w:p>
        </w:tc>
        <w:tc>
          <w:tcPr/>
          <w:p>
            <w:pPr>
              <w:pStyle w:val="Compact"/>
              <w:jc w:val="right"/>
            </w:pPr>
            <w:r>
              <w:t xml:space="preserve">6/6</w:t>
            </w:r>
          </w:p>
        </w:tc>
      </w:tr>
      <w:tr>
        <w:tc>
          <w:tcPr/>
          <w:p>
            <w:pPr>
              <w:pStyle w:val="Compact"/>
            </w:pPr>
            <w:r>
              <w:t xml:space="preserve">No fabricated rule where none was expected</w:t>
            </w:r>
          </w:p>
        </w:tc>
        <w:tc>
          <w:tcPr/>
          <w:p>
            <w:pPr>
              <w:pStyle w:val="Compact"/>
              <w:jc w:val="right"/>
            </w:pPr>
            <w:r>
              <w:t xml:space="preserve">2/2</w:t>
            </w:r>
          </w:p>
        </w:tc>
      </w:tr>
      <w:tr>
        <w:tc>
          <w:tcPr/>
          <w:p>
            <w:pPr>
              <w:pStyle w:val="Compact"/>
            </w:pPr>
            <w:r>
              <w:t xml:space="preserve">Unsafe override blocked</w:t>
            </w:r>
          </w:p>
        </w:tc>
        <w:tc>
          <w:tcPr/>
          <w:p>
            <w:pPr>
              <w:pStyle w:val="Compact"/>
              <w:jc w:val="right"/>
            </w:pPr>
            <w:r>
              <w:t xml:space="preserve">8/8</w:t>
            </w:r>
          </w:p>
        </w:tc>
      </w:tr>
      <w:tr>
        <w:tc>
          <w:tcPr/>
          <w:p>
            <w:pPr>
              <w:pStyle w:val="Compact"/>
            </w:pPr>
            <w:r>
              <w:t xml:space="preserve">Controlled fallback used</w:t>
            </w:r>
          </w:p>
        </w:tc>
        <w:tc>
          <w:tcPr/>
          <w:p>
            <w:pPr>
              <w:pStyle w:val="Compact"/>
              <w:jc w:val="right"/>
            </w:pPr>
            <w:r>
              <w:t xml:space="preserve">8/8</w:t>
            </w:r>
          </w:p>
        </w:tc>
      </w:tr>
      <w:tr>
        <w:tc>
          <w:tcPr/>
          <w:p>
            <w:pPr>
              <w:pStyle w:val="Compact"/>
            </w:pPr>
            <w:r>
              <w:t xml:space="preserve">Critical safety failures</w:t>
            </w:r>
          </w:p>
        </w:tc>
        <w:tc>
          <w:tcPr/>
          <w:p>
            <w:pPr>
              <w:pStyle w:val="Compact"/>
              <w:jc w:val="right"/>
            </w:pPr>
            <w:r>
              <w:rPr>
                <w:b/>
                <w:bCs/>
              </w:rPr>
              <w:t xml:space="preserve">0</w:t>
            </w:r>
          </w:p>
        </w:tc>
      </w:tr>
    </w:tbl>
    <w:p>
      <w:pPr>
        <w:pStyle w:val="BodyText"/>
      </w:pPr>
      <w:r>
        <w:t xml:space="preserve">The hard safety gate passed. Generated content did not change the authoritative result in any held-out safety case, and the authorised human-control boundary was preserved.</w:t>
      </w:r>
    </w:p>
    <w:p>
      <w:pPr>
        <w:pStyle w:val="BodyText"/>
      </w:pPr>
      <w:r>
        <w:t xml:space="preserve">However, successful guardrail performance did not correct errors already present in the deterministic outcome. The six incorrect</w:t>
      </w:r>
      <w:r>
        <w:t xml:space="preserve"> </w:t>
      </w:r>
      <w:r>
        <w:rPr>
          <w:rStyle w:val="VerbatimChar"/>
        </w:rPr>
        <w:t xml:space="preserve">PROCEED</w:t>
      </w:r>
      <w:r>
        <w:t xml:space="preserve"> </w:t>
      </w:r>
      <w:r>
        <w:t xml:space="preserve">recommendations demonstrate that AI-authority controls and complete deterministic business-rule coverage are separate safety requirements.</w:t>
      </w:r>
    </w:p>
    <w:p>
      <w:r>
        <w:pict>
          <v:rect style="width:0;height:1.5pt" o:hralign="center" o:hrstd="t" o:hr="t"/>
        </w:pict>
      </w:r>
    </w:p>
    <w:bookmarkEnd w:id="43"/>
    <w:bookmarkEnd w:id="44"/>
    <w:bookmarkStart w:id="58" w:name="X26a41ba7d89b6b3716799daad41153fe24d9e77"/>
    <w:p>
      <w:pPr>
        <w:pStyle w:val="Heading2"/>
      </w:pPr>
      <w:r>
        <w:t xml:space="preserve">4. Strategic Deductions &amp; Business Impact</w:t>
      </w:r>
    </w:p>
    <w:bookmarkStart w:id="48" w:name="X3734fa426983de7187ea10246d9750ae3d080dd"/>
    <w:p>
      <w:pPr>
        <w:pStyle w:val="Heading3"/>
      </w:pPr>
      <w:r>
        <w:t xml:space="preserve">4.1 Operational Implications</w:t>
      </w:r>
    </w:p>
    <w:p>
      <w:pPr>
        <w:pStyle w:val="FirstParagraph"/>
      </w:pPr>
      <w:r>
        <w:t xml:space="preserve">The project demonstrates that deterministic rules and generative AI can support different stages of claim triage without sharing decision authority.</w:t>
      </w:r>
    </w:p>
    <w:p>
      <w:pPr>
        <w:pStyle w:val="BodyText"/>
      </w:pPr>
      <w:r>
        <w:t xml:space="preserve">The deterministic layer provides repeatable evaluation of policy, device, coverage, evidence, claim-history, exclusion, and risk conditions. LangGraph coordinates the sequence, while retrieval and explanation components provide supporting guidance to the analyst.</w:t>
      </w:r>
    </w:p>
    <w:p>
      <w:pPr>
        <w:pStyle w:val="BodyText"/>
      </w:pPr>
      <w:r>
        <w:t xml:space="preserve">The architecture indicates three principal operational benefits.</w:t>
      </w:r>
    </w:p>
    <w:bookmarkStart w:id="45" w:name="X51608fd879fd0dd6b6bd8f9a5177c5aea2216f4"/>
    <w:p>
      <w:pPr>
        <w:pStyle w:val="Heading4"/>
      </w:pPr>
      <w:r>
        <w:t xml:space="preserve">Consistent and traceable preliminary triage</w:t>
      </w:r>
    </w:p>
    <w:p>
      <w:pPr>
        <w:pStyle w:val="FirstParagraph"/>
      </w:pPr>
      <w:r>
        <w:t xml:space="preserve">Equivalent structured inputs follow the same tool and rule-precedence sequence. Each recommendation records the outcome, triggering rule, decision reason, supporting facts, and rule trace.</w:t>
      </w:r>
    </w:p>
    <w:p>
      <w:pPr>
        <w:pStyle w:val="BodyText"/>
      </w:pPr>
      <w:r>
        <w:t xml:space="preserve">The response also preserves a clear distinction between:</w:t>
      </w:r>
    </w:p>
    <w:p>
      <w:pPr>
        <w:pStyle w:val="Compact"/>
        <w:numPr>
          <w:ilvl w:val="0"/>
          <w:numId w:val="1019"/>
        </w:numPr>
      </w:pPr>
      <w:r>
        <w:t xml:space="preserve">authoritative facts established by deterministic tools;</w:t>
      </w:r>
    </w:p>
    <w:p>
      <w:pPr>
        <w:pStyle w:val="Compact"/>
        <w:numPr>
          <w:ilvl w:val="0"/>
          <w:numId w:val="1019"/>
        </w:numPr>
      </w:pPr>
      <w:r>
        <w:t xml:space="preserve">operational guidance retrieved from the knowledge base;</w:t>
      </w:r>
    </w:p>
    <w:p>
      <w:pPr>
        <w:pStyle w:val="Compact"/>
        <w:numPr>
          <w:ilvl w:val="0"/>
          <w:numId w:val="1019"/>
        </w:numPr>
      </w:pPr>
      <w:r>
        <w:t xml:space="preserve">explanatory text generated by the LLM.</w:t>
      </w:r>
    </w:p>
    <w:p>
      <w:pPr>
        <w:pStyle w:val="FirstParagraph"/>
      </w:pPr>
      <w:r>
        <w:t xml:space="preserve">This separation improves auditability and allows an analyst to understand both the basis and authority of the recommendation.</w:t>
      </w:r>
    </w:p>
    <w:bookmarkEnd w:id="45"/>
    <w:bookmarkStart w:id="46" w:name="more-accessible-operational-guidance"/>
    <w:p>
      <w:pPr>
        <w:pStyle w:val="Heading4"/>
      </w:pPr>
      <w:r>
        <w:t xml:space="preserve">More accessible operational guidance</w:t>
      </w:r>
    </w:p>
    <w:p>
      <w:pPr>
        <w:pStyle w:val="FirstParagraph"/>
      </w:pPr>
      <w:r>
        <w:t xml:space="preserve">The retrieval layer uses the deterministic outcome, triggering rule, evidence state, and review requirement to locate relevant procedural guidance. This demonstrates the feasibility of presenting supporting information within the claim workflow rather than requiring separate manual document searches.</w:t>
      </w:r>
    </w:p>
    <w:p>
      <w:pPr>
        <w:pStyle w:val="BodyText"/>
      </w:pPr>
      <w:r>
        <w:t xml:space="preserve">No live handling-time study was conducted. Reduced search effort and faster preliminary triage are therefore expected benefits that require validation in a production pilot.</w:t>
      </w:r>
    </w:p>
    <w:bookmarkEnd w:id="46"/>
    <w:bookmarkStart w:id="47" w:name="Xa1ac3b38bda54ab8613a5854081a86f3a940238"/>
    <w:p>
      <w:pPr>
        <w:pStyle w:val="Heading4"/>
      </w:pPr>
      <w:r>
        <w:t xml:space="preserve">Controlled follow-up and generative assistance</w:t>
      </w:r>
    </w:p>
    <w:p>
      <w:pPr>
        <w:pStyle w:val="FirstParagraph"/>
      </w:pPr>
      <w:r>
        <w:t xml:space="preserve">Selection from an approved 14-question catalogue provides standard wording for recognised information gaps and prevents unrestricted generation of customer-facing questions.</w:t>
      </w:r>
    </w:p>
    <w:p>
      <w:pPr>
        <w:pStyle w:val="BodyText"/>
      </w:pPr>
      <w:r>
        <w:t xml:space="preserve">Similarly, the LLM may explain the result but cannot independently alter the outcome, rule, evidence requirement, or follow-up selection. These controls support the proposal objectives of improved consistency, traceability, analyst support, and risk control [1].</w:t>
      </w:r>
    </w:p>
    <w:bookmarkEnd w:id="47"/>
    <w:bookmarkEnd w:id="48"/>
    <w:bookmarkStart w:id="55" w:name="X3436de0b3665c5ccea6034b20aecd7841d09b31"/>
    <w:p>
      <w:pPr>
        <w:pStyle w:val="Heading3"/>
      </w:pPr>
      <w:r>
        <w:t xml:space="preserve">4.2 Technical and Methodological Deductions</w:t>
      </w:r>
    </w:p>
    <w:p>
      <w:pPr>
        <w:pStyle w:val="FirstParagraph"/>
      </w:pPr>
      <w:r>
        <w:t xml:space="preserve">The implementation and evaluation produced six principal findings.</w:t>
      </w:r>
    </w:p>
    <w:bookmarkStart w:id="49" w:name="X337ccb778f31bab32f50f152b9fae4e42e01469"/>
    <w:p>
      <w:pPr>
        <w:pStyle w:val="Heading4"/>
      </w:pPr>
      <w:r>
        <w:t xml:space="preserve">Deterministic rules and GenAI require different responsibilities</w:t>
      </w:r>
    </w:p>
    <w:p>
      <w:pPr>
        <w:pStyle w:val="FirstParagraph"/>
      </w:pPr>
      <w:r>
        <w:t xml:space="preserve">Policy eligibility, coverage, exclusions, evidence requirements, and limits require predictable and auditable execution. These responsibilities were therefore assigned to deterministic tools.</w:t>
      </w:r>
    </w:p>
    <w:p>
      <w:pPr>
        <w:pStyle w:val="BodyText"/>
      </w:pPr>
      <w:r>
        <w:t xml:space="preserve">Generative AI was used for semantic retrieval, explanation, and orchestration support. The project shows that GenAI can provide value without becoming the source of policy authority.</w:t>
      </w:r>
    </w:p>
    <w:bookmarkEnd w:id="49"/>
    <w:bookmarkStart w:id="50" w:name="Xf42a9a6663795a0ecd0a05a36d37e833d588f72"/>
    <w:p>
      <w:pPr>
        <w:pStyle w:val="Heading4"/>
      </w:pPr>
      <w:r>
        <w:t xml:space="preserve">Semantic retrieval outperformed the lexical baseline</w:t>
      </w:r>
    </w:p>
    <w:p>
      <w:pPr>
        <w:pStyle w:val="FirstParagraph"/>
      </w:pPr>
      <w:r>
        <w:t xml:space="preserve">Semantic Embedding achieved Hit@1 of 78.6%, Hit@3 of 92.9%, and MRR@3 of 0.857. This exceeded the TF-IDF baseline and supported semantic retrieval as the default method for the approved operational corpus.</w:t>
      </w:r>
    </w:p>
    <w:p>
      <w:pPr>
        <w:pStyle w:val="BodyText"/>
      </w:pPr>
      <w:r>
        <w:t xml:space="preserve">The result applies only to guidance retrieval. Semantic similarity was not used to determine claim eligibility or disposition.</w:t>
      </w:r>
    </w:p>
    <w:bookmarkEnd w:id="50"/>
    <w:bookmarkStart w:id="51" w:name="Xc9d82c168902dea5dcfb020b3c55266bc4c7be0"/>
    <w:p>
      <w:pPr>
        <w:pStyle w:val="Heading4"/>
      </w:pPr>
      <w:r>
        <w:t xml:space="preserve">Reranking complexity did not guarantee improvement</w:t>
      </w:r>
    </w:p>
    <w:p>
      <w:pPr>
        <w:pStyle w:val="FirstParagraph"/>
      </w:pPr>
      <w:r>
        <w:t xml:space="preserve">The cross-encoder improved two queries but regressed two others. Aggregate MRR@3 decreased from 0.857 to 0.845.</w:t>
      </w:r>
    </w:p>
    <w:p>
      <w:pPr>
        <w:pStyle w:val="BodyText"/>
      </w:pPr>
      <w:r>
        <w:t xml:space="preserve">Retaining the reranker as an optional stage was therefore more appropriate than enabling it by default. This illustrates that additional model complexity should be adopted only when it produces consistent workflow improvement.</w:t>
      </w:r>
    </w:p>
    <w:bookmarkEnd w:id="51"/>
    <w:bookmarkStart w:id="52" w:name="Xc7975bb8f52ed894b02a0d92e32aa5f0da78afc"/>
    <w:p>
      <w:pPr>
        <w:pStyle w:val="Heading4"/>
      </w:pPr>
      <w:r>
        <w:t xml:space="preserve">Hybrid architectures require adapted evaluation</w:t>
      </w:r>
    </w:p>
    <w:p>
      <w:pPr>
        <w:pStyle w:val="FirstParagraph"/>
      </w:pPr>
      <w:r>
        <w:t xml:space="preserve">The explanation workflow uses both deterministic structured facts and retrieved knowledge. A document-only faithfulness measure would penalise valid statements grounded in tool outputs but absent from the retrieved chunks.</w:t>
      </w:r>
    </w:p>
    <w:p>
      <w:pPr>
        <w:pStyle w:val="BodyText"/>
      </w:pPr>
      <w:r>
        <w:t xml:space="preserve">The final Ragas methodology therefore evaluated retrieval quality against preferred guidance and explanation faithfulness against the complete legitimate generation context.</w:t>
      </w:r>
    </w:p>
    <w:bookmarkEnd w:id="52"/>
    <w:bookmarkStart w:id="53" w:name="X34771c4f9d0c5a1d02748c8ba6dfc6d99443836"/>
    <w:p>
      <w:pPr>
        <w:pStyle w:val="Heading4"/>
      </w:pPr>
      <w:r>
        <w:t xml:space="preserve">Automated judges require human calibration</w:t>
      </w:r>
    </w:p>
    <w:p>
      <w:pPr>
        <w:pStyle w:val="FirstParagraph"/>
      </w:pPr>
      <w:r>
        <w:t xml:space="preserve">The LLM judge broadly aligned with human review for groundedness, answer relevance, and hallucination control. It was more generous when scoring context relevance, where semantically related text was not always considered operationally useful by the human reviewer.</w:t>
      </w:r>
    </w:p>
    <w:p>
      <w:pPr>
        <w:pStyle w:val="BodyText"/>
      </w:pPr>
      <w:r>
        <w:t xml:space="preserve">Automated judging was therefore retained as supplementary evidence rather than as a replacement for domain-informed human assessment.</w:t>
      </w:r>
    </w:p>
    <w:bookmarkEnd w:id="53"/>
    <w:bookmarkStart w:id="54" w:name="X16fd31bcfbcae68b71b66785837b3a98b1637c6"/>
    <w:p>
      <w:pPr>
        <w:pStyle w:val="Heading4"/>
      </w:pPr>
      <w:r>
        <w:t xml:space="preserve">Aggregate accuracy can conceal unsafe error patterns</w:t>
      </w:r>
    </w:p>
    <w:p>
      <w:pPr>
        <w:pStyle w:val="FirstParagraph"/>
      </w:pPr>
      <w:r>
        <w:t xml:space="preserve">The 89.1% held-out accuracy exceeded the approved target. However, all six errors were incorrect</w:t>
      </w:r>
      <w:r>
        <w:t xml:space="preserve"> </w:t>
      </w:r>
      <w:r>
        <w:rPr>
          <w:rStyle w:val="VerbatimChar"/>
        </w:rPr>
        <w:t xml:space="preserve">PROCEED</w:t>
      </w:r>
      <w:r>
        <w:t xml:space="preserve"> </w:t>
      </w:r>
      <w:r>
        <w:t xml:space="preserve">recommendations.</w:t>
      </w:r>
    </w:p>
    <w:p>
      <w:pPr>
        <w:pStyle w:val="BodyText"/>
      </w:pPr>
      <w:r>
        <w:t xml:space="preserve">This demonstrates that a safety-sensitive triage system must evaluate more than overall accuracy. Class-specific recall, confusion patterns, manual-review routing, and unsafe-continuation rates are also required.</w:t>
      </w:r>
    </w:p>
    <w:p>
      <w:pPr>
        <w:pStyle w:val="BodyText"/>
      </w:pPr>
      <w:r>
        <w:t xml:space="preserve">The evaluation further showed that guardrail safety and deterministic rule completeness are separate concerns. The guardrails successfully preserved the deterministic result, but they could not correct an incomplete deterministic outcome.</w:t>
      </w:r>
    </w:p>
    <w:bookmarkEnd w:id="54"/>
    <w:bookmarkEnd w:id="55"/>
    <w:bookmarkStart w:id="56" w:name="Xbb45e8a84568f8a704c8dc78c6bd10d761f3ab2"/>
    <w:p>
      <w:pPr>
        <w:pStyle w:val="Heading3"/>
      </w:pPr>
      <w:r>
        <w:t xml:space="preserve">4.3 Proposal Commitment versus Final Outcome</w:t>
      </w:r>
    </w:p>
    <w:p>
      <w:pPr>
        <w:pStyle w:val="FirstParagraph"/>
      </w:pPr>
      <w:r>
        <w:rPr>
          <w:b/>
          <w:bCs/>
        </w:rPr>
        <w:t xml:space="preserve">Table 4.1 — Proposal commitment versus final outcome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Proposal commitment</w:t>
            </w:r>
          </w:p>
        </w:tc>
        <w:tc>
          <w:tcPr/>
          <w:p>
            <w:pPr>
              <w:pStyle w:val="Compact"/>
            </w:pPr>
            <w:r>
              <w:t xml:space="preserve">Final evidence</w:t>
            </w:r>
          </w:p>
        </w:tc>
        <w:tc>
          <w:tcPr/>
          <w:p>
            <w:pPr>
              <w:pStyle w:val="Compact"/>
            </w:pPr>
            <w:r>
              <w:t xml:space="preserve">Status</w:t>
            </w:r>
          </w:p>
        </w:tc>
      </w:tr>
      <w:tr>
        <w:tc>
          <w:tcPr/>
          <w:p>
            <w:pPr>
              <w:pStyle w:val="Compact"/>
            </w:pPr>
            <w:r>
              <w:t xml:space="preserve">Four triage outcomes</w:t>
            </w:r>
          </w:p>
        </w:tc>
        <w:tc>
          <w:tcPr/>
          <w:p>
            <w:pPr>
              <w:pStyle w:val="Compact"/>
            </w:pPr>
            <w:r>
              <w:t xml:space="preserve">All four outcomes implemented</w:t>
            </w:r>
          </w:p>
        </w:tc>
        <w:tc>
          <w:tcPr/>
          <w:p>
            <w:pPr>
              <w:pStyle w:val="Compact"/>
            </w:pPr>
            <w:r>
              <w:t xml:space="preserve">Met</w:t>
            </w:r>
          </w:p>
        </w:tc>
      </w:tr>
      <w:tr>
        <w:tc>
          <w:tcPr/>
          <w:p>
            <w:pPr>
              <w:pStyle w:val="Compact"/>
            </w:pPr>
            <w:r>
              <w:t xml:space="preserve">Deterministic policy and eligibility evaluation</w:t>
            </w:r>
          </w:p>
        </w:tc>
        <w:tc>
          <w:tcPr/>
          <w:p>
            <w:pPr>
              <w:pStyle w:val="Compact"/>
            </w:pPr>
            <w:r>
              <w:t xml:space="preserve">Modular tools and rule precedence implemented</w:t>
            </w:r>
          </w:p>
        </w:tc>
        <w:tc>
          <w:tcPr/>
          <w:p>
            <w:pPr>
              <w:pStyle w:val="Compact"/>
            </w:pPr>
            <w:r>
              <w:t xml:space="preserve">Met</w:t>
            </w:r>
          </w:p>
        </w:tc>
      </w:tr>
      <w:tr>
        <w:tc>
          <w:tcPr/>
          <w:p>
            <w:pPr>
              <w:pStyle w:val="Compact"/>
            </w:pPr>
            <w:r>
              <w:t xml:space="preserve">Agentic orchestration</w:t>
            </w:r>
          </w:p>
        </w:tc>
        <w:tc>
          <w:tcPr/>
          <w:p>
            <w:pPr>
              <w:pStyle w:val="Compact"/>
            </w:pPr>
            <w:r>
              <w:t xml:space="preserve">LangGraph workflow implemented and validated</w:t>
            </w:r>
          </w:p>
        </w:tc>
        <w:tc>
          <w:tcPr/>
          <w:p>
            <w:pPr>
              <w:pStyle w:val="Compact"/>
            </w:pPr>
            <w:r>
              <w:t xml:space="preserve">Met</w:t>
            </w:r>
          </w:p>
        </w:tc>
      </w:tr>
      <w:tr>
        <w:tc>
          <w:tcPr/>
          <w:p>
            <w:pPr>
              <w:pStyle w:val="Compact"/>
            </w:pPr>
            <w:r>
              <w:t xml:space="preserve">RAG-based operational guidance</w:t>
            </w:r>
          </w:p>
        </w:tc>
        <w:tc>
          <w:tcPr/>
          <w:p>
            <w:pPr>
              <w:pStyle w:val="Compact"/>
            </w:pPr>
            <w:r>
              <w:t xml:space="preserve">Allow-listed KB, embeddings, FAISS, and controlled query implemented</w:t>
            </w:r>
          </w:p>
        </w:tc>
        <w:tc>
          <w:tcPr/>
          <w:p>
            <w:pPr>
              <w:pStyle w:val="Compact"/>
            </w:pPr>
            <w:r>
              <w:t xml:space="preserve">Met</w:t>
            </w:r>
          </w:p>
        </w:tc>
      </w:tr>
      <w:tr>
        <w:tc>
          <w:tcPr/>
          <w:p>
            <w:pPr>
              <w:pStyle w:val="Compact"/>
            </w:pPr>
            <w:r>
              <w:t xml:space="preserve">Cross-encoder reranking</w:t>
            </w:r>
          </w:p>
        </w:tc>
        <w:tc>
          <w:tcPr/>
          <w:p>
            <w:pPr>
              <w:pStyle w:val="Compact"/>
            </w:pPr>
            <w:r>
              <w:t xml:space="preserve">Implemented and evaluated as an optional stage</w:t>
            </w:r>
          </w:p>
        </w:tc>
        <w:tc>
          <w:tcPr/>
          <w:p>
            <w:pPr>
              <w:pStyle w:val="Compact"/>
            </w:pPr>
            <w:r>
              <w:t xml:space="preserve">Met</w:t>
            </w:r>
          </w:p>
        </w:tc>
      </w:tr>
      <w:tr>
        <w:tc>
          <w:tcPr/>
          <w:p>
            <w:pPr>
              <w:pStyle w:val="Compact"/>
            </w:pPr>
            <w:r>
              <w:t xml:space="preserve">Follow-up support</w:t>
            </w:r>
          </w:p>
        </w:tc>
        <w:tc>
          <w:tcPr/>
          <w:p>
            <w:pPr>
              <w:pStyle w:val="Compact"/>
            </w:pPr>
            <w:r>
              <w:t xml:space="preserve">Approved catalogue selection replaced unrestricted generation</w:t>
            </w:r>
          </w:p>
        </w:tc>
        <w:tc>
          <w:tcPr/>
          <w:p>
            <w:pPr>
              <w:pStyle w:val="Compact"/>
            </w:pPr>
            <w:r>
              <w:t xml:space="preserve">Met with controlled refinement</w:t>
            </w:r>
          </w:p>
        </w:tc>
      </w:tr>
      <w:tr>
        <w:tc>
          <w:tcPr/>
          <w:p>
            <w:pPr>
              <w:pStyle w:val="Compact"/>
            </w:pPr>
            <w:r>
              <w:t xml:space="preserve">Analyst-facing explanations</w:t>
            </w:r>
          </w:p>
        </w:tc>
        <w:tc>
          <w:tcPr/>
          <w:p>
            <w:pPr>
              <w:pStyle w:val="Compact"/>
            </w:pPr>
            <w:r>
              <w:t xml:space="preserve">Guarded LLM explanation workflow implemented</w:t>
            </w:r>
          </w:p>
        </w:tc>
        <w:tc>
          <w:tcPr/>
          <w:p>
            <w:pPr>
              <w:pStyle w:val="Compact"/>
            </w:pPr>
            <w:r>
              <w:t xml:space="preserve">Met</w:t>
            </w:r>
          </w:p>
        </w:tc>
      </w:tr>
      <w:tr>
        <w:tc>
          <w:tcPr/>
          <w:p>
            <w:pPr>
              <w:pStyle w:val="Compact"/>
            </w:pPr>
            <w:r>
              <w:t xml:space="preserve">Authorised human control</w:t>
            </w:r>
          </w:p>
        </w:tc>
        <w:tc>
          <w:tcPr/>
          <w:p>
            <w:pPr>
              <w:pStyle w:val="Compact"/>
            </w:pPr>
            <w:r>
              <w:t xml:space="preserve">Preserved throughout final evaluation</w:t>
            </w:r>
          </w:p>
        </w:tc>
        <w:tc>
          <w:tcPr/>
          <w:p>
            <w:pPr>
              <w:pStyle w:val="Compact"/>
            </w:pPr>
            <w:r>
              <w:t xml:space="preserve">Met</w:t>
            </w:r>
          </w:p>
        </w:tc>
      </w:tr>
      <w:tr>
        <w:tc>
          <w:tcPr/>
          <w:p>
            <w:pPr>
              <w:pStyle w:val="Compact"/>
            </w:pPr>
            <w:r>
              <w:t xml:space="preserve">At least 80% accuracy on 55 held-out claims</w:t>
            </w:r>
          </w:p>
        </w:tc>
        <w:tc>
          <w:tcPr/>
          <w:p>
            <w:pPr>
              <w:pStyle w:val="Compact"/>
            </w:pPr>
            <w:r>
              <w:t xml:space="preserve">49 of 55 claims correct, or 89.1%</w:t>
            </w:r>
          </w:p>
        </w:tc>
        <w:tc>
          <w:tcPr/>
          <w:p>
            <w:pPr>
              <w:pStyle w:val="Compact"/>
            </w:pPr>
            <w:r>
              <w:t xml:space="preserve">Passed</w:t>
            </w:r>
          </w:p>
        </w:tc>
      </w:tr>
      <w:tr>
        <w:tc>
          <w:tcPr/>
          <w:p>
            <w:pPr>
              <w:pStyle w:val="Compact"/>
            </w:pPr>
            <w:r>
              <w:t xml:space="preserve">Zero critical held-out safety failures</w:t>
            </w:r>
          </w:p>
        </w:tc>
        <w:tc>
          <w:tcPr/>
          <w:p>
            <w:pPr>
              <w:pStyle w:val="Compact"/>
            </w:pPr>
            <w:r>
              <w:t xml:space="preserve">Zero failures across eight safety cases</w:t>
            </w:r>
          </w:p>
        </w:tc>
        <w:tc>
          <w:tcPr/>
          <w:p>
            <w:pPr>
              <w:pStyle w:val="Compact"/>
            </w:pPr>
            <w:r>
              <w:t xml:space="preserve">Passed</w:t>
            </w:r>
          </w:p>
        </w:tc>
      </w:tr>
      <w:tr>
        <w:tc>
          <w:tcPr/>
          <w:p>
            <w:pPr>
              <w:pStyle w:val="Compact"/>
            </w:pPr>
            <w:r>
              <w:t xml:space="preserve">Reproducible technical evidence</w:t>
            </w:r>
          </w:p>
        </w:tc>
        <w:tc>
          <w:tcPr/>
          <w:p>
            <w:pPr>
              <w:pStyle w:val="Compact"/>
            </w:pPr>
            <w:r>
              <w:t xml:space="preserve">149 tests, manifests, frozen outputs, fingerprint, and reviewer walkthrough</w:t>
            </w:r>
          </w:p>
        </w:tc>
        <w:tc>
          <w:tcPr/>
          <w:p>
            <w:pPr>
              <w:pStyle w:val="Compact"/>
            </w:pPr>
            <w:r>
              <w:t xml:space="preserve">Substantially met; final clean-copy QA pending</w:t>
            </w:r>
          </w:p>
        </w:tc>
      </w:tr>
      <w:tr>
        <w:tc>
          <w:tcPr/>
          <w:p>
            <w:pPr>
              <w:pStyle w:val="Compact"/>
            </w:pPr>
            <w:r>
              <w:t xml:space="preserve">Production readiness</w:t>
            </w:r>
          </w:p>
        </w:tc>
        <w:tc>
          <w:tcPr/>
          <w:p>
            <w:pPr>
              <w:pStyle w:val="Compact"/>
            </w:pPr>
            <w:r>
              <w:t xml:space="preserve">Six unsafe</w:t>
            </w:r>
            <w:r>
              <w:t xml:space="preserve"> </w:t>
            </w:r>
            <w:r>
              <w:rPr>
                <w:rStyle w:val="VerbatimChar"/>
              </w:rPr>
              <w:t xml:space="preserve">PROCEED</w:t>
            </w:r>
            <w:r>
              <w:t xml:space="preserve"> </w:t>
            </w:r>
            <w:r>
              <w:t xml:space="preserve">errors require correction</w:t>
            </w:r>
          </w:p>
        </w:tc>
        <w:tc>
          <w:tcPr/>
          <w:p>
            <w:pPr>
              <w:pStyle w:val="Compact"/>
            </w:pPr>
            <w:r>
              <w:t xml:space="preserve">Not claimed</w:t>
            </w:r>
          </w:p>
        </w:tc>
      </w:tr>
    </w:tbl>
    <w:p>
      <w:pPr>
        <w:pStyle w:val="BodyText"/>
      </w:pPr>
      <w:r>
        <w:t xml:space="preserve">The final implementation introduced controlled refinements to the initial proposal:</w:t>
      </w:r>
    </w:p>
    <w:p>
      <w:pPr>
        <w:pStyle w:val="Compact"/>
        <w:numPr>
          <w:ilvl w:val="0"/>
          <w:numId w:val="1020"/>
        </w:numPr>
      </w:pPr>
      <w:r>
        <w:t xml:space="preserve">unrestricted follow-up generation became approved-catalogue selection;</w:t>
      </w:r>
    </w:p>
    <w:p>
      <w:pPr>
        <w:pStyle w:val="Compact"/>
        <w:numPr>
          <w:ilvl w:val="0"/>
          <w:numId w:val="1020"/>
        </w:numPr>
      </w:pPr>
      <w:r>
        <w:t xml:space="preserve">unverified narrative was excluded from authoritative decisions and retrieval queries;</w:t>
      </w:r>
    </w:p>
    <w:p>
      <w:pPr>
        <w:pStyle w:val="Compact"/>
        <w:numPr>
          <w:ilvl w:val="0"/>
          <w:numId w:val="1020"/>
        </w:numPr>
      </w:pPr>
      <w:r>
        <w:t xml:space="preserve">semantic retrieval became the default after comparative evaluation;</w:t>
      </w:r>
    </w:p>
    <w:p>
      <w:pPr>
        <w:pStyle w:val="Compact"/>
        <w:numPr>
          <w:ilvl w:val="0"/>
          <w:numId w:val="1020"/>
        </w:numPr>
      </w:pPr>
      <w:r>
        <w:t xml:space="preserve">reranking remained optional because aggregate performance did not improve;</w:t>
      </w:r>
    </w:p>
    <w:p>
      <w:pPr>
        <w:pStyle w:val="Compact"/>
        <w:numPr>
          <w:ilvl w:val="0"/>
          <w:numId w:val="1020"/>
        </w:numPr>
      </w:pPr>
      <w:r>
        <w:t xml:space="preserve">automated evaluation was adapted to the hybrid rule-and-RAG architecture;</w:t>
      </w:r>
    </w:p>
    <w:p>
      <w:pPr>
        <w:pStyle w:val="Compact"/>
        <w:numPr>
          <w:ilvl w:val="0"/>
          <w:numId w:val="1020"/>
        </w:numPr>
      </w:pPr>
      <w:r>
        <w:t xml:space="preserve">held-out predictions were frozen before label comparison.</w:t>
      </w:r>
    </w:p>
    <w:p>
      <w:pPr>
        <w:pStyle w:val="FirstParagraph"/>
      </w:pPr>
      <w:r>
        <w:t xml:space="preserve">These changes preserved the approved business problem while strengthening safety, auditability, and methodological validity.</w:t>
      </w:r>
    </w:p>
    <w:bookmarkEnd w:id="56"/>
    <w:bookmarkStart w:id="57" w:name="X7a1587aee99f21807af068f433e6ca62c852ff4"/>
    <w:p>
      <w:pPr>
        <w:pStyle w:val="Heading3"/>
      </w:pPr>
      <w:r>
        <w:t xml:space="preserve">4.4 Business Impact Position</w:t>
      </w:r>
    </w:p>
    <w:p>
      <w:pPr>
        <w:pStyle w:val="FirstParagraph"/>
      </w:pPr>
      <w:r>
        <w:t xml:space="preserve">The prototype indicates potential value in three areas:</w:t>
      </w:r>
    </w:p>
    <w:p>
      <w:pPr>
        <w:pStyle w:val="Compact"/>
        <w:numPr>
          <w:ilvl w:val="0"/>
          <w:numId w:val="1021"/>
        </w:numPr>
      </w:pPr>
      <w:r>
        <w:rPr>
          <w:b/>
          <w:bCs/>
        </w:rPr>
        <w:t xml:space="preserve">Operational consistency:</w:t>
      </w:r>
      <w:r>
        <w:t xml:space="preserve"> </w:t>
      </w:r>
      <w:r>
        <w:t xml:space="preserve">repeatable rule execution and standard follow-up selection can provide a more consistent basis for analyst review.</w:t>
      </w:r>
    </w:p>
    <w:p>
      <w:pPr>
        <w:pStyle w:val="Compact"/>
        <w:numPr>
          <w:ilvl w:val="0"/>
          <w:numId w:val="1021"/>
        </w:numPr>
      </w:pPr>
      <w:r>
        <w:rPr>
          <w:b/>
          <w:bCs/>
        </w:rPr>
        <w:t xml:space="preserve">Analyst effectiveness:</w:t>
      </w:r>
      <w:r>
        <w:t xml:space="preserve"> </w:t>
      </w:r>
      <w:r>
        <w:t xml:space="preserve">consolidated facts, retrieved guidance, and guarded explanations can reduce information fragmentation.</w:t>
      </w:r>
    </w:p>
    <w:p>
      <w:pPr>
        <w:pStyle w:val="Compact"/>
        <w:numPr>
          <w:ilvl w:val="0"/>
          <w:numId w:val="1021"/>
        </w:numPr>
      </w:pPr>
      <w:r>
        <w:rPr>
          <w:b/>
          <w:bCs/>
        </w:rPr>
        <w:t xml:space="preserve">Governance:</w:t>
      </w:r>
      <w:r>
        <w:t xml:space="preserve"> </w:t>
      </w:r>
      <w:r>
        <w:t xml:space="preserve">authority boundaries, rule traces, guardrails, manifests, and frozen evaluation evidence can reduce the risk of unsupported generative decisions.</w:t>
      </w:r>
    </w:p>
    <w:p>
      <w:pPr>
        <w:pStyle w:val="FirstParagraph"/>
      </w:pPr>
      <w:r>
        <w:t xml:space="preserve">The project did not measure production claim volumes, handling time, customer satisfaction, claim cost, leakage, staffing impact, or financial return. These benefits are therefore stated as expected implications rather than measured outcomes.</w:t>
      </w:r>
    </w:p>
    <w:p>
      <w:pPr>
        <w:pStyle w:val="BodyText"/>
      </w:pPr>
      <w:r>
        <w:t xml:space="preserve">A production pilot should measure:</w:t>
      </w:r>
    </w:p>
    <w:p>
      <w:pPr>
        <w:pStyle w:val="Compact"/>
        <w:numPr>
          <w:ilvl w:val="0"/>
          <w:numId w:val="1022"/>
        </w:numPr>
      </w:pPr>
      <w:r>
        <w:t xml:space="preserve">analyst handling time and procedural-search effort;</w:t>
      </w:r>
    </w:p>
    <w:p>
      <w:pPr>
        <w:pStyle w:val="Compact"/>
        <w:numPr>
          <w:ilvl w:val="0"/>
          <w:numId w:val="1022"/>
        </w:numPr>
      </w:pPr>
      <w:r>
        <w:t xml:space="preserve">analyst acceptance and override rates;</w:t>
      </w:r>
    </w:p>
    <w:p>
      <w:pPr>
        <w:pStyle w:val="Compact"/>
        <w:numPr>
          <w:ilvl w:val="0"/>
          <w:numId w:val="1022"/>
        </w:numPr>
      </w:pPr>
      <w:r>
        <w:t xml:space="preserve">manual-review volumes;</w:t>
      </w:r>
    </w:p>
    <w:p>
      <w:pPr>
        <w:pStyle w:val="Compact"/>
        <w:numPr>
          <w:ilvl w:val="0"/>
          <w:numId w:val="1022"/>
        </w:numPr>
      </w:pPr>
      <w:r>
        <w:t xml:space="preserve">false</w:t>
      </w:r>
      <w:r>
        <w:t xml:space="preserve"> </w:t>
      </w:r>
      <w:r>
        <w:rPr>
          <w:rStyle w:val="VerbatimChar"/>
        </w:rPr>
        <w:t xml:space="preserve">PROCEED</w:t>
      </w:r>
      <w:r>
        <w:t xml:space="preserve"> </w:t>
      </w:r>
      <w:r>
        <w:t xml:space="preserve">and false</w:t>
      </w:r>
      <w:r>
        <w:t xml:space="preserve"> </w:t>
      </w:r>
      <w:r>
        <w:rPr>
          <w:rStyle w:val="VerbatimChar"/>
        </w:rPr>
        <w:t xml:space="preserve">NOT_ELIGIBLE</w:t>
      </w:r>
      <w:r>
        <w:t xml:space="preserve"> </w:t>
      </w:r>
      <w:r>
        <w:t xml:space="preserve">rates;</w:t>
      </w:r>
    </w:p>
    <w:p>
      <w:pPr>
        <w:pStyle w:val="Compact"/>
        <w:numPr>
          <w:ilvl w:val="0"/>
          <w:numId w:val="1022"/>
        </w:numPr>
      </w:pPr>
      <w:r>
        <w:t xml:space="preserve">customer-service impact;</w:t>
      </w:r>
    </w:p>
    <w:p>
      <w:pPr>
        <w:pStyle w:val="Compact"/>
        <w:numPr>
          <w:ilvl w:val="0"/>
          <w:numId w:val="1022"/>
        </w:numPr>
      </w:pPr>
      <w:r>
        <w:t xml:space="preserve">operating and implementation cost.</w:t>
      </w:r>
    </w:p>
    <w:p>
      <w:pPr>
        <w:pStyle w:val="FirstParagraph"/>
      </w:pPr>
      <w:r>
        <w:t xml:space="preserve">The principal business conclusion is:</w:t>
      </w:r>
    </w:p>
    <w:p>
      <w:pPr>
        <w:pStyle w:val="BlockText"/>
      </w:pPr>
      <w:r>
        <w:t xml:space="preserve">The approved proposal criteria were met, but production adoption requires correction of the documented unsafe-routing gaps and validation with representative operational data.</w:t>
      </w:r>
    </w:p>
    <w:p>
      <w:r>
        <w:pict>
          <v:rect style="width:0;height:1.5pt" o:hralign="center" o:hrstd="t" o:hr="t"/>
        </w:pict>
      </w:r>
    </w:p>
    <w:bookmarkEnd w:id="57"/>
    <w:bookmarkEnd w:id="58"/>
    <w:bookmarkStart w:id="69" w:name="Xfe3e99bbc3b997d7014061afee4267f3394b56b"/>
    <w:p>
      <w:pPr>
        <w:pStyle w:val="Heading2"/>
      </w:pPr>
      <w:r>
        <w:t xml:space="preserve">5. Limitations &amp; Future Work</w:t>
      </w:r>
    </w:p>
    <w:bookmarkStart w:id="59" w:name="X0e0159555fb08ecabd54e8cb22fa6c45f1e329e"/>
    <w:p>
      <w:pPr>
        <w:pStyle w:val="Heading3"/>
      </w:pPr>
      <w:r>
        <w:t xml:space="preserve">5.1 Material Held-Out Limitation</w:t>
      </w:r>
    </w:p>
    <w:p>
      <w:pPr>
        <w:pStyle w:val="FirstParagraph"/>
      </w:pPr>
      <w:r>
        <w:t xml:space="preserve">Although the system exceeded the approved accuracy target, the held-out error pattern revealed a material operational risk.</w:t>
      </w:r>
    </w:p>
    <w:p>
      <w:pPr>
        <w:pStyle w:val="BodyText"/>
      </w:pPr>
      <w:r>
        <w:t xml:space="preserve">Six of the 55 claims were incorrectly routed to</w:t>
      </w:r>
      <w:r>
        <w:t xml:space="preserve"> </w:t>
      </w:r>
      <w:r>
        <w:rPr>
          <w:rStyle w:val="VerbatimChar"/>
        </w:rPr>
        <w:t xml:space="preserve">PROCEED</w:t>
      </w:r>
      <w:r>
        <w:t xml:space="preserve">, producing an unsafe-decision diagnostic of</w:t>
      </w:r>
      <w:r>
        <w:t xml:space="preserve"> </w:t>
      </w:r>
      <w:r>
        <w:rPr>
          <w:b/>
          <w:bCs/>
        </w:rPr>
        <w:t xml:space="preserve">10.9%</w:t>
      </w:r>
      <w:r>
        <w:t xml:space="preserve">.</w:t>
      </w:r>
    </w:p>
    <w:p>
      <w:pPr>
        <w:pStyle w:val="BodyText"/>
      </w:pPr>
      <w:r>
        <w:rPr>
          <w:b/>
          <w:bCs/>
        </w:rPr>
        <w:t xml:space="preserve">Table 5.1 — Held-out routing errors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Missed rule</w:t>
            </w:r>
          </w:p>
        </w:tc>
        <w:tc>
          <w:tcPr/>
          <w:p>
            <w:pPr>
              <w:pStyle w:val="Compact"/>
            </w:pPr>
            <w:r>
              <w:t xml:space="preserve">Expected outcome</w:t>
            </w:r>
          </w:p>
        </w:tc>
        <w:tc>
          <w:tcPr/>
          <w:p>
            <w:pPr>
              <w:pStyle w:val="Compact"/>
            </w:pPr>
            <w:r>
              <w:t xml:space="preserve">Predicted outcome</w:t>
            </w:r>
          </w:p>
        </w:tc>
        <w:tc>
          <w:tcPr/>
          <w:p>
            <w:pPr>
              <w:pStyle w:val="Compact"/>
              <w:jc w:val="right"/>
            </w:pPr>
            <w:r>
              <w:t xml:space="preserve">Cases</w:t>
            </w:r>
          </w:p>
        </w:tc>
      </w:tr>
      <w:tr>
        <w:tc>
          <w:tcPr/>
          <w:p>
            <w:pPr>
              <w:pStyle w:val="Compact"/>
            </w:pPr>
            <w:r>
              <w:rPr>
                <w:rStyle w:val="VerbatimChar"/>
              </w:rPr>
              <w:t xml:space="preserve">DATA-002</w:t>
            </w:r>
          </w:p>
        </w:tc>
        <w:tc>
          <w:tcPr/>
          <w:p>
            <w:pPr>
              <w:pStyle w:val="Compact"/>
            </w:pPr>
            <w:r>
              <w:rPr>
                <w:rStyle w:val="VerbatimChar"/>
              </w:rPr>
              <w:t xml:space="preserve">MANUAL_REVIEW</w:t>
            </w:r>
          </w:p>
        </w:tc>
        <w:tc>
          <w:tcPr/>
          <w:p>
            <w:pPr>
              <w:pStyle w:val="Compact"/>
            </w:pPr>
            <w:r>
              <w:rPr>
                <w:rStyle w:val="VerbatimChar"/>
              </w:rPr>
              <w:t xml:space="preserve">PROCEED</w:t>
            </w:r>
          </w:p>
        </w:tc>
        <w:tc>
          <w:tcPr/>
          <w:p>
            <w:pPr>
              <w:pStyle w:val="Compact"/>
              <w:jc w:val="right"/>
            </w:pPr>
            <w:r>
              <w:t xml:space="preserve">2</w:t>
            </w:r>
          </w:p>
        </w:tc>
      </w:tr>
      <w:tr>
        <w:tc>
          <w:tcPr/>
          <w:p>
            <w:pPr>
              <w:pStyle w:val="Compact"/>
            </w:pPr>
            <w:r>
              <w:rPr>
                <w:rStyle w:val="VerbatimChar"/>
              </w:rPr>
              <w:t xml:space="preserve">EXC-002</w:t>
            </w:r>
          </w:p>
        </w:tc>
        <w:tc>
          <w:tcPr/>
          <w:p>
            <w:pPr>
              <w:pStyle w:val="Compact"/>
            </w:pPr>
            <w:r>
              <w:rPr>
                <w:rStyle w:val="VerbatimChar"/>
              </w:rPr>
              <w:t xml:space="preserve">MANUAL_REVIEW</w:t>
            </w:r>
          </w:p>
        </w:tc>
        <w:tc>
          <w:tcPr/>
          <w:p>
            <w:pPr>
              <w:pStyle w:val="Compact"/>
            </w:pPr>
            <w:r>
              <w:rPr>
                <w:rStyle w:val="VerbatimChar"/>
              </w:rPr>
              <w:t xml:space="preserve">PROCEED</w:t>
            </w:r>
          </w:p>
        </w:tc>
        <w:tc>
          <w:tcPr/>
          <w:p>
            <w:pPr>
              <w:pStyle w:val="Compact"/>
              <w:jc w:val="right"/>
            </w:pPr>
            <w:r>
              <w:t xml:space="preserve">1</w:t>
            </w:r>
          </w:p>
        </w:tc>
      </w:tr>
      <w:tr>
        <w:tc>
          <w:tcPr/>
          <w:p>
            <w:pPr>
              <w:pStyle w:val="Compact"/>
            </w:pPr>
            <w:r>
              <w:rPr>
                <w:rStyle w:val="VerbatimChar"/>
              </w:rPr>
              <w:t xml:space="preserve">ELG-002</w:t>
            </w:r>
          </w:p>
        </w:tc>
        <w:tc>
          <w:tcPr/>
          <w:p>
            <w:pPr>
              <w:pStyle w:val="Compact"/>
            </w:pPr>
            <w:r>
              <w:rPr>
                <w:rStyle w:val="VerbatimChar"/>
              </w:rPr>
              <w:t xml:space="preserve">NOT_ELIGIBLE</w:t>
            </w:r>
          </w:p>
        </w:tc>
        <w:tc>
          <w:tcPr/>
          <w:p>
            <w:pPr>
              <w:pStyle w:val="Compact"/>
            </w:pPr>
            <w:r>
              <w:rPr>
                <w:rStyle w:val="VerbatimChar"/>
              </w:rPr>
              <w:t xml:space="preserve">PROCEED</w:t>
            </w:r>
          </w:p>
        </w:tc>
        <w:tc>
          <w:tcPr/>
          <w:p>
            <w:pPr>
              <w:pStyle w:val="Compact"/>
              <w:jc w:val="right"/>
            </w:pPr>
            <w:r>
              <w:t xml:space="preserve">1</w:t>
            </w:r>
          </w:p>
        </w:tc>
      </w:tr>
      <w:tr>
        <w:tc>
          <w:tcPr/>
          <w:p>
            <w:pPr>
              <w:pStyle w:val="Compact"/>
            </w:pPr>
            <w:r>
              <w:rPr>
                <w:rStyle w:val="VerbatimChar"/>
              </w:rPr>
              <w:t xml:space="preserve">EXC-001</w:t>
            </w:r>
          </w:p>
        </w:tc>
        <w:tc>
          <w:tcPr/>
          <w:p>
            <w:pPr>
              <w:pStyle w:val="Compact"/>
            </w:pPr>
            <w:r>
              <w:rPr>
                <w:rStyle w:val="VerbatimChar"/>
              </w:rPr>
              <w:t xml:space="preserve">NOT_ELIGIBLE</w:t>
            </w:r>
          </w:p>
        </w:tc>
        <w:tc>
          <w:tcPr/>
          <w:p>
            <w:pPr>
              <w:pStyle w:val="Compact"/>
            </w:pPr>
            <w:r>
              <w:rPr>
                <w:rStyle w:val="VerbatimChar"/>
              </w:rPr>
              <w:t xml:space="preserve">PROCEED</w:t>
            </w:r>
          </w:p>
        </w:tc>
        <w:tc>
          <w:tcPr/>
          <w:p>
            <w:pPr>
              <w:pStyle w:val="Compact"/>
              <w:jc w:val="right"/>
            </w:pPr>
            <w:r>
              <w:t xml:space="preserve">2</w:t>
            </w:r>
          </w:p>
        </w:tc>
      </w:tr>
    </w:tbl>
    <w:p>
      <w:pPr>
        <w:pStyle w:val="BodyText"/>
      </w:pPr>
      <w:r>
        <w:t xml:space="preserve">The affected claims were</w:t>
      </w:r>
      <w:r>
        <w:t xml:space="preserve"> </w:t>
      </w:r>
      <w:r>
        <w:rPr>
          <w:rStyle w:val="VerbatimChar"/>
        </w:rPr>
        <w:t xml:space="preserve">CLM-000174</w:t>
      </w:r>
      <w:r>
        <w:t xml:space="preserve">,</w:t>
      </w:r>
      <w:r>
        <w:t xml:space="preserve"> </w:t>
      </w:r>
      <w:r>
        <w:rPr>
          <w:rStyle w:val="VerbatimChar"/>
        </w:rPr>
        <w:t xml:space="preserve">CLM-000175</w:t>
      </w:r>
      <w:r>
        <w:t xml:space="preserve">,</w:t>
      </w:r>
      <w:r>
        <w:t xml:space="preserve"> </w:t>
      </w:r>
      <w:r>
        <w:rPr>
          <w:rStyle w:val="VerbatimChar"/>
        </w:rPr>
        <w:t xml:space="preserve">CLM-000179</w:t>
      </w:r>
      <w:r>
        <w:t xml:space="preserve">,</w:t>
      </w:r>
      <w:r>
        <w:t xml:space="preserve"> </w:t>
      </w:r>
      <w:r>
        <w:rPr>
          <w:rStyle w:val="VerbatimChar"/>
        </w:rPr>
        <w:t xml:space="preserve">CLM-000202</w:t>
      </w:r>
      <w:r>
        <w:t xml:space="preserve">,</w:t>
      </w:r>
      <w:r>
        <w:t xml:space="preserve"> </w:t>
      </w:r>
      <w:r>
        <w:rPr>
          <w:rStyle w:val="VerbatimChar"/>
        </w:rPr>
        <w:t xml:space="preserve">CLM-000219</w:t>
      </w:r>
      <w:r>
        <w:t xml:space="preserve">, and</w:t>
      </w:r>
      <w:r>
        <w:t xml:space="preserve"> </w:t>
      </w:r>
      <w:r>
        <w:rPr>
          <w:rStyle w:val="VerbatimChar"/>
        </w:rPr>
        <w:t xml:space="preserve">CLM-000220</w:t>
      </w:r>
      <w:r>
        <w:t xml:space="preserve">.</w:t>
      </w:r>
    </w:p>
    <w:p>
      <w:pPr>
        <w:pStyle w:val="BodyText"/>
      </w:pPr>
      <w:r>
        <w:t xml:space="preserve">The failures occurred because some decisive conditions were not available to the deterministic workflow as validated structured facts. These included unresolved data conflicts, exclusions represented mainly in narrative text, and policy-date or eligibility conditions not triggered by the available runtime attributes.</w:t>
      </w:r>
    </w:p>
    <w:p>
      <w:pPr>
        <w:pStyle w:val="BodyText"/>
      </w:pPr>
      <w:r>
        <w:t xml:space="preserve">The errors were not caused by RAG, LLM generation, adversarial override, or failure of the response-authority guardrail. In every case, the generated response remained aligned with the deterministic result. The limitation therefore originated in structured-data availability and deterministic rule coverage.</w:t>
      </w:r>
    </w:p>
    <w:p>
      <w:pPr>
        <w:pStyle w:val="BodyText"/>
      </w:pPr>
      <w:r>
        <w:t xml:space="preserve">This distinction is important: guardrails can prevent an LLM from changing an authoritative outcome, but they cannot determine that the authoritative outcome itself is incomplete.</w:t>
      </w:r>
    </w:p>
    <w:bookmarkEnd w:id="59"/>
    <w:bookmarkStart w:id="60" w:name="Xb922aa474e14271ff2ef8be2ebcf09aabbd9deb"/>
    <w:p>
      <w:pPr>
        <w:pStyle w:val="Heading3"/>
      </w:pPr>
      <w:r>
        <w:t xml:space="preserve">5.2 Data and Evaluation Limitations</w:t>
      </w:r>
    </w:p>
    <w:p>
      <w:pPr>
        <w:pStyle w:val="FirstParagraph"/>
      </w:pPr>
      <w:r>
        <w:t xml:space="preserve">The results should be interpreted within the boundaries of the controlled synthetic prototype.</w:t>
      </w:r>
    </w:p>
    <w:p>
      <w:pPr>
        <w:pStyle w:val="BodyText"/>
      </w:pPr>
      <w:r>
        <w:t xml:space="preserve">The synthetic data provided privacy protection, legal usability, controlled ground truth, and reproducibility. However, it may not represent the full range of production conditions, including:</w:t>
      </w:r>
    </w:p>
    <w:p>
      <w:pPr>
        <w:pStyle w:val="Compact"/>
        <w:numPr>
          <w:ilvl w:val="0"/>
          <w:numId w:val="1023"/>
        </w:numPr>
      </w:pPr>
      <w:r>
        <w:t xml:space="preserve">inconsistent or duplicate enterprise records;</w:t>
      </w:r>
    </w:p>
    <w:p>
      <w:pPr>
        <w:pStyle w:val="Compact"/>
        <w:numPr>
          <w:ilvl w:val="0"/>
          <w:numId w:val="1023"/>
        </w:numPr>
      </w:pPr>
      <w:r>
        <w:t xml:space="preserve">incomplete policy histories;</w:t>
      </w:r>
    </w:p>
    <w:p>
      <w:pPr>
        <w:pStyle w:val="Compact"/>
        <w:numPr>
          <w:ilvl w:val="0"/>
          <w:numId w:val="1023"/>
        </w:numPr>
      </w:pPr>
      <w:r>
        <w:t xml:space="preserve">changing plan configurations;</w:t>
      </w:r>
    </w:p>
    <w:p>
      <w:pPr>
        <w:pStyle w:val="Compact"/>
        <w:numPr>
          <w:ilvl w:val="0"/>
          <w:numId w:val="1023"/>
        </w:numPr>
      </w:pPr>
      <w:r>
        <w:t xml:space="preserve">market-specific rules;</w:t>
      </w:r>
    </w:p>
    <w:p>
      <w:pPr>
        <w:pStyle w:val="Compact"/>
        <w:numPr>
          <w:ilvl w:val="0"/>
          <w:numId w:val="1023"/>
        </w:numPr>
      </w:pPr>
      <w:r>
        <w:t xml:space="preserve">unstructured analyst notes;</w:t>
      </w:r>
    </w:p>
    <w:p>
      <w:pPr>
        <w:pStyle w:val="Compact"/>
        <w:numPr>
          <w:ilvl w:val="0"/>
          <w:numId w:val="1023"/>
        </w:numPr>
      </w:pPr>
      <w:r>
        <w:t xml:space="preserve">document-quality variation;</w:t>
      </w:r>
    </w:p>
    <w:p>
      <w:pPr>
        <w:pStyle w:val="Compact"/>
        <w:numPr>
          <w:ilvl w:val="0"/>
          <w:numId w:val="1023"/>
        </w:numPr>
      </w:pPr>
      <w:r>
        <w:t xml:space="preserve">delays or mismatches across source systems.</w:t>
      </w:r>
    </w:p>
    <w:p>
      <w:pPr>
        <w:pStyle w:val="FirstParagraph"/>
      </w:pPr>
      <w:r>
        <w:t xml:space="preserve">The knowledge base contained seven documents and 21 chunks. This was sufficient to evaluate chunking, embeddings, FAISS, controlled retrieval, and reranking, but retrieval behaviour may differ in a larger corpus containing overlapping procedures, multiple jurisdictions, obsolete document versions, and semantically similar sections.</w:t>
      </w:r>
    </w:p>
    <w:p>
      <w:pPr>
        <w:pStyle w:val="BodyText"/>
      </w:pPr>
      <w:r>
        <w:t xml:space="preserve">The retrieval benchmark contained 14 queries, while human review, LLM judging, and Ragas used 12 generation cases. These samples covered the intended query families and all four dispositions, but they do not establish performance across every rule combination, evidence profile, exclusion, or rare exception.</w:t>
      </w:r>
    </w:p>
    <w:p>
      <w:pPr>
        <w:pStyle w:val="BodyText"/>
      </w:pPr>
      <w:r>
        <w:t xml:space="preserve">Embedding, generation, LLM-judge, and Ragas workflows also depend on external models and libraries. Frozen cases, committed outputs, manifests, dependency records, and fingerprints reduce this risk, but future service or model changes may affect exact regeneration.</w:t>
      </w:r>
    </w:p>
    <w:p>
      <w:pPr>
        <w:pStyle w:val="BodyText"/>
      </w:pPr>
      <w:r>
        <w:t xml:space="preserve">Finally, the prototype was not evaluated in a live operational environment. The project did not measure analyst handling time, productivity, override behaviour, customer satisfaction, claim cost, leakage, production latency, or financial return. Business benefits therefore remain expected implications rather than measured outcomes.</w:t>
      </w:r>
    </w:p>
    <w:bookmarkEnd w:id="60"/>
    <w:bookmarkStart w:id="66" w:name="X17cc0ea3f3bfe52ebb58720b5975dd4a9514c3a"/>
    <w:p>
      <w:pPr>
        <w:pStyle w:val="Heading3"/>
      </w:pPr>
      <w:r>
        <w:t xml:space="preserve">5.3 Required Production Improvements</w:t>
      </w:r>
    </w:p>
    <w:p>
      <w:pPr>
        <w:pStyle w:val="FirstParagraph"/>
      </w:pPr>
      <w:r>
        <w:t xml:space="preserve">The held-out findings identify five priority improvements.</w:t>
      </w:r>
    </w:p>
    <w:p>
      <w:pPr>
        <w:pStyle w:val="BodyText"/>
      </w:pPr>
      <w:r>
        <w:rPr>
          <w:b/>
          <w:bCs/>
        </w:rPr>
        <w:t xml:space="preserve">Table 5.2 — Priority production improvements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Priority</w:t>
            </w:r>
          </w:p>
        </w:tc>
        <w:tc>
          <w:tcPr/>
          <w:p>
            <w:pPr>
              <w:pStyle w:val="Compact"/>
            </w:pPr>
            <w:r>
              <w:t xml:space="preserve">Required change</w:t>
            </w:r>
          </w:p>
        </w:tc>
        <w:tc>
          <w:tcPr/>
          <w:p>
            <w:pPr>
              <w:pStyle w:val="Compact"/>
            </w:pPr>
            <w:r>
              <w:t xml:space="preserve">Intended control</w:t>
            </w:r>
          </w:p>
        </w:tc>
      </w:tr>
      <w:tr>
        <w:tc>
          <w:tcPr/>
          <w:p>
            <w:pPr>
              <w:pStyle w:val="Compact"/>
              <w:jc w:val="right"/>
            </w:pPr>
            <w:r>
              <w:t xml:space="preserve">1</w:t>
            </w:r>
          </w:p>
        </w:tc>
        <w:tc>
          <w:tcPr/>
          <w:p>
            <w:pPr>
              <w:pStyle w:val="Compact"/>
            </w:pPr>
            <w:r>
              <w:t xml:space="preserve">Fail-safe</w:t>
            </w:r>
            <w:r>
              <w:t xml:space="preserve"> </w:t>
            </w:r>
            <w:r>
              <w:rPr>
                <w:rStyle w:val="VerbatimChar"/>
              </w:rPr>
              <w:t xml:space="preserve">MANUAL_REVIEW</w:t>
            </w:r>
            <w:r>
              <w:t xml:space="preserve"> </w:t>
            </w:r>
            <w:r>
              <w:t xml:space="preserve">routing</w:t>
            </w:r>
          </w:p>
        </w:tc>
        <w:tc>
          <w:tcPr/>
          <w:p>
            <w:pPr>
              <w:pStyle w:val="Compact"/>
            </w:pPr>
            <w:r>
              <w:t xml:space="preserve">Prevent unresolved conditions from falling through to</w:t>
            </w:r>
            <w:r>
              <w:t xml:space="preserve"> </w:t>
            </w:r>
            <w:r>
              <w:rPr>
                <w:rStyle w:val="VerbatimChar"/>
              </w:rPr>
              <w:t xml:space="preserve">PROCEED</w:t>
            </w:r>
          </w:p>
        </w:tc>
      </w:tr>
      <w:tr>
        <w:tc>
          <w:tcPr/>
          <w:p>
            <w:pPr>
              <w:pStyle w:val="Compact"/>
              <w:jc w:val="right"/>
            </w:pPr>
            <w:r>
              <w:t xml:space="preserve">2</w:t>
            </w:r>
          </w:p>
        </w:tc>
        <w:tc>
          <w:tcPr/>
          <w:p>
            <w:pPr>
              <w:pStyle w:val="Compact"/>
            </w:pPr>
            <w:r>
              <w:t xml:space="preserve">Explicit</w:t>
            </w:r>
            <w:r>
              <w:t xml:space="preserve"> </w:t>
            </w:r>
            <w:r>
              <w:rPr>
                <w:rStyle w:val="VerbatimChar"/>
              </w:rPr>
              <w:t xml:space="preserve">PASS</w:t>
            </w:r>
            <w:r>
              <w:t xml:space="preserve">,</w:t>
            </w:r>
            <w:r>
              <w:t xml:space="preserve"> </w:t>
            </w:r>
            <w:r>
              <w:rPr>
                <w:rStyle w:val="VerbatimChar"/>
              </w:rPr>
              <w:t xml:space="preserve">FAIL</w:t>
            </w:r>
            <w:r>
              <w:t xml:space="preserve">, and</w:t>
            </w:r>
            <w:r>
              <w:t xml:space="preserve"> </w:t>
            </w:r>
            <w:r>
              <w:rPr>
                <w:rStyle w:val="VerbatimChar"/>
              </w:rPr>
              <w:t xml:space="preserve">UNABLE_TO_EVALUATE</w:t>
            </w:r>
            <w:r>
              <w:t xml:space="preserve"> </w:t>
            </w:r>
            <w:r>
              <w:t xml:space="preserve">states</w:t>
            </w:r>
          </w:p>
        </w:tc>
        <w:tc>
          <w:tcPr/>
          <w:p>
            <w:pPr>
              <w:pStyle w:val="Compact"/>
            </w:pPr>
            <w:r>
              <w:t xml:space="preserve">Distinguish successful evaluation from missing or unsupported checks</w:t>
            </w:r>
          </w:p>
        </w:tc>
      </w:tr>
      <w:tr>
        <w:tc>
          <w:tcPr/>
          <w:p>
            <w:pPr>
              <w:pStyle w:val="Compact"/>
              <w:jc w:val="right"/>
            </w:pPr>
            <w:r>
              <w:t xml:space="preserve">3</w:t>
            </w:r>
          </w:p>
        </w:tc>
        <w:tc>
          <w:tcPr/>
          <w:p>
            <w:pPr>
              <w:pStyle w:val="Compact"/>
            </w:pPr>
            <w:r>
              <w:t xml:space="preserve">Stronger structured rule coverage</w:t>
            </w:r>
          </w:p>
        </w:tc>
        <w:tc>
          <w:tcPr/>
          <w:p>
            <w:pPr>
              <w:pStyle w:val="Compact"/>
            </w:pPr>
            <w:r>
              <w:t xml:space="preserve">Detect conflicts, exclusions, date conditions, duplicate records, and identifier mismatches</w:t>
            </w:r>
          </w:p>
        </w:tc>
      </w:tr>
      <w:tr>
        <w:tc>
          <w:tcPr/>
          <w:p>
            <w:pPr>
              <w:pStyle w:val="Compact"/>
              <w:jc w:val="right"/>
            </w:pPr>
            <w:r>
              <w:t xml:space="preserve">4</w:t>
            </w:r>
          </w:p>
        </w:tc>
        <w:tc>
          <w:tcPr/>
          <w:p>
            <w:pPr>
              <w:pStyle w:val="Compact"/>
            </w:pPr>
            <w:r>
              <w:t xml:space="preserve">Rule-aware retrieval</w:t>
            </w:r>
          </w:p>
        </w:tc>
        <w:tc>
          <w:tcPr/>
          <w:p>
            <w:pPr>
              <w:pStyle w:val="Compact"/>
            </w:pPr>
            <w:r>
              <w:t xml:space="preserve">Improve guidance relevance for exclusions, conflicts, limits, and manual-review conditions</w:t>
            </w:r>
          </w:p>
        </w:tc>
      </w:tr>
      <w:tr>
        <w:tc>
          <w:tcPr/>
          <w:p>
            <w:pPr>
              <w:pStyle w:val="Compact"/>
              <w:jc w:val="right"/>
            </w:pPr>
            <w:r>
              <w:t xml:space="preserve">5</w:t>
            </w:r>
          </w:p>
        </w:tc>
        <w:tc>
          <w:tcPr/>
          <w:p>
            <w:pPr>
              <w:pStyle w:val="Compact"/>
            </w:pPr>
            <w:r>
              <w:t xml:space="preserve">Production governance</w:t>
            </w:r>
          </w:p>
        </w:tc>
        <w:tc>
          <w:tcPr/>
          <w:p>
            <w:pPr>
              <w:pStyle w:val="Compact"/>
            </w:pPr>
            <w:r>
              <w:t xml:space="preserve">Add access control, audit logging, monitoring, versioning, and change management</w:t>
            </w:r>
          </w:p>
        </w:tc>
      </w:tr>
    </w:tbl>
    <w:bookmarkStart w:id="61" w:name="fail-safe-evaluation"/>
    <w:p>
      <w:pPr>
        <w:pStyle w:val="Heading4"/>
      </w:pPr>
      <w:r>
        <w:t xml:space="preserve">Fail-safe evaluation</w:t>
      </w:r>
    </w:p>
    <w:p>
      <w:pPr>
        <w:pStyle w:val="FirstParagraph"/>
      </w:pPr>
      <w:r>
        <w:t xml:space="preserve">The workflow should apply the following principle:</w:t>
      </w:r>
    </w:p>
    <w:p>
      <w:pPr>
        <w:pStyle w:val="BlockText"/>
      </w:pPr>
      <w:r>
        <w:t xml:space="preserve">An unresolved authoritative condition must route to</w:t>
      </w:r>
      <w:r>
        <w:t xml:space="preserve"> </w:t>
      </w:r>
      <w:r>
        <w:rPr>
          <w:rStyle w:val="VerbatimChar"/>
        </w:rPr>
        <w:t xml:space="preserve">MANUAL_REVIEW</w:t>
      </w:r>
      <w:r>
        <w:t xml:space="preserve">, not silently pass.</w:t>
      </w:r>
    </w:p>
    <w:p>
      <w:pPr>
        <w:pStyle w:val="FirstParagraph"/>
      </w:pPr>
      <w:r>
        <w:t xml:space="preserve">A missing record, unsupported exclusion, conflicting identifier, or unavailable policy date should produce</w:t>
      </w:r>
      <w:r>
        <w:t xml:space="preserve"> </w:t>
      </w:r>
      <w:r>
        <w:rPr>
          <w:rStyle w:val="VerbatimChar"/>
        </w:rPr>
        <w:t xml:space="preserve">UNABLE_TO_EVALUATE</w:t>
      </w:r>
      <w:r>
        <w:t xml:space="preserve">. This state should not be treated as equivalent to</w:t>
      </w:r>
      <w:r>
        <w:t xml:space="preserve"> </w:t>
      </w:r>
      <w:r>
        <w:rPr>
          <w:rStyle w:val="VerbatimChar"/>
        </w:rPr>
        <w:t xml:space="preserve">PASS</w:t>
      </w:r>
      <w:r>
        <w:t xml:space="preserve">.</w:t>
      </w:r>
    </w:p>
    <w:bookmarkEnd w:id="61"/>
    <w:bookmarkStart w:id="62" w:name="stronger-structured-business-facts"/>
    <w:p>
      <w:pPr>
        <w:pStyle w:val="Heading4"/>
      </w:pPr>
      <w:r>
        <w:t xml:space="preserve">Stronger structured business facts</w:t>
      </w:r>
    </w:p>
    <w:p>
      <w:pPr>
        <w:pStyle w:val="FirstParagraph"/>
      </w:pPr>
      <w:r>
        <w:t xml:space="preserve">Conflict detection should cover duplicate or multiple policy matches, customer and policy identifier conflicts, device mismatches, and disagreement between claims and evidence records.</w:t>
      </w:r>
    </w:p>
    <w:p>
      <w:pPr>
        <w:pStyle w:val="BodyText"/>
      </w:pPr>
      <w:r>
        <w:t xml:space="preserve">Important exclusion conditions should be represented as controlled structured attributes or validated evidence signals. An LLM may identify a possible fact from narrative text, but it should remain unverified until confirmed by an authoritative source or an analyst.</w:t>
      </w:r>
    </w:p>
    <w:p>
      <w:pPr>
        <w:pStyle w:val="BodyText"/>
      </w:pPr>
      <w:r>
        <w:t xml:space="preserve">Date logic should also cover policy start, end, cancellation, suspension, waiting periods, missing dates, contradictory dates, and timezone consistency.</w:t>
      </w:r>
    </w:p>
    <w:bookmarkEnd w:id="62"/>
    <w:bookmarkStart w:id="63" w:name="future-regression-coverage"/>
    <w:p>
      <w:pPr>
        <w:pStyle w:val="Heading4"/>
      </w:pPr>
      <w:r>
        <w:t xml:space="preserve">Future regression coverage</w:t>
      </w:r>
    </w:p>
    <w:p>
      <w:pPr>
        <w:pStyle w:val="FirstParagraph"/>
      </w:pPr>
      <w:r>
        <w:t xml:space="preserve">The six documented failure patterns should become future regression cases during a post-capstone improvement phase. These additions must not alter or replace the frozen held-out result, prediction artifact, or SHA-256 fingerprint.</w:t>
      </w:r>
    </w:p>
    <w:bookmarkEnd w:id="63"/>
    <w:bookmarkStart w:id="64" w:name="rule-aware-retrieval"/>
    <w:p>
      <w:pPr>
        <w:pStyle w:val="Heading4"/>
      </w:pPr>
      <w:r>
        <w:t xml:space="preserve">Rule-aware retrieval</w:t>
      </w:r>
    </w:p>
    <w:p>
      <w:pPr>
        <w:pStyle w:val="FirstParagraph"/>
      </w:pPr>
      <w:r>
        <w:t xml:space="preserve">Controlled queries should better represent rule-specific guidance needs, particularly for exclusions, data conflicts, claim limits, anomalies, and unsupported conditions. This may improve Context Precision and Context Recall but cannot substitute for deterministic rule corrections.</w:t>
      </w:r>
    </w:p>
    <w:bookmarkEnd w:id="64"/>
    <w:bookmarkStart w:id="65" w:name="production-governance"/>
    <w:p>
      <w:pPr>
        <w:pStyle w:val="Heading4"/>
      </w:pPr>
      <w:r>
        <w:t xml:space="preserve">Production governance</w:t>
      </w:r>
    </w:p>
    <w:p>
      <w:pPr>
        <w:pStyle w:val="FirstParagraph"/>
      </w:pPr>
      <w:r>
        <w:t xml:space="preserve">A production implementation would additionally require:</w:t>
      </w:r>
    </w:p>
    <w:p>
      <w:pPr>
        <w:pStyle w:val="Compact"/>
        <w:numPr>
          <w:ilvl w:val="0"/>
          <w:numId w:val="1024"/>
        </w:numPr>
      </w:pPr>
      <w:r>
        <w:t xml:space="preserve">authenticated and role-based access;</w:t>
      </w:r>
    </w:p>
    <w:p>
      <w:pPr>
        <w:pStyle w:val="Compact"/>
        <w:numPr>
          <w:ilvl w:val="0"/>
          <w:numId w:val="1024"/>
        </w:numPr>
      </w:pPr>
      <w:r>
        <w:t xml:space="preserve">encryption and secrets management;</w:t>
      </w:r>
    </w:p>
    <w:p>
      <w:pPr>
        <w:pStyle w:val="Compact"/>
        <w:numPr>
          <w:ilvl w:val="0"/>
          <w:numId w:val="1024"/>
        </w:numPr>
      </w:pPr>
      <w:r>
        <w:t xml:space="preserve">audit logging and human-override records;</w:t>
      </w:r>
    </w:p>
    <w:p>
      <w:pPr>
        <w:pStyle w:val="Compact"/>
        <w:numPr>
          <w:ilvl w:val="0"/>
          <w:numId w:val="1024"/>
        </w:numPr>
      </w:pPr>
      <w:r>
        <w:t xml:space="preserve">operational monitoring and data-quality alerts;</w:t>
      </w:r>
    </w:p>
    <w:p>
      <w:pPr>
        <w:pStyle w:val="Compact"/>
        <w:numPr>
          <w:ilvl w:val="0"/>
          <w:numId w:val="1024"/>
        </w:numPr>
      </w:pPr>
      <w:r>
        <w:t xml:space="preserve">knowledge-document versioning;</w:t>
      </w:r>
    </w:p>
    <w:p>
      <w:pPr>
        <w:pStyle w:val="Compact"/>
        <w:numPr>
          <w:ilvl w:val="0"/>
          <w:numId w:val="1024"/>
        </w:numPr>
      </w:pPr>
      <w:r>
        <w:t xml:space="preserve">rule, prompt, and model change control;</w:t>
      </w:r>
    </w:p>
    <w:p>
      <w:pPr>
        <w:pStyle w:val="Compact"/>
        <w:numPr>
          <w:ilvl w:val="0"/>
          <w:numId w:val="1024"/>
        </w:numPr>
      </w:pPr>
      <w:r>
        <w:t xml:space="preserve">fallback and incident procedures;</w:t>
      </w:r>
    </w:p>
    <w:p>
      <w:pPr>
        <w:pStyle w:val="Compact"/>
        <w:numPr>
          <w:ilvl w:val="0"/>
          <w:numId w:val="1024"/>
        </w:numPr>
      </w:pPr>
      <w:r>
        <w:t xml:space="preserve">privacy, retention, and enterprise-integration controls.</w:t>
      </w:r>
    </w:p>
    <w:bookmarkEnd w:id="65"/>
    <w:bookmarkEnd w:id="66"/>
    <w:bookmarkStart w:id="67" w:name="Xd877d9448ea00bb9400e88eb6b1cdd643c7072b"/>
    <w:p>
      <w:pPr>
        <w:pStyle w:val="Heading3"/>
      </w:pPr>
      <w:r>
        <w:t xml:space="preserve">5.4 Future Evaluation Priorities</w:t>
      </w:r>
    </w:p>
    <w:p>
      <w:pPr>
        <w:pStyle w:val="FirstParagraph"/>
      </w:pPr>
      <w:r>
        <w:t xml:space="preserve">A production pilot should extend the evaluation using representative operational data and multiple analyst reviewers.</w:t>
      </w:r>
    </w:p>
    <w:p>
      <w:pPr>
        <w:pStyle w:val="BodyText"/>
      </w:pPr>
      <w:r>
        <w:t xml:space="preserve">The principal measures should include:</w:t>
      </w:r>
    </w:p>
    <w:p>
      <w:pPr>
        <w:pStyle w:val="Compact"/>
        <w:numPr>
          <w:ilvl w:val="0"/>
          <w:numId w:val="1025"/>
        </w:numPr>
      </w:pPr>
      <w:r>
        <w:t xml:space="preserve">unsafe continuation rate;</w:t>
      </w:r>
    </w:p>
    <w:p>
      <w:pPr>
        <w:pStyle w:val="Compact"/>
        <w:numPr>
          <w:ilvl w:val="0"/>
          <w:numId w:val="1025"/>
        </w:numPr>
      </w:pPr>
      <w:r>
        <w:t xml:space="preserve">manual-review recall;</w:t>
      </w:r>
    </w:p>
    <w:p>
      <w:pPr>
        <w:pStyle w:val="Compact"/>
        <w:numPr>
          <w:ilvl w:val="0"/>
          <w:numId w:val="1025"/>
        </w:numPr>
      </w:pPr>
      <w:r>
        <w:t xml:space="preserve">false non-eligibility rate;</w:t>
      </w:r>
    </w:p>
    <w:p>
      <w:pPr>
        <w:pStyle w:val="Compact"/>
        <w:numPr>
          <w:ilvl w:val="0"/>
          <w:numId w:val="1025"/>
        </w:numPr>
      </w:pPr>
      <w:r>
        <w:t xml:space="preserve">unresolved-condition routing;</w:t>
      </w:r>
    </w:p>
    <w:p>
      <w:pPr>
        <w:pStyle w:val="Compact"/>
        <w:numPr>
          <w:ilvl w:val="0"/>
          <w:numId w:val="1025"/>
        </w:numPr>
      </w:pPr>
      <w:r>
        <w:t xml:space="preserve">analyst acceptance and override rates;</w:t>
      </w:r>
    </w:p>
    <w:p>
      <w:pPr>
        <w:pStyle w:val="Compact"/>
        <w:numPr>
          <w:ilvl w:val="0"/>
          <w:numId w:val="1025"/>
        </w:numPr>
      </w:pPr>
      <w:r>
        <w:t xml:space="preserve">handling time and procedural-search effort;</w:t>
      </w:r>
    </w:p>
    <w:p>
      <w:pPr>
        <w:pStyle w:val="Compact"/>
        <w:numPr>
          <w:ilvl w:val="0"/>
          <w:numId w:val="1025"/>
        </w:numPr>
      </w:pPr>
      <w:r>
        <w:t xml:space="preserve">authority-preservation rate;</w:t>
      </w:r>
    </w:p>
    <w:p>
      <w:pPr>
        <w:pStyle w:val="Compact"/>
        <w:numPr>
          <w:ilvl w:val="0"/>
          <w:numId w:val="1025"/>
        </w:numPr>
      </w:pPr>
      <w:r>
        <w:t xml:space="preserve">critical guardrail failures.</w:t>
      </w:r>
    </w:p>
    <w:p>
      <w:pPr>
        <w:pStyle w:val="FirstParagraph"/>
      </w:pPr>
      <w:r>
        <w:t xml:space="preserve">Overall accuracy should remain a supporting metric rather than the sole indicator of safety.</w:t>
      </w:r>
    </w:p>
    <w:p>
      <w:pPr>
        <w:pStyle w:val="BodyText"/>
      </w:pPr>
      <w:r>
        <w:t xml:space="preserve">Evaluation should also test:</w:t>
      </w:r>
    </w:p>
    <w:p>
      <w:pPr>
        <w:pStyle w:val="Compact"/>
        <w:numPr>
          <w:ilvl w:val="0"/>
          <w:numId w:val="1026"/>
        </w:numPr>
      </w:pPr>
      <w:r>
        <w:t xml:space="preserve">larger and more diverse retrieval corpora;</w:t>
      </w:r>
    </w:p>
    <w:p>
      <w:pPr>
        <w:pStyle w:val="Compact"/>
        <w:numPr>
          <w:ilvl w:val="0"/>
          <w:numId w:val="1026"/>
        </w:numPr>
      </w:pPr>
      <w:r>
        <w:t xml:space="preserve">multiple products and jurisdictions;</w:t>
      </w:r>
    </w:p>
    <w:p>
      <w:pPr>
        <w:pStyle w:val="Compact"/>
        <w:numPr>
          <w:ilvl w:val="0"/>
          <w:numId w:val="1026"/>
        </w:numPr>
      </w:pPr>
      <w:r>
        <w:t xml:space="preserve">missing, conflicting, and delayed source data;</w:t>
      </w:r>
    </w:p>
    <w:p>
      <w:pPr>
        <w:pStyle w:val="Compact"/>
        <w:numPr>
          <w:ilvl w:val="0"/>
          <w:numId w:val="1026"/>
        </w:numPr>
      </w:pPr>
      <w:r>
        <w:t xml:space="preserve">model, prompt, rule, and knowledge-base version changes;</w:t>
      </w:r>
    </w:p>
    <w:p>
      <w:pPr>
        <w:pStyle w:val="Compact"/>
        <w:numPr>
          <w:ilvl w:val="0"/>
          <w:numId w:val="1026"/>
        </w:numPr>
      </w:pPr>
      <w:r>
        <w:t xml:space="preserve">production security, compliance, and responsible-AI controls.</w:t>
      </w:r>
    </w:p>
    <w:bookmarkEnd w:id="67"/>
    <w:bookmarkStart w:id="68" w:name="X62de5135c789cc7e6340a6e02520ed73350ac95"/>
    <w:p>
      <w:pPr>
        <w:pStyle w:val="Heading3"/>
      </w:pPr>
      <w:r>
        <w:t xml:space="preserve">5.5 Final Project Position</w:t>
      </w:r>
    </w:p>
    <w:p>
      <w:pPr>
        <w:pStyle w:val="FirstParagraph"/>
      </w:pPr>
      <w:r>
        <w:t xml:space="preserve">The capstone implemented and systematically evaluated a rule-grounded Agentic AI decision-support architecture.</w:t>
      </w:r>
    </w:p>
    <w:p>
      <w:pPr>
        <w:pStyle w:val="BodyText"/>
      </w:pPr>
      <w:r>
        <w:t xml:space="preserve">The project:</w:t>
      </w:r>
    </w:p>
    <w:p>
      <w:pPr>
        <w:pStyle w:val="Compact"/>
        <w:numPr>
          <w:ilvl w:val="0"/>
          <w:numId w:val="1027"/>
        </w:numPr>
      </w:pPr>
      <w:r>
        <w:t xml:space="preserve">implemented modular deterministic triage tools;</w:t>
      </w:r>
    </w:p>
    <w:p>
      <w:pPr>
        <w:pStyle w:val="Compact"/>
        <w:numPr>
          <w:ilvl w:val="0"/>
          <w:numId w:val="1027"/>
        </w:numPr>
      </w:pPr>
      <w:r>
        <w:t xml:space="preserve">used LangGraph for controlled orchestration;</w:t>
      </w:r>
    </w:p>
    <w:p>
      <w:pPr>
        <w:pStyle w:val="Compact"/>
        <w:numPr>
          <w:ilvl w:val="0"/>
          <w:numId w:val="1027"/>
        </w:numPr>
      </w:pPr>
      <w:r>
        <w:t xml:space="preserve">created an allow-listed FAISS-based RAG pipeline;</w:t>
      </w:r>
    </w:p>
    <w:p>
      <w:pPr>
        <w:pStyle w:val="Compact"/>
        <w:numPr>
          <w:ilvl w:val="0"/>
          <w:numId w:val="1027"/>
        </w:numPr>
      </w:pPr>
      <w:r>
        <w:t xml:space="preserve">evaluated lexical, semantic, hybrid, and reranked retrieval;</w:t>
      </w:r>
    </w:p>
    <w:p>
      <w:pPr>
        <w:pStyle w:val="Compact"/>
        <w:numPr>
          <w:ilvl w:val="0"/>
          <w:numId w:val="1027"/>
        </w:numPr>
      </w:pPr>
      <w:r>
        <w:t xml:space="preserve">generated guarded analyst-facing explanations;</w:t>
      </w:r>
    </w:p>
    <w:p>
      <w:pPr>
        <w:pStyle w:val="Compact"/>
        <w:numPr>
          <w:ilvl w:val="0"/>
          <w:numId w:val="1027"/>
        </w:numPr>
      </w:pPr>
      <w:r>
        <w:t xml:space="preserve">preserved deterministic authority and authorised human control;</w:t>
      </w:r>
    </w:p>
    <w:p>
      <w:pPr>
        <w:pStyle w:val="Compact"/>
        <w:numPr>
          <w:ilvl w:val="0"/>
          <w:numId w:val="1027"/>
        </w:numPr>
      </w:pPr>
      <w:r>
        <w:t xml:space="preserve">passed 149 regression tests;</w:t>
      </w:r>
    </w:p>
    <w:p>
      <w:pPr>
        <w:pStyle w:val="Compact"/>
        <w:numPr>
          <w:ilvl w:val="0"/>
          <w:numId w:val="1027"/>
        </w:numPr>
      </w:pPr>
      <w:r>
        <w:t xml:space="preserve">achieved 89.1% held-out accuracy against the approved 80% target;</w:t>
      </w:r>
    </w:p>
    <w:p>
      <w:pPr>
        <w:pStyle w:val="Compact"/>
        <w:numPr>
          <w:ilvl w:val="0"/>
          <w:numId w:val="1027"/>
        </w:numPr>
      </w:pPr>
      <w:r>
        <w:t xml:space="preserve">passed all eight held-out adversarial safety cases;</w:t>
      </w:r>
    </w:p>
    <w:p>
      <w:pPr>
        <w:pStyle w:val="Compact"/>
        <w:numPr>
          <w:ilvl w:val="0"/>
          <w:numId w:val="1027"/>
        </w:numPr>
      </w:pPr>
      <w:r>
        <w:t xml:space="preserve">documented the six unsafe-routing errors transparently.</w:t>
      </w:r>
    </w:p>
    <w:p>
      <w:pPr>
        <w:pStyle w:val="FirstParagraph"/>
      </w:pPr>
      <w:r>
        <w:t xml:space="preserve">The six incorrect</w:t>
      </w:r>
      <w:r>
        <w:t xml:space="preserve"> </w:t>
      </w:r>
      <w:r>
        <w:rPr>
          <w:rStyle w:val="VerbatimChar"/>
        </w:rPr>
        <w:t xml:space="preserve">PROCEED</w:t>
      </w:r>
      <w:r>
        <w:t xml:space="preserve"> </w:t>
      </w:r>
      <w:r>
        <w:t xml:space="preserve">recommendations show that the current structured-data and deterministic-rule coverage is insufficient for production use. Guardrails prevented LLM override but could not correct incomplete deterministic evaluation.</w:t>
      </w:r>
    </w:p>
    <w:p>
      <w:pPr>
        <w:pStyle w:val="BodyText"/>
      </w:pPr>
      <w:r>
        <w:t xml:space="preserve">The final conclusion is:</w:t>
      </w:r>
    </w:p>
    <w:p>
      <w:pPr>
        <w:pStyle w:val="BlockText"/>
      </w:pPr>
      <w:r>
        <w:t xml:space="preserve">This capstone demonstrates a successful and evaluated rule-grounded Agentic AI decision-support prototype. It exceeded the approved primary accuracy target, preserved deterministic authority, maintained human control, and passed the held-out safety gate. However, stronger fail-safe routing and structured deterministic-rule coverage are required before production use. The final assessment is</w:t>
      </w:r>
      <w:r>
        <w:t xml:space="preserve"> </w:t>
      </w:r>
      <w:r>
        <w:rPr>
          <w:rStyle w:val="VerbatimChar"/>
        </w:rPr>
        <w:t xml:space="preserve">MET_WITH_DOCUMENTED_LIMITATION</w:t>
      </w:r>
      <w:r>
        <w:t xml:space="preserve">.</w:t>
      </w:r>
    </w:p>
    <w:p>
      <w:r>
        <w:pict>
          <v:rect style="width:0;height:1.5pt" o:hralign="center" o:hrstd="t" o:hr="t"/>
        </w:pict>
      </w:r>
    </w:p>
    <w:bookmarkEnd w:id="68"/>
    <w:bookmarkEnd w:id="69"/>
    <w:bookmarkStart w:id="79" w:name="references"/>
    <w:p>
      <w:pPr>
        <w:pStyle w:val="Heading2"/>
      </w:pPr>
      <w:r>
        <w:t xml:space="preserve">References</w:t>
      </w:r>
    </w:p>
    <w:p>
      <w:pPr>
        <w:pStyle w:val="FirstParagraph"/>
      </w:pPr>
      <w:r>
        <w:t xml:space="preserve">[1] University BYOC Programme,</w:t>
      </w:r>
      <w:r>
        <w:t xml:space="preserve"> </w:t>
      </w:r>
      <w:r>
        <w:rPr>
          <w:i/>
          <w:iCs/>
        </w:rPr>
        <w:t xml:space="preserve">Approved Proposal Form: Device Protection Claims Triage — A Rule-Grounded Agentic AI Decision-Support System</w:t>
      </w:r>
      <w:r>
        <w:t xml:space="preserve">, approved project proposal, 2026.</w:t>
      </w:r>
    </w:p>
    <w:p>
      <w:pPr>
        <w:pStyle w:val="BodyText"/>
      </w:pPr>
      <w:r>
        <w:t xml:space="preserve">[2] P. Lewis, E. Perez, A. Piktus, F. Petroni, V. Karpukhin, N. Goyal, H. Küttler, M. Lewis, W.-t. Yih, T. Rocktäschel, S. Riedel, and D. Kiela, “Retrieval-Augmented Generation for Knowledge-Intensive NLP Tasks,” in</w:t>
      </w:r>
      <w:r>
        <w:t xml:space="preserve"> </w:t>
      </w:r>
      <w:r>
        <w:rPr>
          <w:i/>
          <w:iCs/>
        </w:rPr>
        <w:t xml:space="preserve">Advances in Neural Information Processing Systems</w:t>
      </w:r>
      <w:r>
        <w:t xml:space="preserve">, vol. 33, 2020.</w:t>
      </w:r>
      <w:r>
        <w:t xml:space="preserve"> </w:t>
      </w:r>
      <w:hyperlink r:id="rId70">
        <w:r>
          <w:rPr>
            <w:rStyle w:val="Hyperlink"/>
          </w:rPr>
          <w:t xml:space="preserve">Available online</w:t>
        </w:r>
      </w:hyperlink>
      <w:r>
        <w:t xml:space="preserve">.</w:t>
      </w:r>
    </w:p>
    <w:p>
      <w:pPr>
        <w:pStyle w:val="BodyText"/>
      </w:pPr>
      <w:r>
        <w:t xml:space="preserve">[3] J. Johnson, M. Douze, and H. Jégou, “Billion-Scale Similarity Search with GPUs,”</w:t>
      </w:r>
      <w:r>
        <w:t xml:space="preserve"> </w:t>
      </w:r>
      <w:r>
        <w:rPr>
          <w:i/>
          <w:iCs/>
        </w:rPr>
        <w:t xml:space="preserve">arXiv preprint arXiv:1702.08734</w:t>
      </w:r>
      <w:r>
        <w:t xml:space="preserve">, 2017.</w:t>
      </w:r>
      <w:r>
        <w:t xml:space="preserve"> </w:t>
      </w:r>
      <w:hyperlink r:id="rId71">
        <w:r>
          <w:rPr>
            <w:rStyle w:val="Hyperlink"/>
          </w:rPr>
          <w:t xml:space="preserve">Available online</w:t>
        </w:r>
      </w:hyperlink>
      <w:r>
        <w:t xml:space="preserve">.</w:t>
      </w:r>
    </w:p>
    <w:p>
      <w:pPr>
        <w:pStyle w:val="BodyText"/>
      </w:pPr>
      <w:r>
        <w:t xml:space="preserve">[4] OpenAI, “Vector Embeddings,”</w:t>
      </w:r>
      <w:r>
        <w:t xml:space="preserve"> </w:t>
      </w:r>
      <w:r>
        <w:rPr>
          <w:i/>
          <w:iCs/>
        </w:rPr>
        <w:t xml:space="preserve">OpenAI API Documentation</w:t>
      </w:r>
      <w:r>
        <w:t xml:space="preserve">.</w:t>
      </w:r>
      <w:r>
        <w:t xml:space="preserve"> </w:t>
      </w:r>
      <w:hyperlink r:id="rId72">
        <w:r>
          <w:rPr>
            <w:rStyle w:val="Hyperlink"/>
          </w:rPr>
          <w:t xml:space="preserve">Available online</w:t>
        </w:r>
      </w:hyperlink>
      <w:r>
        <w:t xml:space="preserve">. Accessed 16 July 2026.</w:t>
      </w:r>
    </w:p>
    <w:p>
      <w:pPr>
        <w:pStyle w:val="BodyText"/>
      </w:pPr>
      <w:r>
        <w:t xml:space="preserve">[5] LangChain, “LangGraph Overview,”</w:t>
      </w:r>
      <w:r>
        <w:t xml:space="preserve"> </w:t>
      </w:r>
      <w:r>
        <w:rPr>
          <w:i/>
          <w:iCs/>
        </w:rPr>
        <w:t xml:space="preserve">LangGraph Documentation</w:t>
      </w:r>
      <w:r>
        <w:t xml:space="preserve">.</w:t>
      </w:r>
      <w:r>
        <w:t xml:space="preserve"> </w:t>
      </w:r>
      <w:hyperlink r:id="rId73">
        <w:r>
          <w:rPr>
            <w:rStyle w:val="Hyperlink"/>
          </w:rPr>
          <w:t xml:space="preserve">Available online</w:t>
        </w:r>
      </w:hyperlink>
      <w:r>
        <w:t xml:space="preserve">. Accessed 16 July 2026.</w:t>
      </w:r>
    </w:p>
    <w:p>
      <w:pPr>
        <w:pStyle w:val="BodyText"/>
      </w:pPr>
      <w:r>
        <w:t xml:space="preserve">[6] R. Nogueira and K. Cho, “Passage Re-ranking with BERT,”</w:t>
      </w:r>
      <w:r>
        <w:t xml:space="preserve"> </w:t>
      </w:r>
      <w:r>
        <w:rPr>
          <w:i/>
          <w:iCs/>
        </w:rPr>
        <w:t xml:space="preserve">arXiv preprint arXiv:1901.04085</w:t>
      </w:r>
      <w:r>
        <w:t xml:space="preserve">, 2019.</w:t>
      </w:r>
      <w:r>
        <w:t xml:space="preserve"> </w:t>
      </w:r>
      <w:hyperlink r:id="rId74">
        <w:r>
          <w:rPr>
            <w:rStyle w:val="Hyperlink"/>
          </w:rPr>
          <w:t xml:space="preserve">Available online</w:t>
        </w:r>
      </w:hyperlink>
      <w:r>
        <w:t xml:space="preserve">.</w:t>
      </w:r>
    </w:p>
    <w:p>
      <w:pPr>
        <w:pStyle w:val="BodyText"/>
      </w:pPr>
      <w:r>
        <w:t xml:space="preserve">[7] S. Es, J. James, L. Espinosa-Anke, and S. Schockaert, “RAGAs: Automated Evaluation of Retrieval Augmented Generation,” in</w:t>
      </w:r>
      <w:r>
        <w:t xml:space="preserve"> </w:t>
      </w:r>
      <w:r>
        <w:rPr>
          <w:i/>
          <w:iCs/>
        </w:rPr>
        <w:t xml:space="preserve">Proceedings of the 18th Conference of the European Chapter of the Association for Computational Linguistics: System Demonstrations</w:t>
      </w:r>
      <w:r>
        <w:t xml:space="preserve">, pp. 150–158, 2024.</w:t>
      </w:r>
      <w:r>
        <w:t xml:space="preserve"> </w:t>
      </w:r>
      <w:hyperlink r:id="rId75">
        <w:r>
          <w:rPr>
            <w:rStyle w:val="Hyperlink"/>
          </w:rPr>
          <w:t xml:space="preserve">Available online</w:t>
        </w:r>
      </w:hyperlink>
      <w:r>
        <w:t xml:space="preserve">.</w:t>
      </w:r>
    </w:p>
    <w:p>
      <w:pPr>
        <w:pStyle w:val="BodyText"/>
      </w:pPr>
      <w:r>
        <w:t xml:space="preserve">[8] L. Zheng, W.-L. Chiang, Y. Sheng, S. Zhuang, Z. Wu, Y. Zhuang, Z. Lin, Z. Li, D. Li, E. P. Xing, H. Zhang, J. E. Gonzalez, and I. Stoica, “Judging LLM-as-a-Judge with MT-Bench and Chatbot Arena,”</w:t>
      </w:r>
      <w:r>
        <w:t xml:space="preserve"> </w:t>
      </w:r>
      <w:r>
        <w:rPr>
          <w:i/>
          <w:iCs/>
        </w:rPr>
        <w:t xml:space="preserve">arXiv preprint arXiv:2306.05685</w:t>
      </w:r>
      <w:r>
        <w:t xml:space="preserve">, 2023.</w:t>
      </w:r>
      <w:r>
        <w:t xml:space="preserve"> </w:t>
      </w:r>
      <w:hyperlink r:id="rId76">
        <w:r>
          <w:rPr>
            <w:rStyle w:val="Hyperlink"/>
          </w:rPr>
          <w:t xml:space="preserve">Available online</w:t>
        </w:r>
      </w:hyperlink>
      <w:r>
        <w:t xml:space="preserve">.</w:t>
      </w:r>
    </w:p>
    <w:p>
      <w:pPr>
        <w:pStyle w:val="BodyText"/>
      </w:pPr>
      <w:r>
        <w:t xml:space="preserve">[9] G. V. Cormack, C. L. A. Clarke, and S. Büttcher, “Reciprocal Rank Fusion Outperforms Condorcet and Individual Rank Learning Methods,” in</w:t>
      </w:r>
      <w:r>
        <w:t xml:space="preserve"> </w:t>
      </w:r>
      <w:r>
        <w:rPr>
          <w:i/>
          <w:iCs/>
        </w:rPr>
        <w:t xml:space="preserve">Proceedings of the 32nd International ACM SIGIR Conference on Research and Development in Information Retrieval</w:t>
      </w:r>
      <w:r>
        <w:t xml:space="preserve">, pp. 758–759, 2009.</w:t>
      </w:r>
      <w:r>
        <w:t xml:space="preserve"> </w:t>
      </w:r>
      <w:hyperlink r:id="rId77">
        <w:r>
          <w:rPr>
            <w:rStyle w:val="Hyperlink"/>
          </w:rPr>
          <w:t xml:space="preserve">Available online</w:t>
        </w:r>
      </w:hyperlink>
      <w:r>
        <w:t xml:space="preserve">.</w:t>
      </w:r>
    </w:p>
    <w:bookmarkStart w:id="78" w:name="X5022a71253a2c30f299d7205aa6b292d8256ca4"/>
    <w:p>
      <w:pPr>
        <w:pStyle w:val="Heading3"/>
      </w:pPr>
      <w:r>
        <w:t xml:space="preserve">Project Repository and Supplementary Evidence</w:t>
      </w:r>
    </w:p>
    <w:p>
      <w:pPr>
        <w:pStyle w:val="FirstParagraph"/>
      </w:pPr>
      <w:r>
        <w:t xml:space="preserve">The complete source code, notebooks, tests, manifests, architecture decisions, frozen evaluation artifacts, reviewer walkthrough, and reproducibility guidance are available in the project repository:</w:t>
      </w:r>
    </w:p>
    <w:p>
      <w:pPr>
        <w:pStyle w:val="BodyText"/>
      </w:pPr>
      <w:hyperlink r:id="rId9">
        <w:r>
          <w:rPr>
            <w:rStyle w:val="Hyperlink"/>
          </w:rPr>
          <w:t xml:space="preserve">Device Protection Claims Triage — GitHub Repository</w:t>
        </w:r>
      </w:hyperlink>
    </w:p>
    <w:bookmarkEnd w:id="78"/>
    <w:bookmarkEnd w:id="79"/>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svg" /><Relationship Type="http://schemas.openxmlformats.org/officeDocument/2006/relationships/image" Id="rId23" Target="media/rId23.svg" /><Relationship Type="http://schemas.openxmlformats.org/officeDocument/2006/relationships/image" Id="rId30" Target="media/rId30.svg" /><Relationship Type="http://schemas.openxmlformats.org/officeDocument/2006/relationships/image" Id="rId35" Target="media/rId35.svg"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image" Id="rId33" Target="media/rId33.png" /><Relationship Type="http://schemas.openxmlformats.org/officeDocument/2006/relationships/image" Id="rId38" Target="media/rId38.png" /><Relationship Type="http://schemas.openxmlformats.org/officeDocument/2006/relationships/hyperlink" Id="rId75" Target="https://aclanthology.org/2024.eacl-demo.16/" TargetMode="External" /><Relationship Type="http://schemas.openxmlformats.org/officeDocument/2006/relationships/hyperlink" Id="rId71" Target="https://arxiv.org/abs/1702.08734" TargetMode="External" /><Relationship Type="http://schemas.openxmlformats.org/officeDocument/2006/relationships/hyperlink" Id="rId74" Target="https://arxiv.org/abs/1901.04085" TargetMode="External" /><Relationship Type="http://schemas.openxmlformats.org/officeDocument/2006/relationships/hyperlink" Id="rId76" Target="https://arxiv.org/abs/2306.05685" TargetMode="External" /><Relationship Type="http://schemas.openxmlformats.org/officeDocument/2006/relationships/hyperlink" Id="rId72" Target="https://developers.openai.com/api/docs/guides/embeddings" TargetMode="External" /><Relationship Type="http://schemas.openxmlformats.org/officeDocument/2006/relationships/hyperlink" Id="rId73" Target="https://docs.langchain.com/oss/python/langgraph/overview" TargetMode="External" /><Relationship Type="http://schemas.openxmlformats.org/officeDocument/2006/relationships/hyperlink" Id="rId9" Target="https://github.com/sadiqs3/DP_claims_triage" TargetMode="External" /><Relationship Type="http://schemas.openxmlformats.org/officeDocument/2006/relationships/hyperlink" Id="rId70" Target="https://proceedings.neurips.cc/paper/2020/hash/6b493230205f780e1bc26945df7481e5-Abstract.html" TargetMode="External" /><Relationship Type="http://schemas.openxmlformats.org/officeDocument/2006/relationships/hyperlink" Id="rId77" Target="https://research.google/pubs/reciprocal-rank-fusion-outperforms-condorcet-and-individual-rank-learning-methods/" TargetMode="External" /></Relationships>
</file>

<file path=word/_rels/footnotes.xml.rels><?xml version="1.0" encoding="UTF-8"?><Relationships xmlns="http://schemas.openxmlformats.org/package/2006/relationships"><Relationship Type="http://schemas.openxmlformats.org/officeDocument/2006/relationships/hyperlink" Id="rId75" Target="https://aclanthology.org/2024.eacl-demo.16/" TargetMode="External" /><Relationship Type="http://schemas.openxmlformats.org/officeDocument/2006/relationships/hyperlink" Id="rId71" Target="https://arxiv.org/abs/1702.08734" TargetMode="External" /><Relationship Type="http://schemas.openxmlformats.org/officeDocument/2006/relationships/hyperlink" Id="rId74" Target="https://arxiv.org/abs/1901.04085" TargetMode="External" /><Relationship Type="http://schemas.openxmlformats.org/officeDocument/2006/relationships/hyperlink" Id="rId76" Target="https://arxiv.org/abs/2306.05685" TargetMode="External" /><Relationship Type="http://schemas.openxmlformats.org/officeDocument/2006/relationships/hyperlink" Id="rId72" Target="https://developers.openai.com/api/docs/guides/embeddings" TargetMode="External" /><Relationship Type="http://schemas.openxmlformats.org/officeDocument/2006/relationships/hyperlink" Id="rId73" Target="https://docs.langchain.com/oss/python/langgraph/overview" TargetMode="External" /><Relationship Type="http://schemas.openxmlformats.org/officeDocument/2006/relationships/hyperlink" Id="rId9" Target="https://github.com/sadiqs3/DP_claims_triage" TargetMode="External" /><Relationship Type="http://schemas.openxmlformats.org/officeDocument/2006/relationships/hyperlink" Id="rId70" Target="https://proceedings.neurips.cc/paper/2020/hash/6b493230205f780e1bc26945df7481e5-Abstract.html" TargetMode="External" /><Relationship Type="http://schemas.openxmlformats.org/officeDocument/2006/relationships/hyperlink" Id="rId77" Target="https://research.google/pubs/reciprocal-rank-fusion-outperforms-condorcet-and-individual-rank-learning-metho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2026-07-16T10:06:31Z</dcterms:created>
  <dcterms:modified xsi:type="dcterms:W3CDTF">2026-07-16T10:06:31Z</dcterms:modified>
</cp:coreProperties>
</file>

<file path=docProps/custom.xml><?xml version="1.0" encoding="utf-8"?>
<Properties xmlns="http://schemas.openxmlformats.org/officeDocument/2006/custom-properties" xmlns:vt="http://schemas.openxmlformats.org/officeDocument/2006/docPropsVTypes"/>
</file>