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20"/>
        <w:jc w:val="center"/>
      </w:pPr>
      <w:r>
        <w:rPr>
          <w:rFonts w:ascii="Arial" w:cs="Arial" w:eastAsia="Arial" w:hAnsi="Arial"/>
          <w:b/>
          <w:bCs/>
          <w:color w:val="C0392B"/>
          <w:sz w:val="20"/>
          <w:szCs w:val="20"/>
        </w:rPr>
        <w:t xml:space="preserve">PROPRIETARY RESEARCH FRAMEWORK</w:t>
      </w:r>
    </w:p>
    <w:p>
      <w:pPr>
        <w:spacing w:before="0" w:after="80"/>
        <w:jc w:val="center"/>
      </w:pPr>
      <w:r>
        <w:rPr>
          <w:rFonts w:ascii="Arial" w:cs="Arial" w:eastAsia="Arial" w:hAnsi="Arial"/>
          <w:i/>
          <w:iCs/>
          <w:color w:val="888888"/>
          <w:sz w:val="18"/>
          <w:szCs w:val="18"/>
        </w:rPr>
        <w:t xml:space="preserve">Confidential — All Rights Reserved</w:t>
      </w:r>
    </w:p>
    <w:p>
      <w:pPr>
        <w:pBdr>
          <w:bottom w:val="single" w:color="1F3A6E" w:sz="12"/>
        </w:pBdr>
        <w:spacing w:before="200" w:after="200"/>
      </w:pPr>
    </w:p>
    <w:p>
      <w:pPr>
        <w:spacing w:before="400" w:after="200"/>
        <w:jc w:val="center"/>
      </w:pPr>
      <w:r>
        <w:rPr>
          <w:rFonts w:ascii="Arial" w:cs="Arial" w:eastAsia="Arial" w:hAnsi="Arial"/>
          <w:b/>
          <w:bCs/>
          <w:color w:val="1F3A6E"/>
          <w:sz w:val="52"/>
          <w:szCs w:val="52"/>
        </w:rPr>
        <w:t xml:space="preserve">THE ANATOMICAL MARKET FRAMEWORK</w:t>
      </w:r>
    </w:p>
    <w:p>
      <w:pPr>
        <w:spacing w:before="0" w:after="400"/>
        <w:jc w:val="center"/>
      </w:pPr>
      <w:r>
        <w:rPr>
          <w:rFonts w:ascii="Arial" w:cs="Arial" w:eastAsia="Arial" w:hAnsi="Arial"/>
          <w:i/>
          <w:iCs/>
          <w:color w:val="444444"/>
          <w:sz w:val="30"/>
          <w:szCs w:val="30"/>
        </w:rPr>
        <w:t xml:space="preserve">A Unified Multiscale Theory of Global Financial Systems</w:t>
      </w:r>
    </w:p>
    <w:p>
      <w:pPr>
        <w:pBdr>
          <w:bottom w:val="single" w:color="C0392B" w:sz="6"/>
        </w:pBdr>
        <w:spacing w:before="200" w:after="200"/>
      </w:pPr>
    </w:p>
    <w:p>
      <w:pPr>
        <w:spacing w:before="300" w:after="120"/>
        <w:jc w:val="center"/>
      </w:pPr>
      <w:r>
        <w:rPr>
          <w:rFonts w:ascii="Arial" w:cs="Arial" w:eastAsia="Arial" w:hAnsi="Arial"/>
          <w:b/>
          <w:bCs/>
          <w:color w:val="1F3A6E"/>
          <w:sz w:val="24"/>
          <w:szCs w:val="24"/>
        </w:rPr>
        <w:t xml:space="preserve">Author: Sadisha</w:t>
      </w:r>
    </w:p>
    <w:p>
      <w:pPr>
        <w:spacing w:before="60" w:after="60"/>
        <w:jc w:val="center"/>
      </w:pPr>
      <w:r>
        <w:rPr>
          <w:rFonts w:ascii="Arial" w:cs="Arial" w:eastAsia="Arial" w:hAnsi="Arial"/>
          <w:i/>
          <w:iCs/>
          <w:color w:val="555555"/>
          <w:sz w:val="22"/>
          <w:szCs w:val="22"/>
        </w:rPr>
        <w:t xml:space="preserve">MD | Deep Tech Analyst | Investor-Writer</w:t>
      </w:r>
    </w:p>
    <w:p>
      <w:pPr>
        <w:spacing w:before="60" w:after="60"/>
        <w:jc w:val="center"/>
      </w:pPr>
      <w:r>
        <w:rPr>
          <w:rFonts w:ascii="Arial" w:cs="Arial" w:eastAsia="Arial" w:hAnsi="Arial"/>
          <w:color w:val="555555"/>
          <w:sz w:val="22"/>
          <w:szCs w:val="22"/>
        </w:rPr>
        <w:t xml:space="preserve">Colombo, Sri Lanka</w:t>
      </w:r>
    </w:p>
    <w:p>
      <w:pPr>
        <w:spacing w:before="120" w:after="60"/>
        <w:jc w:val="center"/>
      </w:pPr>
      <w:r>
        <w:rPr>
          <w:rFonts w:ascii="Arial" w:cs="Arial" w:eastAsia="Arial" w:hAnsi="Arial"/>
          <w:b/>
          <w:bCs/>
          <w:color w:val="C0392B"/>
          <w:sz w:val="22"/>
          <w:szCs w:val="22"/>
        </w:rPr>
        <w:t xml:space="preserve">Date of Creation: March 17, 2026</w:t>
      </w:r>
    </w:p>
    <w:p>
      <w:pPr>
        <w:spacing w:before="60" w:after="60"/>
        <w:jc w:val="center"/>
      </w:pPr>
      <w:r>
        <w:rPr>
          <w:rFonts w:ascii="Arial" w:cs="Arial" w:eastAsia="Arial" w:hAnsi="Arial"/>
          <w:i/>
          <w:iCs/>
          <w:color w:val="888888"/>
          <w:sz w:val="20"/>
          <w:szCs w:val="20"/>
        </w:rPr>
        <w:t xml:space="preserve">Version: 1.0 — Initial Framework Document</w:t>
      </w:r>
    </w:p>
    <w:p>
      <w:pPr>
        <w:pageBreakBefore/>
        <w:spacing w:before="600"/>
      </w:pPr>
    </w:p>
    <w:p>
      <w:pPr>
        <w:pStyle w:val="Heading1"/>
        <w:spacing w:before="360" w:after="200"/>
      </w:pPr>
      <w:r>
        <w:rPr>
          <w:rFonts w:ascii="Arial" w:cs="Arial" w:eastAsia="Arial" w:hAnsi="Arial"/>
          <w:b/>
          <w:bCs/>
          <w:color w:val="1F3A6E"/>
          <w:sz w:val="36"/>
          <w:szCs w:val="36"/>
        </w:rPr>
        <w:t xml:space="preserve">1. Framework Origin and Authorship Statement</w:t>
      </w:r>
    </w:p>
    <w:p>
      <w:pPr>
        <w:pBdr>
          <w:bottom w:val="single" w:color="1F3A6E" w:sz="6" w:space="1"/>
        </w:pBdr>
        <w:spacing w:before="200" w:after="200"/>
      </w:pPr>
    </w:p>
    <w:p>
      <w:pPr>
        <w:spacing w:before="80" w:after="120"/>
      </w:pPr>
      <w:r>
        <w:rPr>
          <w:rFonts w:ascii="Arial" w:cs="Arial" w:eastAsia="Arial" w:hAnsi="Arial"/>
          <w:sz w:val="22"/>
          <w:szCs w:val="22"/>
        </w:rPr>
        <w:t xml:space="preserve">This document constitutes the original creation record of the Anatomical Market Framework (AMF), conceived and developed by Sadisha, MD, in Colombo, Sri Lanka. The framework was developed through a structured intellectual process involving cross-domain synthesis across human anatomy, complexity theory, quantum probability formalism, and global financial systems theory.</w:t>
      </w:r>
    </w:p>
    <w:p>
      <w:pPr>
        <w:spacing w:before="80" w:after="120"/>
      </w:pPr>
      <w:r>
        <w:rPr>
          <w:rFonts w:ascii="Arial" w:cs="Arial" w:eastAsia="Arial" w:hAnsi="Arial"/>
          <w:sz w:val="22"/>
          <w:szCs w:val="22"/>
        </w:rPr>
        <w:t xml:space="preserve"/>
      </w:r>
    </w:p>
    <w:p>
      <w:pPr>
        <w:spacing w:before="80" w:after="120"/>
      </w:pPr>
      <w:r>
        <w:rPr>
          <w:rFonts w:ascii="Arial" w:cs="Arial" w:eastAsia="Arial" w:hAnsi="Arial"/>
          <w:b/>
          <w:bCs/>
          <w:sz w:val="22"/>
          <w:szCs w:val="22"/>
        </w:rPr>
        <w:t xml:space="preserve">The core intellectual contributions protected by this document include:</w:t>
      </w:r>
    </w:p>
    <w:p>
      <w:pPr>
        <w:pStyle w:val="ListParagraph"/>
        <w:numPr>
          <w:ilvl w:val="0"/>
          <w:numId w:val="2"/>
        </w:numPr>
        <w:spacing w:before="60" w:after="60"/>
      </w:pPr>
      <w:r>
        <w:rPr>
          <w:rFonts w:ascii="Arial" w:cs="Arial" w:eastAsia="Arial" w:hAnsi="Arial"/>
          <w:sz w:val="22"/>
          <w:szCs w:val="22"/>
        </w:rPr>
        <w:t xml:space="preserve">The systematic one-to-one isomorphic mapping between anatomical layers and global market infrastructure layers</w:t>
      </w:r>
    </w:p>
    <w:p>
      <w:pPr>
        <w:pStyle w:val="ListParagraph"/>
        <w:numPr>
          <w:ilvl w:val="0"/>
          <w:numId w:val="2"/>
        </w:numPr>
        <w:spacing w:before="60" w:after="60"/>
      </w:pPr>
      <w:r>
        <w:rPr>
          <w:rFonts w:ascii="Arial" w:cs="Arial" w:eastAsia="Arial" w:hAnsi="Arial"/>
          <w:sz w:val="22"/>
          <w:szCs w:val="22"/>
        </w:rPr>
        <w:t xml:space="preserve">The layered mathematical architecture corresponding to each anatomical system</w:t>
      </w:r>
    </w:p>
    <w:p>
      <w:pPr>
        <w:pStyle w:val="ListParagraph"/>
        <w:numPr>
          <w:ilvl w:val="0"/>
          <w:numId w:val="2"/>
        </w:numPr>
        <w:spacing w:before="60" w:after="60"/>
      </w:pPr>
      <w:r>
        <w:rPr>
          <w:rFonts w:ascii="Arial" w:cs="Arial" w:eastAsia="Arial" w:hAnsi="Arial"/>
          <w:sz w:val="22"/>
          <w:szCs w:val="22"/>
        </w:rPr>
        <w:t xml:space="preserve">The identification of inter-layer propagation failure as the primary unsolved problem in global systemic risk modeling</w:t>
      </w:r>
    </w:p>
    <w:p>
      <w:pPr>
        <w:pStyle w:val="ListParagraph"/>
        <w:numPr>
          <w:ilvl w:val="0"/>
          <w:numId w:val="2"/>
        </w:numPr>
        <w:spacing w:before="60" w:after="60"/>
      </w:pPr>
      <w:r>
        <w:rPr>
          <w:rFonts w:ascii="Arial" w:cs="Arial" w:eastAsia="Arial" w:hAnsi="Arial"/>
          <w:sz w:val="22"/>
          <w:szCs w:val="22"/>
        </w:rPr>
        <w:t xml:space="preserve">The formal connection between Soros reflexivity, complexity theory, and quantum measurement as a unified theoretical direction</w:t>
      </w:r>
    </w:p>
    <w:p>
      <w:pPr>
        <w:pStyle w:val="ListParagraph"/>
        <w:numPr>
          <w:ilvl w:val="0"/>
          <w:numId w:val="2"/>
        </w:numPr>
        <w:spacing w:before="60" w:after="60"/>
      </w:pPr>
      <w:r>
        <w:rPr>
          <w:rFonts w:ascii="Arial" w:cs="Arial" w:eastAsia="Arial" w:hAnsi="Arial"/>
          <w:sz w:val="22"/>
          <w:szCs w:val="22"/>
        </w:rPr>
        <w:t xml:space="preserve">The diagnostic vocabulary translating biological pathology states to market pathology states</w:t>
      </w:r>
    </w:p>
    <w:p>
      <w:pPr>
        <w:spacing w:before="80" w:after="120"/>
      </w:pPr>
      <w:r>
        <w:rPr>
          <w:rFonts w:ascii="Arial" w:cs="Arial" w:eastAsia="Arial" w:hAnsi="Arial"/>
          <w:sz w:val="22"/>
          <w:szCs w:val="22"/>
        </w:rPr>
        <w:t xml:space="preserve"/>
      </w:r>
    </w:p>
    <w:p>
      <w:pPr>
        <w:spacing w:before="80" w:after="120"/>
      </w:pPr>
      <w:r>
        <w:rPr>
          <w:rFonts w:ascii="Arial" w:cs="Arial" w:eastAsia="Arial" w:hAnsi="Arial"/>
          <w:i/>
          <w:iCs/>
          <w:color w:val="555555"/>
          <w:sz w:val="22"/>
          <w:szCs w:val="22"/>
        </w:rPr>
        <w:t xml:space="preserve">This document was created on March 17, 2026. The author asserts original authorship of all analytical frameworks, conceptual mappings, and theoretical syntheses contained herein.</w:t>
      </w:r>
    </w:p>
    <w:p>
      <w:pPr>
        <w:spacing w:before="400"/>
      </w:pPr>
    </w:p>
    <w:p>
      <w:pPr>
        <w:pStyle w:val="Heading1"/>
        <w:spacing w:before="360" w:after="200"/>
      </w:pPr>
      <w:r>
        <w:rPr>
          <w:rFonts w:ascii="Arial" w:cs="Arial" w:eastAsia="Arial" w:hAnsi="Arial"/>
          <w:b/>
          <w:bCs/>
          <w:color w:val="1F3A6E"/>
          <w:sz w:val="36"/>
          <w:szCs w:val="36"/>
        </w:rPr>
        <w:t xml:space="preserve">2. The Anatomical Market Framework — Core Architecture</w:t>
      </w:r>
    </w:p>
    <w:p>
      <w:pPr>
        <w:pBdr>
          <w:bottom w:val="single" w:color="1F3A6E" w:sz="6" w:space="1"/>
        </w:pBdr>
        <w:spacing w:before="200" w:after="200"/>
      </w:pPr>
    </w:p>
    <w:p>
      <w:pPr>
        <w:spacing w:before="80" w:after="120"/>
      </w:pPr>
      <w:r>
        <w:rPr>
          <w:rFonts w:ascii="Arial" w:cs="Arial" w:eastAsia="Arial" w:hAnsi="Arial"/>
          <w:sz w:val="22"/>
          <w:szCs w:val="22"/>
        </w:rPr>
        <w:t xml:space="preserve">The Anatomical Market Framework (AMF) proposes that global financial systems, infrastructure, and economic behavior are structurally isomorphic to human anatomy across every hierarchical layer — from the subcellular to the organism level — and that this isomorphism is not merely metaphorical but mathematically substantive, with the same governing equations appearing in both biological and economic domains.</w:t>
      </w:r>
    </w:p>
    <w:p>
      <w:pPr>
        <w:spacing w:before="80" w:after="120"/>
      </w:pPr>
      <w:r>
        <w:rPr>
          <w:rFonts w:ascii="Arial" w:cs="Arial" w:eastAsia="Arial" w:hAnsi="Arial"/>
          <w:sz w:val="22"/>
          <w:szCs w:val="22"/>
        </w:rPr>
        <w:t xml:space="preserve"/>
      </w:r>
    </w:p>
    <w:p>
      <w:pPr>
        <w:pStyle w:val="Heading2"/>
        <w:spacing w:before="280" w:after="160"/>
      </w:pPr>
      <w:r>
        <w:rPr>
          <w:rFonts w:ascii="Arial" w:cs="Arial" w:eastAsia="Arial" w:hAnsi="Arial"/>
          <w:b/>
          <w:bCs/>
          <w:color w:val="1F3A6E"/>
          <w:sz w:val="28"/>
          <w:szCs w:val="28"/>
        </w:rPr>
        <w:t xml:space="preserve">2.1 Foundational Thesis</w:t>
      </w:r>
    </w:p>
    <w:p>
      <w:pPr>
        <w:spacing w:before="80" w:after="120"/>
      </w:pPr>
      <w:r>
        <w:rPr>
          <w:rFonts w:ascii="Arial" w:cs="Arial" w:eastAsia="Arial" w:hAnsi="Arial"/>
          <w:sz w:val="22"/>
          <w:szCs w:val="22"/>
        </w:rPr>
        <w:t xml:space="preserve">Current financial models operate in disciplinary silos: microeconomics does not connect to macroeconomics; network models do not connect to stochastic models; regulatory models do not connect to trading models. The AMF argues that this siloing mirrors the pre-systems-biology era of medicine, when organs were studied in isolation. The breakthrough of systems biology — mapping how genetic mutations propagate through protein expression to cellular behavior to organ pathology — provides the template for a unified multiscale economic model.</w:t>
      </w:r>
    </w:p>
    <w:p>
      <w:pPr>
        <w:spacing w:before="80" w:after="120"/>
      </w:pPr>
      <w:r>
        <w:rPr>
          <w:rFonts w:ascii="Arial" w:cs="Arial" w:eastAsia="Arial" w:hAnsi="Arial"/>
          <w:sz w:val="22"/>
          <w:szCs w:val="22"/>
        </w:rPr>
        <w:t xml:space="preserve"/>
      </w:r>
    </w:p>
    <w:p>
      <w:pPr>
        <w:spacing w:before="80" w:after="120"/>
      </w:pPr>
      <w:r>
        <w:rPr>
          <w:rFonts w:ascii="Arial" w:cs="Arial" w:eastAsia="Arial" w:hAnsi="Arial"/>
          <w:sz w:val="22"/>
          <w:szCs w:val="22"/>
        </w:rPr>
        <w:t xml:space="preserve">The critical insight: the 2008 financial crisis was a cross-layer cascade. Instrument failure propagated to firm failure, to sector failure, to systemic failure, to sovereign contagion. No deployed model tracked this cascade in real time because each layer was modeled in isolation. The AMF provides the architectural framework to connect these layers.</w:t>
      </w:r>
    </w:p>
    <w:p>
      <w:pPr>
        <w:spacing w:before="80" w:after="120"/>
      </w:pPr>
      <w:r>
        <w:rPr>
          <w:rFonts w:ascii="Arial" w:cs="Arial" w:eastAsia="Arial" w:hAnsi="Arial"/>
          <w:sz w:val="22"/>
          <w:szCs w:val="22"/>
        </w:rPr>
        <w:t xml:space="preserve"/>
      </w:r>
    </w:p>
    <w:p>
      <w:pPr>
        <w:pStyle w:val="Heading2"/>
        <w:spacing w:before="280" w:after="160"/>
      </w:pPr>
      <w:r>
        <w:rPr>
          <w:rFonts w:ascii="Arial" w:cs="Arial" w:eastAsia="Arial" w:hAnsi="Arial"/>
          <w:b/>
          <w:bCs/>
          <w:color w:val="1F3A6E"/>
          <w:sz w:val="28"/>
          <w:szCs w:val="28"/>
        </w:rPr>
        <w:t xml:space="preserve">2.2 Complete Layer Mapping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W w:type="dxa" w:w="2200"/>
            <w:tcBorders>
              <w:top w:val="single" w:color="BBBBBB" w:sz="1"/>
              <w:left w:val="single" w:color="BBBBBB" w:sz="1"/>
              <w:bottom w:val="single" w:color="BBBBBB" w:sz="1"/>
              <w:right w:val="single" w:color="BBBBBB" w:sz="1"/>
            </w:tcBorders>
            <w:shd w:fill="1F3A6E" w:val="clear"/>
            <w:tcMar>
              <w:top w:type="dxa" w:w="100"/>
              <w:left w:type="dxa" w:w="140"/>
              <w:bottom w:type="dxa" w:w="100"/>
              <w:right w:type="dxa" w:w="140"/>
            </w:tcMar>
          </w:tcPr>
          <w:p>
            <w:r>
              <w:rPr>
                <w:rFonts w:ascii="Arial" w:cs="Arial" w:eastAsia="Arial" w:hAnsi="Arial"/>
                <w:b/>
                <w:bCs/>
                <w:color w:val="FFFFFF"/>
                <w:sz w:val="20"/>
                <w:szCs w:val="20"/>
              </w:rPr>
              <w:t xml:space="preserve">Anatomical Layer</w:t>
            </w:r>
          </w:p>
        </w:tc>
        <w:tc>
          <w:tcPr>
            <w:tcW w:type="dxa" w:w="2000"/>
            <w:tcBorders>
              <w:top w:val="single" w:color="BBBBBB" w:sz="1"/>
              <w:left w:val="single" w:color="BBBBBB" w:sz="1"/>
              <w:bottom w:val="single" w:color="BBBBBB" w:sz="1"/>
              <w:right w:val="single" w:color="BBBBBB" w:sz="1"/>
            </w:tcBorders>
            <w:shd w:fill="1F3A6E" w:val="clear"/>
            <w:tcMar>
              <w:top w:type="dxa" w:w="100"/>
              <w:left w:type="dxa" w:w="140"/>
              <w:bottom w:type="dxa" w:w="100"/>
              <w:right w:type="dxa" w:w="140"/>
            </w:tcMar>
          </w:tcPr>
          <w:p>
            <w:r>
              <w:rPr>
                <w:rFonts w:ascii="Arial" w:cs="Arial" w:eastAsia="Arial" w:hAnsi="Arial"/>
                <w:b/>
                <w:bCs/>
                <w:color w:val="FFFFFF"/>
                <w:sz w:val="20"/>
                <w:szCs w:val="20"/>
              </w:rPr>
              <w:t xml:space="preserve">Biological Function</w:t>
            </w:r>
          </w:p>
        </w:tc>
        <w:tc>
          <w:tcPr>
            <w:tcW w:type="dxa" w:w="2560"/>
            <w:tcBorders>
              <w:top w:val="single" w:color="BBBBBB" w:sz="1"/>
              <w:left w:val="single" w:color="BBBBBB" w:sz="1"/>
              <w:bottom w:val="single" w:color="BBBBBB" w:sz="1"/>
              <w:right w:val="single" w:color="BBBBBB" w:sz="1"/>
            </w:tcBorders>
            <w:shd w:fill="1F3A6E" w:val="clear"/>
            <w:tcMar>
              <w:top w:type="dxa" w:w="100"/>
              <w:left w:type="dxa" w:w="140"/>
              <w:bottom w:type="dxa" w:w="100"/>
              <w:right w:type="dxa" w:w="140"/>
            </w:tcMar>
          </w:tcPr>
          <w:p>
            <w:r>
              <w:rPr>
                <w:rFonts w:ascii="Arial" w:cs="Arial" w:eastAsia="Arial" w:hAnsi="Arial"/>
                <w:b/>
                <w:bCs/>
                <w:color w:val="FFFFFF"/>
                <w:sz w:val="20"/>
                <w:szCs w:val="20"/>
              </w:rPr>
              <w:t xml:space="preserve">Market Equivalent</w:t>
            </w:r>
          </w:p>
        </w:tc>
        <w:tc>
          <w:tcPr>
            <w:tcW w:type="dxa" w:w="2600"/>
            <w:tcBorders>
              <w:top w:val="single" w:color="BBBBBB" w:sz="1"/>
              <w:left w:val="single" w:color="BBBBBB" w:sz="1"/>
              <w:bottom w:val="single" w:color="BBBBBB" w:sz="1"/>
              <w:right w:val="single" w:color="BBBBBB" w:sz="1"/>
            </w:tcBorders>
            <w:shd w:fill="1F3A6E" w:val="clear"/>
            <w:tcMar>
              <w:top w:type="dxa" w:w="100"/>
              <w:left w:type="dxa" w:w="140"/>
              <w:bottom w:type="dxa" w:w="100"/>
              <w:right w:type="dxa" w:w="140"/>
            </w:tcMar>
          </w:tcPr>
          <w:p>
            <w:r>
              <w:rPr>
                <w:rFonts w:ascii="Arial" w:cs="Arial" w:eastAsia="Arial" w:hAnsi="Arial"/>
                <w:b/>
                <w:bCs/>
                <w:color w:val="FFFFFF"/>
                <w:sz w:val="20"/>
                <w:szCs w:val="20"/>
              </w:rPr>
              <w:t xml:space="preserve">Mathematical Framework</w:t>
            </w:r>
          </w:p>
        </w:tc>
      </w:tr>
      <w:tr>
        <w:tc>
          <w:tcPr>
            <w:tcW w:type="dxa" w:w="22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DNA / Genome</w:t>
            </w:r>
          </w:p>
        </w:tc>
        <w:tc>
          <w:tcPr>
            <w:tcW w:type="dxa" w:w="20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Encodes structural rules and constraints</w:t>
            </w:r>
          </w:p>
        </w:tc>
        <w:tc>
          <w:tcPr>
            <w:tcW w:type="dxa" w:w="256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Constitutional law, property rights, contract law</w:t>
            </w:r>
          </w:p>
        </w:tc>
        <w:tc>
          <w:tcPr>
            <w:tcW w:type="dxa" w:w="26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Formal language theory, axiomatic systems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Epigenetics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Environmental modulation of gene expression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Regulatory interpretation, soft law, central bank guidance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Dynamical systems with environmental parameters</w:t>
            </w:r>
          </w:p>
        </w:tc>
      </w:tr>
      <w:tr>
        <w:tc>
          <w:tcPr>
            <w:tcW w:type="dxa" w:w="22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Cell</w:t>
            </w:r>
          </w:p>
        </w:tc>
        <w:tc>
          <w:tcPr>
            <w:tcW w:type="dxa" w:w="20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Basic unit of function</w:t>
            </w:r>
          </w:p>
        </w:tc>
        <w:tc>
          <w:tcPr>
            <w:tcW w:type="dxa" w:w="256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Individual economic agent (firm or person)</w:t>
            </w:r>
          </w:p>
        </w:tc>
        <w:tc>
          <w:tcPr>
            <w:tcW w:type="dxa" w:w="26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Agent-based modeling, utility functions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Cell Membrane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Selective permeability, signal reception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Firm boundaries, information asymmetry, barriers to entry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Semipermeable membrane equations, information theory</w:t>
            </w:r>
          </w:p>
        </w:tc>
      </w:tr>
      <w:tr>
        <w:tc>
          <w:tcPr>
            <w:tcW w:type="dxa" w:w="22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Mitochondria</w:t>
            </w:r>
          </w:p>
        </w:tc>
        <w:tc>
          <w:tcPr>
            <w:tcW w:type="dxa" w:w="20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Energy production from inputs</w:t>
            </w:r>
          </w:p>
        </w:tc>
        <w:tc>
          <w:tcPr>
            <w:tcW w:type="dxa" w:w="256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Capital — converts inputs to productive output</w:t>
            </w:r>
          </w:p>
        </w:tc>
        <w:tc>
          <w:tcPr>
            <w:tcW w:type="dxa" w:w="26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Thermodynamic efficiency models, Solow residual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Nucleus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Central control, information storage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Board and governance, institutional memory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Principal-agent theory, information hierarchy</w:t>
            </w:r>
          </w:p>
        </w:tc>
      </w:tr>
      <w:tr>
        <w:tc>
          <w:tcPr>
            <w:tcW w:type="dxa" w:w="22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Proteins / Enzymes</w:t>
            </w:r>
          </w:p>
        </w:tc>
        <w:tc>
          <w:tcPr>
            <w:tcW w:type="dxa" w:w="20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Catalyze specific reactions</w:t>
            </w:r>
          </w:p>
        </w:tc>
        <w:tc>
          <w:tcPr>
            <w:tcW w:type="dxa" w:w="256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Financial instruments — enable specific transactions</w:t>
            </w:r>
          </w:p>
        </w:tc>
        <w:tc>
          <w:tcPr>
            <w:tcW w:type="dxa" w:w="26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Reaction-diffusion equations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Tissue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Specialized cell clusters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Industry sectors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Cluster theory, sectoral input-output matrices</w:t>
            </w:r>
          </w:p>
        </w:tc>
      </w:tr>
      <w:tr>
        <w:tc>
          <w:tcPr>
            <w:tcW w:type="dxa" w:w="22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Organ</w:t>
            </w:r>
          </w:p>
        </w:tc>
        <w:tc>
          <w:tcPr>
            <w:tcW w:type="dxa" w:w="20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Integrated functional unit</w:t>
            </w:r>
          </w:p>
        </w:tc>
        <w:tc>
          <w:tcPr>
            <w:tcW w:type="dxa" w:w="256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National economy or major market</w:t>
            </w:r>
          </w:p>
        </w:tc>
        <w:tc>
          <w:tcPr>
            <w:tcW w:type="dxa" w:w="26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Macro DSGE models, national accounts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Organ System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Coordinated multi-organ function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Regional blocs (EU, ASEAN, GCC)</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Systems dynamics, network coupling equations</w:t>
            </w:r>
          </w:p>
        </w:tc>
      </w:tr>
      <w:tr>
        <w:tc>
          <w:tcPr>
            <w:tcW w:type="dxa" w:w="22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Cardiovascular System</w:t>
            </w:r>
          </w:p>
        </w:tc>
        <w:tc>
          <w:tcPr>
            <w:tcW w:type="dxa" w:w="20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Circulation of nutrients and oxygen</w:t>
            </w:r>
          </w:p>
        </w:tc>
        <w:tc>
          <w:tcPr>
            <w:tcW w:type="dxa" w:w="256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Capital and liquidity flows</w:t>
            </w:r>
          </w:p>
        </w:tc>
        <w:tc>
          <w:tcPr>
            <w:tcW w:type="dxa" w:w="26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Network flow theory, adapted Navier-Stokes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Nervous System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Signal transmission, cognition, reflexes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Information infrastructure, price discovery, media</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Information theory, signal propagation models</w:t>
            </w:r>
          </w:p>
        </w:tc>
      </w:tr>
      <w:tr>
        <w:tc>
          <w:tcPr>
            <w:tcW w:type="dxa" w:w="22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Immune System</w:t>
            </w:r>
          </w:p>
        </w:tc>
        <w:tc>
          <w:tcPr>
            <w:tcW w:type="dxa" w:w="20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Threat detection, memory, adaptive response</w:t>
            </w:r>
          </w:p>
        </w:tc>
        <w:tc>
          <w:tcPr>
            <w:tcW w:type="dxa" w:w="256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Regulation, compliance, central bank intervention</w:t>
            </w:r>
          </w:p>
        </w:tc>
        <w:tc>
          <w:tcPr>
            <w:tcW w:type="dxa" w:w="26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Adaptive response equations, control theory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Endocrine System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Slow chemical signaling, homeostasis maintenance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Monetary policy, fiscal policy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Delayed differential equations, feedback control</w:t>
            </w:r>
          </w:p>
        </w:tc>
      </w:tr>
      <w:tr>
        <w:tc>
          <w:tcPr>
            <w:tcW w:type="dxa" w:w="22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Lymphatic System</w:t>
            </w:r>
          </w:p>
        </w:tc>
        <w:tc>
          <w:tcPr>
            <w:tcW w:type="dxa" w:w="20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Waste clearance, fluid balance</w:t>
            </w:r>
          </w:p>
        </w:tc>
        <w:tc>
          <w:tcPr>
            <w:tcW w:type="dxa" w:w="256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Bankruptcy mechanisms, shadow banking, debt restructuring</w:t>
            </w:r>
          </w:p>
        </w:tc>
        <w:tc>
          <w:tcPr>
            <w:tcW w:type="dxa" w:w="26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Drainage network topology, clearing house math</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Musculoskeletal System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Structure and movement execution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Physical infrastructure — ports, grids, logistics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Structural mechanics, graph theory</w:t>
            </w:r>
          </w:p>
        </w:tc>
      </w:tr>
      <w:tr>
        <w:tc>
          <w:tcPr>
            <w:tcW w:type="dxa" w:w="22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Respiratory System</w:t>
            </w:r>
          </w:p>
        </w:tc>
        <w:tc>
          <w:tcPr>
            <w:tcW w:type="dxa" w:w="20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Gas exchange, energy metabolism rhythm</w:t>
            </w:r>
          </w:p>
        </w:tc>
        <w:tc>
          <w:tcPr>
            <w:tcW w:type="dxa" w:w="256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Trade — exchange of value across membranes</w:t>
            </w:r>
          </w:p>
        </w:tc>
        <w:tc>
          <w:tcPr>
            <w:tcW w:type="dxa" w:w="26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Exchange equilibrium models, diffusion gradients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Gut Microbiome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Non-self organisms affecting host function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Informal economy, grey markets, cultural norms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Ecological competition models, Lotka-Volterra</w:t>
            </w:r>
          </w:p>
        </w:tc>
      </w:tr>
      <w:tr>
        <w:tc>
          <w:tcPr>
            <w:tcW w:type="dxa" w:w="22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Brain</w:t>
            </w:r>
          </w:p>
        </w:tc>
        <w:tc>
          <w:tcPr>
            <w:tcW w:type="dxa" w:w="20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Integration, prediction, consciousness</w:t>
            </w:r>
          </w:p>
        </w:tc>
        <w:tc>
          <w:tcPr>
            <w:tcW w:type="dxa" w:w="256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Collective market intelligence, narrative, sentiment</w:t>
            </w:r>
          </w:p>
        </w:tc>
        <w:tc>
          <w:tcPr>
            <w:tcW w:type="dxa" w:w="26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Predictive coding, Bayesian brain hypothesis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Autonomic Nervous System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Unconscious regulation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Algorithmic trading, automated stabilizers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Control theory, PID controllers</w:t>
            </w:r>
          </w:p>
        </w:tc>
      </w:tr>
      <w:tr>
        <w:tc>
          <w:tcPr>
            <w:tcW w:type="dxa" w:w="22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Homeostasis</w:t>
            </w:r>
          </w:p>
        </w:tc>
        <w:tc>
          <w:tcPr>
            <w:tcW w:type="dxa" w:w="20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Dynamic equilibrium maintenance</w:t>
            </w:r>
          </w:p>
        </w:tc>
        <w:tc>
          <w:tcPr>
            <w:tcW w:type="dxa" w:w="256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Market mean reversion, central bank targeting</w:t>
            </w:r>
          </w:p>
        </w:tc>
        <w:tc>
          <w:tcPr>
            <w:tcW w:type="dxa" w:w="26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Setpoint regulation, Lyapunov stability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Inflammation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Acute protective response; destructive if chronic</w:t>
            </w:r>
          </w:p>
        </w:tc>
        <w:tc>
          <w:tcPr>
            <w:tcW w:type="dxa" w:w="2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Financial crisis — protective deleveraging becoming systemic</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Phase transition mathematics, percolation theory</w:t>
            </w:r>
          </w:p>
        </w:tc>
      </w:tr>
      <w:tr>
        <w:tc>
          <w:tcPr>
            <w:tcW w:type="dxa" w:w="22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Cancer</w:t>
            </w:r>
          </w:p>
        </w:tc>
        <w:tc>
          <w:tcPr>
            <w:tcW w:type="dxa" w:w="20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Unchecked cellular replication breaking system rules</w:t>
            </w:r>
          </w:p>
        </w:tc>
        <w:tc>
          <w:tcPr>
            <w:tcW w:type="dxa" w:w="256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Monopoly formation, systemic leverage, regulatory capture</w:t>
            </w:r>
          </w:p>
        </w:tc>
        <w:tc>
          <w:tcPr>
            <w:tcW w:type="dxa" w:w="26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Evolutionary game theory, replicator dynamics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Apoptosis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Programmed cell death for system health</w:t>
            </w:r>
          </w:p>
        </w:tc>
        <w:tc>
          <w:tcPr>
            <w:tcW w:type="dxa" w:w="2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Creative destruction, firm bankruptcy, Schumpeterian dynamics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Renewal theory, hazard rate models</w:t>
            </w:r>
          </w:p>
        </w:tc>
      </w:tr>
    </w:tbl>
    <w:p>
      <w:pPr>
        <w:spacing w:before="400"/>
      </w:pPr>
    </w:p>
    <w:p>
      <w:pPr>
        <w:pStyle w:val="Heading1"/>
        <w:spacing w:before="360" w:after="200"/>
      </w:pPr>
      <w:r>
        <w:rPr>
          <w:rFonts w:ascii="Arial" w:cs="Arial" w:eastAsia="Arial" w:hAnsi="Arial"/>
          <w:b/>
          <w:bCs/>
          <w:color w:val="1F3A6E"/>
          <w:sz w:val="36"/>
          <w:szCs w:val="36"/>
        </w:rPr>
        <w:t xml:space="preserve">3. The Layered Mathematical Architecture</w:t>
      </w:r>
    </w:p>
    <w:p>
      <w:pPr>
        <w:pBdr>
          <w:bottom w:val="single" w:color="1F3A6E" w:sz="6" w:space="1"/>
        </w:pBdr>
        <w:spacing w:before="200" w:after="200"/>
      </w:pPr>
    </w:p>
    <w:p>
      <w:pPr>
        <w:spacing w:before="80" w:after="120"/>
      </w:pPr>
      <w:r>
        <w:rPr>
          <w:rFonts w:ascii="Arial" w:cs="Arial" w:eastAsia="Arial" w:hAnsi="Arial"/>
          <w:sz w:val="22"/>
          <w:szCs w:val="22"/>
        </w:rPr>
        <w:t xml:space="preserve">The AMF proposes a seven-layer mathematical architecture, where each layer corresponds to a biological organizational level and employs the appropriate governing mathematics:</w:t>
      </w:r>
    </w:p>
    <w:p>
      <w:pPr>
        <w:spacing w:before="80" w:after="120"/>
      </w:pPr>
      <w:r>
        <w:rPr>
          <w:rFonts w:ascii="Arial" w:cs="Arial" w:eastAsia="Arial" w:hAnsi="Arial"/>
          <w:sz w:val="22"/>
          <w:szCs w:val="22"/>
        </w:rPr>
        <w:t xml:space="preserve"/>
      </w:r>
    </w:p>
    <w:p>
      <w:pPr>
        <w:spacing w:before="200" w:after="120"/>
      </w:pPr>
      <w:r>
        <w:rPr>
          <w:rFonts w:ascii="Arial" w:cs="Arial" w:eastAsia="Arial" w:hAnsi="Arial"/>
          <w:b/>
          <w:bCs/>
          <w:color w:val="C0392B"/>
          <w:sz w:val="24"/>
          <w:szCs w:val="24"/>
        </w:rPr>
        <w:t xml:space="preserve">Layer 1 — Agent Dynamics (Cell Level)</w:t>
      </w:r>
    </w:p>
    <w:p>
      <w:pPr>
        <w:spacing w:before="80" w:after="120"/>
      </w:pPr>
      <w:r>
        <w:rPr>
          <w:rFonts w:ascii="Arial" w:cs="Arial" w:eastAsia="Arial" w:hAnsi="Arial"/>
          <w:sz w:val="22"/>
          <w:szCs w:val="22"/>
        </w:rPr>
        <w:t xml:space="preserve">Agent-based modeling combined with evolutionary game theory. Governs individual firm and investor behavior, bounded rationality, and adaptive learning.</w:t>
      </w:r>
    </w:p>
    <w:p>
      <w:pPr>
        <w:spacing w:before="200" w:after="120"/>
      </w:pPr>
      <w:r>
        <w:rPr>
          <w:rFonts w:ascii="Arial" w:cs="Arial" w:eastAsia="Arial" w:hAnsi="Arial"/>
          <w:b/>
          <w:bCs/>
          <w:color w:val="C0392B"/>
          <w:sz w:val="24"/>
          <w:szCs w:val="24"/>
        </w:rPr>
        <w:t xml:space="preserve">Layer 2 — Network Topology (Tissue and Organ Level)</w:t>
      </w:r>
    </w:p>
    <w:p>
      <w:pPr>
        <w:spacing w:before="80" w:after="120"/>
      </w:pPr>
      <w:r>
        <w:rPr>
          <w:rFonts w:ascii="Arial" w:cs="Arial" w:eastAsia="Arial" w:hAnsi="Arial"/>
          <w:sz w:val="22"/>
          <w:szCs w:val="22"/>
        </w:rPr>
        <w:t xml:space="preserve">Graph theory and percolation mathematics. Governs how entities are connected, how information flows, and at what connection density local failures become systemic.</w:t>
      </w:r>
    </w:p>
    <w:p>
      <w:pPr>
        <w:spacing w:before="200" w:after="120"/>
      </w:pPr>
      <w:r>
        <w:rPr>
          <w:rFonts w:ascii="Arial" w:cs="Arial" w:eastAsia="Arial" w:hAnsi="Arial"/>
          <w:b/>
          <w:bCs/>
          <w:color w:val="C0392B"/>
          <w:sz w:val="24"/>
          <w:szCs w:val="24"/>
        </w:rPr>
        <w:t xml:space="preserve">Layer 3 — Flow Dynamics (Cardiovascular and Lymphatic Level)</w:t>
      </w:r>
    </w:p>
    <w:p>
      <w:pPr>
        <w:spacing w:before="80" w:after="120"/>
      </w:pPr>
      <w:r>
        <w:rPr>
          <w:rFonts w:ascii="Arial" w:cs="Arial" w:eastAsia="Arial" w:hAnsi="Arial"/>
          <w:sz w:val="22"/>
          <w:szCs w:val="22"/>
        </w:rPr>
        <w:t xml:space="preserve">Network flow equations and liquidity stress testing. Governs capital movement, credit transmission, and the conditions under which flow networks seize.</w:t>
      </w:r>
    </w:p>
    <w:p>
      <w:pPr>
        <w:spacing w:before="200" w:after="120"/>
      </w:pPr>
      <w:r>
        <w:rPr>
          <w:rFonts w:ascii="Arial" w:cs="Arial" w:eastAsia="Arial" w:hAnsi="Arial"/>
          <w:b/>
          <w:bCs/>
          <w:color w:val="C0392B"/>
          <w:sz w:val="24"/>
          <w:szCs w:val="24"/>
        </w:rPr>
        <w:t xml:space="preserve">Layer 4 — Regulatory Dynamics (Immune and Endocrine Level)</w:t>
      </w:r>
    </w:p>
    <w:p>
      <w:pPr>
        <w:spacing w:before="80" w:after="120"/>
      </w:pPr>
      <w:r>
        <w:rPr>
          <w:rFonts w:ascii="Arial" w:cs="Arial" w:eastAsia="Arial" w:hAnsi="Arial"/>
          <w:sz w:val="22"/>
          <w:szCs w:val="22"/>
        </w:rPr>
        <w:t xml:space="preserve">Control theory and delayed differential equations. Governs intervention timing, memory effects in regulatory response, and the risk of regulatory autoimmunity — overcorrection that attacks the host system.</w:t>
      </w:r>
    </w:p>
    <w:p>
      <w:pPr>
        <w:spacing w:before="200" w:after="120"/>
      </w:pPr>
      <w:r>
        <w:rPr>
          <w:rFonts w:ascii="Arial" w:cs="Arial" w:eastAsia="Arial" w:hAnsi="Arial"/>
          <w:b/>
          <w:bCs/>
          <w:color w:val="C0392B"/>
          <w:sz w:val="24"/>
          <w:szCs w:val="24"/>
        </w:rPr>
        <w:t xml:space="preserve">Layer 5 — Information and Signal Dynamics (Nervous System Level)</w:t>
      </w:r>
    </w:p>
    <w:p>
      <w:pPr>
        <w:spacing w:before="80" w:after="120"/>
      </w:pPr>
      <w:r>
        <w:rPr>
          <w:rFonts w:ascii="Arial" w:cs="Arial" w:eastAsia="Arial" w:hAnsi="Arial"/>
          <w:sz w:val="22"/>
          <w:szCs w:val="22"/>
        </w:rPr>
        <w:t xml:space="preserve">Information theory, Bayesian updating, and reflexivity modeling. This is the layer where Soros reflexivity formally enters: observation changes the system. This layer connects to quantum measurement intuition at the level of endogenous feedback.</w:t>
      </w:r>
    </w:p>
    <w:p>
      <w:pPr>
        <w:spacing w:before="200" w:after="120"/>
      </w:pPr>
      <w:r>
        <w:rPr>
          <w:rFonts w:ascii="Arial" w:cs="Arial" w:eastAsia="Arial" w:hAnsi="Arial"/>
          <w:b/>
          <w:bCs/>
          <w:color w:val="C0392B"/>
          <w:sz w:val="24"/>
          <w:szCs w:val="24"/>
        </w:rPr>
        <w:t xml:space="preserve">Layer 6 — Systemic Health Metrics (Homeostasis Level)</w:t>
      </w:r>
    </w:p>
    <w:p>
      <w:pPr>
        <w:spacing w:before="80" w:after="120"/>
      </w:pPr>
      <w:r>
        <w:rPr>
          <w:rFonts w:ascii="Arial" w:cs="Arial" w:eastAsia="Arial" w:hAnsi="Arial"/>
          <w:sz w:val="22"/>
          <w:szCs w:val="22"/>
        </w:rPr>
        <w:t xml:space="preserve">Lyapunov stability measures and early warning indicators. Governs the detection of deviation from dynamic equilibrium before cascade failure occurs.</w:t>
      </w:r>
    </w:p>
    <w:p>
      <w:pPr>
        <w:spacing w:before="200" w:after="120"/>
      </w:pPr>
      <w:r>
        <w:rPr>
          <w:rFonts w:ascii="Arial" w:cs="Arial" w:eastAsia="Arial" w:hAnsi="Arial"/>
          <w:b/>
          <w:bCs/>
          <w:color w:val="C0392B"/>
          <w:sz w:val="24"/>
          <w:szCs w:val="24"/>
        </w:rPr>
        <w:t xml:space="preserve">Layer 7 — Pathology Detection (Inflammation and Cancer Level)</w:t>
      </w:r>
    </w:p>
    <w:p>
      <w:pPr>
        <w:spacing w:before="80" w:after="120"/>
      </w:pPr>
      <w:r>
        <w:rPr>
          <w:rFonts w:ascii="Arial" w:cs="Arial" w:eastAsia="Arial" w:hAnsi="Arial"/>
          <w:sz w:val="22"/>
          <w:szCs w:val="22"/>
        </w:rPr>
        <w:t xml:space="preserve">Phase transition detection and percolation threshold mathematics. The primary crisis early-warning layer. Distinguishes acute protective response from chronic systemic destruction.</w:t>
      </w:r>
    </w:p>
    <w:p>
      <w:pPr>
        <w:spacing w:before="400"/>
      </w:pPr>
    </w:p>
    <w:p>
      <w:pPr>
        <w:pStyle w:val="Heading1"/>
        <w:spacing w:before="360" w:after="200"/>
      </w:pPr>
      <w:r>
        <w:rPr>
          <w:rFonts w:ascii="Arial" w:cs="Arial" w:eastAsia="Arial" w:hAnsi="Arial"/>
          <w:b/>
          <w:bCs/>
          <w:color w:val="1F3A6E"/>
          <w:sz w:val="36"/>
          <w:szCs w:val="36"/>
        </w:rPr>
        <w:t xml:space="preserve">4. The Three Intellectual Roots — Formal Connections</w:t>
      </w:r>
    </w:p>
    <w:p>
      <w:pPr>
        <w:pBdr>
          <w:bottom w:val="single" w:color="1F3A6E" w:sz="6" w:space="1"/>
        </w:pBdr>
        <w:spacing w:before="200" w:after="200"/>
      </w:pPr>
    </w:p>
    <w:p>
      <w:pPr>
        <w:spacing w:before="80" w:after="120"/>
      </w:pPr>
      <w:r>
        <w:rPr>
          <w:rFonts w:ascii="Arial" w:cs="Arial" w:eastAsia="Arial" w:hAnsi="Arial"/>
          <w:sz w:val="22"/>
          <w:szCs w:val="22"/>
        </w:rPr>
        <w:t xml:space="preserve">The AMF synthesizes three intellectual traditions that have not been formally unified in existing financial or economic literature:</w:t>
      </w:r>
    </w:p>
    <w:p>
      <w:pPr>
        <w:spacing w:before="80" w:after="120"/>
      </w:pPr>
      <w:r>
        <w:rPr>
          <w:rFonts w:ascii="Arial" w:cs="Arial" w:eastAsia="Arial" w:hAnsi="Arial"/>
          <w:sz w:val="22"/>
          <w:szCs w:val="22"/>
        </w:rPr>
        <w:t xml:space="preserve"/>
      </w:r>
    </w:p>
    <w:p>
      <w:pPr>
        <w:pStyle w:val="Heading2"/>
        <w:spacing w:before="280" w:after="160"/>
      </w:pPr>
      <w:r>
        <w:rPr>
          <w:rFonts w:ascii="Arial" w:cs="Arial" w:eastAsia="Arial" w:hAnsi="Arial"/>
          <w:b/>
          <w:bCs/>
          <w:color w:val="1F3A6E"/>
          <w:sz w:val="28"/>
          <w:szCs w:val="28"/>
        </w:rPr>
        <w:t xml:space="preserve">4.1 Soros Reflexivity</w:t>
      </w:r>
    </w:p>
    <w:p>
      <w:pPr>
        <w:spacing w:before="80" w:after="120"/>
      </w:pPr>
      <w:r>
        <w:rPr>
          <w:rFonts w:ascii="Arial" w:cs="Arial" w:eastAsia="Arial" w:hAnsi="Arial"/>
          <w:sz w:val="22"/>
          <w:szCs w:val="22"/>
        </w:rPr>
        <w:t xml:space="preserve">George Soros identified two functions: fallibility (cognitive — human understanding is partial and self-referential) and reflexivity (participative — acting on beliefs changes the underlying reality those beliefs are about). Mainstream finance has no formal mathematical treatment of this mechanism in deployed models. The AMF locates reflexivity at Layer 5 — the nervous system / information layer — where endogenous feedback between observation and system state is structurally required.</w:t>
      </w:r>
    </w:p>
    <w:p>
      <w:pPr>
        <w:spacing w:before="80" w:after="120"/>
      </w:pPr>
      <w:r>
        <w:rPr>
          <w:rFonts w:ascii="Arial" w:cs="Arial" w:eastAsia="Arial" w:hAnsi="Arial"/>
          <w:sz w:val="22"/>
          <w:szCs w:val="22"/>
        </w:rPr>
        <w:t xml:space="preserve"/>
      </w:r>
    </w:p>
    <w:p>
      <w:pPr>
        <w:pStyle w:val="Heading2"/>
        <w:spacing w:before="280" w:after="160"/>
      </w:pPr>
      <w:r>
        <w:rPr>
          <w:rFonts w:ascii="Arial" w:cs="Arial" w:eastAsia="Arial" w:hAnsi="Arial"/>
          <w:b/>
          <w:bCs/>
          <w:color w:val="1F3A6E"/>
          <w:sz w:val="28"/>
          <w:szCs w:val="28"/>
        </w:rPr>
        <w:t xml:space="preserve">4.2 Complexity Theory</w:t>
      </w:r>
    </w:p>
    <w:p>
      <w:pPr>
        <w:spacing w:before="80" w:after="120"/>
      </w:pPr>
      <w:r>
        <w:rPr>
          <w:rFonts w:ascii="Arial" w:cs="Arial" w:eastAsia="Arial" w:hAnsi="Arial"/>
          <w:sz w:val="22"/>
          <w:szCs w:val="22"/>
        </w:rPr>
        <w:t xml:space="preserve">Complex Adaptive Systems (CAS) theory, developed primarily at the Santa Fe Institute, provides the structural backbone for the AMF. Feedback loops, far-from-equilibrium dynamics (Prigogine), emergence, and phase transitions all have direct anatomical equivalents. The key limitation — that complexity theory is descriptive rather than predictive — is addressed in the AMF through the integration of calibration bridges at each layer.</w:t>
      </w:r>
    </w:p>
    <w:p>
      <w:pPr>
        <w:spacing w:before="80" w:after="120"/>
      </w:pPr>
      <w:r>
        <w:rPr>
          <w:rFonts w:ascii="Arial" w:cs="Arial" w:eastAsia="Arial" w:hAnsi="Arial"/>
          <w:sz w:val="22"/>
          <w:szCs w:val="22"/>
        </w:rPr>
        <w:t xml:space="preserve"/>
      </w:r>
    </w:p>
    <w:p>
      <w:pPr>
        <w:pStyle w:val="Heading2"/>
        <w:spacing w:before="280" w:after="160"/>
      </w:pPr>
      <w:r>
        <w:rPr>
          <w:rFonts w:ascii="Arial" w:cs="Arial" w:eastAsia="Arial" w:hAnsi="Arial"/>
          <w:b/>
          <w:bCs/>
          <w:color w:val="1F3A6E"/>
          <w:sz w:val="28"/>
          <w:szCs w:val="28"/>
        </w:rPr>
        <w:t xml:space="preserve">4.3 Quantum Probability Formalism</w:t>
      </w:r>
    </w:p>
    <w:p>
      <w:pPr>
        <w:spacing w:before="80" w:after="120"/>
      </w:pPr>
      <w:r>
        <w:rPr>
          <w:rFonts w:ascii="Arial" w:cs="Arial" w:eastAsia="Arial" w:hAnsi="Arial"/>
          <w:sz w:val="22"/>
          <w:szCs w:val="22"/>
        </w:rPr>
        <w:t xml:space="preserve">The mapping of financial mathematics to quantum mechanics has prior art: Black-Scholes is structurally isomorphic to the Schrödinger equation via the heat equation (1973). The AMF does not claim quantum mechanics governs markets, but identifies three specific places where quantum probability formalism provides the most natural mathematical language: regime superposition (multiple structural states simultaneously probable before one wins), measurement back-reaction (reflexivity), and interference-based correlation structures (as a successor to failed Gaussian copulas).</w:t>
      </w:r>
    </w:p>
    <w:p>
      <w:pPr>
        <w:spacing w:before="400"/>
      </w:pPr>
    </w:p>
    <w:p>
      <w:pPr>
        <w:pStyle w:val="Heading1"/>
        <w:spacing w:before="360" w:after="200"/>
      </w:pPr>
      <w:r>
        <w:rPr>
          <w:rFonts w:ascii="Arial" w:cs="Arial" w:eastAsia="Arial" w:hAnsi="Arial"/>
          <w:b/>
          <w:bCs/>
          <w:color w:val="1F3A6E"/>
          <w:sz w:val="36"/>
          <w:szCs w:val="36"/>
        </w:rPr>
        <w:t xml:space="preserve">5. Live Unsolved Problems — Where the AMF Points</w:t>
      </w:r>
    </w:p>
    <w:p>
      <w:pPr>
        <w:pBdr>
          <w:bottom w:val="single" w:color="1F3A6E" w:sz="6" w:space="1"/>
        </w:pBdr>
        <w:spacing w:before="200" w:after="200"/>
      </w:pPr>
    </w:p>
    <w:p>
      <w:pPr>
        <w:spacing w:before="80" w:after="120"/>
      </w:pPr>
      <w:r>
        <w:rPr>
          <w:rFonts w:ascii="Arial" w:cs="Arial" w:eastAsia="Arial" w:hAnsi="Arial"/>
          <w:sz w:val="22"/>
          <w:szCs w:val="22"/>
        </w:rPr>
        <w:t xml:space="preserve">The AMF identifies four structural gaps in current financial modeling that represent both intellectual opportunity and systemic risk:</w:t>
      </w:r>
    </w:p>
    <w:p>
      <w:pPr>
        <w:spacing w:before="80" w:after="120"/>
      </w:pPr>
      <w:r>
        <w:rPr>
          <w:rFonts w:ascii="Arial" w:cs="Arial" w:eastAsia="Arial" w:hAnsi="Arial"/>
          <w:sz w:val="22"/>
          <w:szCs w:val="22"/>
        </w:rPr>
        <w:t xml:space="preserve"/>
      </w:r>
    </w:p>
    <w:p>
      <w:pPr>
        <w:spacing w:before="200" w:after="120"/>
      </w:pPr>
      <w:r>
        <w:rPr>
          <w:rFonts w:ascii="Arial" w:cs="Arial" w:eastAsia="Arial" w:hAnsi="Arial"/>
          <w:b/>
          <w:bCs/>
          <w:color w:val="C0392B"/>
          <w:sz w:val="24"/>
          <w:szCs w:val="24"/>
        </w:rPr>
        <w:t xml:space="preserve">Gap 1 — Inter-Layer Propagation Mathematics</w:t>
      </w:r>
    </w:p>
    <w:p>
      <w:pPr>
        <w:spacing w:before="80" w:after="120"/>
      </w:pPr>
      <w:r>
        <w:rPr>
          <w:rFonts w:ascii="Arial" w:cs="Arial" w:eastAsia="Arial" w:hAnsi="Arial"/>
          <w:sz w:val="22"/>
          <w:szCs w:val="22"/>
        </w:rPr>
        <w:t xml:space="preserve">Current models treat each layer in isolation. The primary contribution of the AMF is the argument that cross-layer cascade dynamics — how a failure at the instrument level propagates to the sovereign level — require explicit inter-layer coupling mathematics, analogous to multiscale modeling in systems biology.</w:t>
      </w:r>
    </w:p>
    <w:p>
      <w:pPr>
        <w:spacing w:before="200" w:after="120"/>
      </w:pPr>
      <w:r>
        <w:rPr>
          <w:rFonts w:ascii="Arial" w:cs="Arial" w:eastAsia="Arial" w:hAnsi="Arial"/>
          <w:b/>
          <w:bCs/>
          <w:color w:val="C0392B"/>
          <w:sz w:val="24"/>
          <w:szCs w:val="24"/>
        </w:rPr>
        <w:t xml:space="preserve">Gap 2 — Regime Superposition</w:t>
      </w:r>
    </w:p>
    <w:p>
      <w:pPr>
        <w:spacing w:before="80" w:after="120"/>
      </w:pPr>
      <w:r>
        <w:rPr>
          <w:rFonts w:ascii="Arial" w:cs="Arial" w:eastAsia="Arial" w:hAnsi="Arial"/>
          <w:sz w:val="22"/>
          <w:szCs w:val="22"/>
        </w:rPr>
        <w:t xml:space="preserve">Markov switching models treat regimes as discrete states. The AMF proposes that regimes overlap and compete before one wins — a superposition rather than a switch. This is a live unsolved problem with direct relevance to crisis prediction.</w:t>
      </w:r>
    </w:p>
    <w:p>
      <w:pPr>
        <w:spacing w:before="200" w:after="120"/>
      </w:pPr>
      <w:r>
        <w:rPr>
          <w:rFonts w:ascii="Arial" w:cs="Arial" w:eastAsia="Arial" w:hAnsi="Arial"/>
          <w:b/>
          <w:bCs/>
          <w:color w:val="C0392B"/>
          <w:sz w:val="24"/>
          <w:szCs w:val="24"/>
        </w:rPr>
        <w:t xml:space="preserve">Gap 3 — Reflexivity Formalization</w:t>
      </w:r>
    </w:p>
    <w:p>
      <w:pPr>
        <w:spacing w:before="80" w:after="120"/>
      </w:pPr>
      <w:r>
        <w:rPr>
          <w:rFonts w:ascii="Arial" w:cs="Arial" w:eastAsia="Arial" w:hAnsi="Arial"/>
          <w:sz w:val="22"/>
          <w:szCs w:val="22"/>
        </w:rPr>
        <w:t xml:space="preserve">Soros built a trading heuristic from reflexivity, not a formal model. The formalization of that heuristic into something mathematically rigorous and empirically testable remains open work. The AMF provides the architectural location for this formalization at Layer 5.</w:t>
      </w:r>
    </w:p>
    <w:p>
      <w:pPr>
        <w:spacing w:before="200" w:after="120"/>
      </w:pPr>
      <w:r>
        <w:rPr>
          <w:rFonts w:ascii="Arial" w:cs="Arial" w:eastAsia="Arial" w:hAnsi="Arial"/>
          <w:b/>
          <w:bCs/>
          <w:color w:val="C0392B"/>
          <w:sz w:val="24"/>
          <w:szCs w:val="24"/>
        </w:rPr>
        <w:t xml:space="preserve">Gap 4 — Copula Replacement for Tail Dependence</w:t>
      </w:r>
    </w:p>
    <w:p>
      <w:pPr>
        <w:spacing w:before="80" w:after="120"/>
      </w:pPr>
      <w:r>
        <w:rPr>
          <w:rFonts w:ascii="Arial" w:cs="Arial" w:eastAsia="Arial" w:hAnsi="Arial"/>
          <w:sz w:val="22"/>
          <w:szCs w:val="22"/>
        </w:rPr>
        <w:t xml:space="preserve">The Gaussian copula failure in 2008 has not produced a deployed replacement that works under stress. The AMF suggests interference-based correlation structures from quantum probability as the most theoretically coherent direction for a successor framework.</w:t>
      </w:r>
    </w:p>
    <w:p>
      <w:pPr>
        <w:spacing w:before="400"/>
      </w:pPr>
    </w:p>
    <w:p>
      <w:pPr>
        <w:pStyle w:val="Heading1"/>
        <w:spacing w:before="360" w:after="200"/>
      </w:pPr>
      <w:r>
        <w:rPr>
          <w:rFonts w:ascii="Arial" w:cs="Arial" w:eastAsia="Arial" w:hAnsi="Arial"/>
          <w:b/>
          <w:bCs/>
          <w:color w:val="1F3A6E"/>
          <w:sz w:val="36"/>
          <w:szCs w:val="36"/>
        </w:rPr>
        <w:t xml:space="preserve">6. IP Protection, Publication, and Timestamping Protocol</w:t>
      </w:r>
    </w:p>
    <w:p>
      <w:pPr>
        <w:pBdr>
          <w:bottom w:val="single" w:color="1F3A6E" w:sz="6" w:space="1"/>
        </w:pBdr>
        <w:spacing w:before="200" w:after="200"/>
      </w:pPr>
    </w:p>
    <w:p>
      <w:pPr>
        <w:pStyle w:val="Heading2"/>
        <w:spacing w:before="280" w:after="160"/>
      </w:pPr>
      <w:r>
        <w:rPr>
          <w:rFonts w:ascii="Arial" w:cs="Arial" w:eastAsia="Arial" w:hAnsi="Arial"/>
          <w:b/>
          <w:bCs/>
          <w:color w:val="1F3A6E"/>
          <w:sz w:val="28"/>
          <w:szCs w:val="28"/>
        </w:rPr>
        <w:t xml:space="preserve">6.1 What Is Protectable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BBBBBB" w:sz="1"/>
              <w:left w:val="single" w:color="BBBBBB" w:sz="1"/>
              <w:bottom w:val="single" w:color="BBBBBB" w:sz="1"/>
              <w:right w:val="single" w:color="BBBBBB" w:sz="1"/>
            </w:tcBorders>
            <w:shd w:fill="1F3A6E"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2000"/>
            <w:tcBorders>
              <w:top w:val="single" w:color="BBBBBB" w:sz="1"/>
              <w:left w:val="single" w:color="BBBBBB" w:sz="1"/>
              <w:bottom w:val="single" w:color="BBBBBB" w:sz="1"/>
              <w:right w:val="single" w:color="BBBBBB" w:sz="1"/>
            </w:tcBorders>
            <w:shd w:fill="1F3A6E" w:val="clear"/>
            <w:tcMar>
              <w:top w:type="dxa" w:w="100"/>
              <w:left w:type="dxa" w:w="140"/>
              <w:bottom w:type="dxa" w:w="100"/>
              <w:right w:type="dxa" w:w="140"/>
            </w:tcMar>
          </w:tcPr>
          <w:p>
            <w:r>
              <w:rPr>
                <w:rFonts w:ascii="Arial" w:cs="Arial" w:eastAsia="Arial" w:hAnsi="Arial"/>
                <w:b/>
                <w:bCs/>
                <w:color w:val="FFFFFF"/>
                <w:sz w:val="20"/>
                <w:szCs w:val="20"/>
              </w:rPr>
              <w:t xml:space="preserve">Protectable?</w:t>
            </w:r>
          </w:p>
        </w:tc>
        <w:tc>
          <w:tcPr>
            <w:tcW w:type="dxa" w:w="3860"/>
            <w:tcBorders>
              <w:top w:val="single" w:color="BBBBBB" w:sz="1"/>
              <w:left w:val="single" w:color="BBBBBB" w:sz="1"/>
              <w:bottom w:val="single" w:color="BBBBBB" w:sz="1"/>
              <w:right w:val="single" w:color="BBBBBB" w:sz="1"/>
            </w:tcBorders>
            <w:shd w:fill="1F3A6E" w:val="clear"/>
            <w:tcMar>
              <w:top w:type="dxa" w:w="100"/>
              <w:left w:type="dxa" w:w="140"/>
              <w:bottom w:type="dxa" w:w="100"/>
              <w:right w:type="dxa" w:w="140"/>
            </w:tcMar>
          </w:tcPr>
          <w:p>
            <w:r>
              <w:rPr>
                <w:rFonts w:ascii="Arial" w:cs="Arial" w:eastAsia="Arial" w:hAnsi="Arial"/>
                <w:b/>
                <w:bCs/>
                <w:color w:val="FFFFFF"/>
                <w:sz w:val="20"/>
                <w:szCs w:val="20"/>
              </w:rPr>
              <w:t xml:space="preserve">Protection Method</w:t>
            </w:r>
          </w:p>
        </w:tc>
      </w:tr>
      <w:tr>
        <w:tc>
          <w:tcPr>
            <w:tcW w:type="dxa" w:w="35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AMF as a named framework — expression and structure</w:t>
            </w:r>
          </w:p>
        </w:tc>
        <w:tc>
          <w:tcPr>
            <w:tcW w:type="dxa" w:w="20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Yes — copyright in expression</w:t>
            </w:r>
          </w:p>
        </w:tc>
        <w:tc>
          <w:tcPr>
            <w:tcW w:type="dxa" w:w="386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Publication + timestamp</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Specific formulations, analytical language, synthesis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Yes — strongest protection</w:t>
            </w:r>
          </w:p>
        </w:tc>
        <w:tc>
          <w:tcPr>
            <w:tcW w:type="dxa" w:w="38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Dated written records</w:t>
            </w:r>
          </w:p>
        </w:tc>
      </w:tr>
      <w:tr>
        <w:tc>
          <w:tcPr>
            <w:tcW w:type="dxa" w:w="35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Layered mathematical architecture as a system</w:t>
            </w:r>
          </w:p>
        </w:tc>
        <w:tc>
          <w:tcPr>
            <w:tcW w:type="dxa" w:w="20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Potentially — as method</w:t>
            </w:r>
          </w:p>
        </w:tc>
        <w:tc>
          <w:tcPr>
            <w:tcW w:type="dxa" w:w="386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Patent or trade secret</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Underlying mathematical concepts and equations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No — math is not copyrightable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Cannot protect</w:t>
            </w:r>
          </w:p>
        </w:tc>
      </w:tr>
      <w:tr>
        <w:tc>
          <w:tcPr>
            <w:tcW w:type="dxa" w:w="35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General idea of biology-market analogy</w:t>
            </w:r>
          </w:p>
        </w:tc>
        <w:tc>
          <w:tcPr>
            <w:tcW w:type="dxa" w:w="200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No — prior art exists partially</w:t>
            </w:r>
          </w:p>
        </w:tc>
        <w:tc>
          <w:tcPr>
            <w:tcW w:type="dxa" w:w="3860"/>
            <w:tcBorders>
              <w:top w:val="single" w:color="BBBBBB" w:sz="1"/>
              <w:left w:val="single" w:color="BBBBBB" w:sz="1"/>
              <w:bottom w:val="single" w:color="BBBBBB" w:sz="1"/>
              <w:right w:val="single" w:color="BBBBBB" w:sz="1"/>
            </w:tcBorders>
            <w:shd w:fill="EEF2F7" w:val="clear"/>
            <w:tcMar>
              <w:top w:type="dxa" w:w="80"/>
              <w:left w:type="dxa" w:w="140"/>
              <w:bottom w:type="dxa" w:w="80"/>
              <w:right w:type="dxa" w:w="140"/>
            </w:tcMar>
          </w:tcPr>
          <w:p>
            <w:r>
              <w:rPr>
                <w:rFonts w:ascii="Arial" w:cs="Arial" w:eastAsia="Arial" w:hAnsi="Arial"/>
                <w:sz w:val="20"/>
                <w:szCs w:val="20"/>
              </w:rPr>
              <w:t xml:space="preserve">Cannot protect</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Your specific analytical voice and cross-domain synthesis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Yes — copyright in expression</w:t>
            </w:r>
          </w:p>
        </w:tc>
        <w:tc>
          <w:tcPr>
            <w:tcW w:type="dxa" w:w="38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Publication establishes priority</w:t>
            </w:r>
          </w:p>
        </w:tc>
      </w:tr>
    </w:tbl>
    <w:p>
      <w:pPr>
        <w:spacing w:before="280" w:after="120"/>
      </w:pPr>
    </w:p>
    <w:p>
      <w:pPr>
        <w:pStyle w:val="Heading2"/>
        <w:spacing w:before="280" w:after="160"/>
      </w:pPr>
      <w:r>
        <w:rPr>
          <w:rFonts w:ascii="Arial" w:cs="Arial" w:eastAsia="Arial" w:hAnsi="Arial"/>
          <w:b/>
          <w:bCs/>
          <w:color w:val="1F3A6E"/>
          <w:sz w:val="28"/>
          <w:szCs w:val="28"/>
        </w:rPr>
        <w:t xml:space="preserve">6.2 Verified Publication Venues — Priority Establishment</w:t>
      </w:r>
    </w:p>
    <w:p>
      <w:pPr>
        <w:spacing w:before="80" w:after="120"/>
      </w:pPr>
      <w:r>
        <w:rPr>
          <w:rFonts w:ascii="Arial" w:cs="Arial" w:eastAsia="Arial" w:hAnsi="Arial"/>
          <w:sz w:val="22"/>
          <w:szCs w:val="22"/>
        </w:rPr>
        <w:t xml:space="preserve">The following are verified, credible venues that establish dated public priority for your work. Only verified platforms are listed.</w:t>
      </w:r>
    </w:p>
    <w:p>
      <w:pPr>
        <w:spacing w:before="80" w:after="120"/>
      </w:pPr>
      <w:r>
        <w:rPr>
          <w:rFonts w:ascii="Arial" w:cs="Arial" w:eastAsia="Arial" w:hAnsi="Arial"/>
          <w:sz w:val="22"/>
          <w:szCs w:val="22"/>
        </w:rPr>
        <w:t xml:space="preserve"/>
      </w:r>
    </w:p>
    <w:p>
      <w:pPr>
        <w:spacing w:before="200" w:after="120"/>
      </w:pPr>
      <w:r>
        <w:rPr>
          <w:rFonts w:ascii="Arial" w:cs="Arial" w:eastAsia="Arial" w:hAnsi="Arial"/>
          <w:b/>
          <w:bCs/>
          <w:color w:val="C0392B"/>
          <w:sz w:val="24"/>
          <w:szCs w:val="24"/>
        </w:rPr>
        <w:t xml:space="preserve">Academic and Preprint Repositories</w:t>
      </w:r>
    </w:p>
    <w:p>
      <w:pPr>
        <w:pStyle w:val="ListParagraph"/>
        <w:numPr>
          <w:ilvl w:val="0"/>
          <w:numId w:val="2"/>
        </w:numPr>
        <w:spacing w:before="60" w:after="60"/>
      </w:pPr>
      <w:r>
        <w:rPr>
          <w:rFonts w:ascii="Arial" w:cs="Arial" w:eastAsia="Arial" w:hAnsi="Arial"/>
          <w:sz w:val="22"/>
          <w:szCs w:val="22"/>
        </w:rPr>
        <w:t xml:space="preserve">SSRN (Social Science Research Network) — ssrn.com — Free, immediate upload, date-stamped, indexed by Google Scholar. Standard for economics and finance working papers. Strongest academic priority record.</w:t>
      </w:r>
    </w:p>
    <w:p>
      <w:pPr>
        <w:pStyle w:val="ListParagraph"/>
        <w:numPr>
          <w:ilvl w:val="0"/>
          <w:numId w:val="2"/>
        </w:numPr>
        <w:spacing w:before="60" w:after="60"/>
      </w:pPr>
      <w:r>
        <w:rPr>
          <w:rFonts w:ascii="Arial" w:cs="Arial" w:eastAsia="Arial" w:hAnsi="Arial"/>
          <w:sz w:val="22"/>
          <w:szCs w:val="22"/>
        </w:rPr>
        <w:t xml:space="preserve">arXiv (arxiv.org) — Free, immediate, cryptographically timestamped by the platform. Standard for quantitative finance (q-fin section) and physics. Permanent DOI assigned.</w:t>
      </w:r>
    </w:p>
    <w:p>
      <w:pPr>
        <w:pStyle w:val="ListParagraph"/>
        <w:numPr>
          <w:ilvl w:val="0"/>
          <w:numId w:val="2"/>
        </w:numPr>
        <w:spacing w:before="60" w:after="60"/>
      </w:pPr>
      <w:r>
        <w:rPr>
          <w:rFonts w:ascii="Arial" w:cs="Arial" w:eastAsia="Arial" w:hAnsi="Arial"/>
          <w:sz w:val="22"/>
          <w:szCs w:val="22"/>
        </w:rPr>
        <w:t xml:space="preserve">MPRA — Munich Personal RePEc Archive (mpra.ub.uni-muenchen.de) — Free repository for economics working papers. Date-stamped and indexed.</w:t>
      </w:r>
    </w:p>
    <w:p>
      <w:pPr>
        <w:spacing w:before="80" w:after="120"/>
      </w:pPr>
      <w:r>
        <w:rPr>
          <w:rFonts w:ascii="Arial" w:cs="Arial" w:eastAsia="Arial" w:hAnsi="Arial"/>
          <w:sz w:val="22"/>
          <w:szCs w:val="22"/>
        </w:rPr>
        <w:t xml:space="preserve"/>
      </w:r>
    </w:p>
    <w:p>
      <w:pPr>
        <w:spacing w:before="200" w:after="120"/>
      </w:pPr>
      <w:r>
        <w:rPr>
          <w:rFonts w:ascii="Arial" w:cs="Arial" w:eastAsia="Arial" w:hAnsi="Arial"/>
          <w:b/>
          <w:bCs/>
          <w:color w:val="C0392B"/>
          <w:sz w:val="24"/>
          <w:szCs w:val="24"/>
        </w:rPr>
        <w:t xml:space="preserve">Professional Publishing Platforms</w:t>
      </w:r>
    </w:p>
    <w:p>
      <w:pPr>
        <w:pStyle w:val="ListParagraph"/>
        <w:numPr>
          <w:ilvl w:val="0"/>
          <w:numId w:val="2"/>
        </w:numPr>
        <w:spacing w:before="60" w:after="60"/>
      </w:pPr>
      <w:r>
        <w:rPr>
          <w:rFonts w:ascii="Arial" w:cs="Arial" w:eastAsia="Arial" w:hAnsi="Arial"/>
          <w:sz w:val="22"/>
          <w:szCs w:val="22"/>
        </w:rPr>
        <w:t xml:space="preserve">Substack (substack.com) — Date-stamped publication, permanent URL, subscriber base building. Appropriate for essay-form framework introductions.</w:t>
      </w:r>
    </w:p>
    <w:p>
      <w:pPr>
        <w:pStyle w:val="ListParagraph"/>
        <w:numPr>
          <w:ilvl w:val="0"/>
          <w:numId w:val="2"/>
        </w:numPr>
        <w:spacing w:before="60" w:after="60"/>
      </w:pPr>
      <w:r>
        <w:rPr>
          <w:rFonts w:ascii="Arial" w:cs="Arial" w:eastAsia="Arial" w:hAnsi="Arial"/>
          <w:sz w:val="22"/>
          <w:szCs w:val="22"/>
        </w:rPr>
        <w:t xml:space="preserve">LinkedIn Articles — Date-stamped, indexed by Google, visible to your existing institutional audience. Best for initial public priority establishment given your existing network.</w:t>
      </w:r>
    </w:p>
    <w:p>
      <w:pPr>
        <w:pStyle w:val="ListParagraph"/>
        <w:numPr>
          <w:ilvl w:val="0"/>
          <w:numId w:val="2"/>
        </w:numPr>
        <w:spacing w:before="60" w:after="60"/>
      </w:pPr>
      <w:r>
        <w:rPr>
          <w:rFonts w:ascii="Arial" w:cs="Arial" w:eastAsia="Arial" w:hAnsi="Arial"/>
          <w:sz w:val="22"/>
          <w:szCs w:val="22"/>
        </w:rPr>
        <w:t xml:space="preserve">Medium (medium.com) — Date-stamped, indexed, widely read. Lower academic credibility than SSRN but broad audience reach.</w:t>
      </w:r>
    </w:p>
    <w:p>
      <w:pPr>
        <w:spacing w:before="80" w:after="120"/>
      </w:pPr>
      <w:r>
        <w:rPr>
          <w:rFonts w:ascii="Arial" w:cs="Arial" w:eastAsia="Arial" w:hAnsi="Arial"/>
          <w:sz w:val="22"/>
          <w:szCs w:val="22"/>
        </w:rPr>
        <w:t xml:space="preserve"/>
      </w:r>
    </w:p>
    <w:p>
      <w:pPr>
        <w:spacing w:before="200" w:after="120"/>
      </w:pPr>
      <w:r>
        <w:rPr>
          <w:rFonts w:ascii="Arial" w:cs="Arial" w:eastAsia="Arial" w:hAnsi="Arial"/>
          <w:b/>
          <w:bCs/>
          <w:color w:val="C0392B"/>
          <w:sz w:val="24"/>
          <w:szCs w:val="24"/>
        </w:rPr>
        <w:t xml:space="preserve">High-Credibility Op-Ed and Analysis Venues</w:t>
      </w:r>
    </w:p>
    <w:p>
      <w:pPr>
        <w:pStyle w:val="ListParagraph"/>
        <w:numPr>
          <w:ilvl w:val="0"/>
          <w:numId w:val="2"/>
        </w:numPr>
        <w:spacing w:before="60" w:after="60"/>
      </w:pPr>
      <w:r>
        <w:rPr>
          <w:rFonts w:ascii="Arial" w:cs="Arial" w:eastAsia="Arial" w:hAnsi="Arial"/>
          <w:sz w:val="22"/>
          <w:szCs w:val="22"/>
        </w:rPr>
        <w:t xml:space="preserve">Project Syndicate (project-syndicate.org) — Verified submission process, global institutional readership including sovereign wealth funds and central banks. Requires editorial acceptance. Highest credibility signal.</w:t>
      </w:r>
    </w:p>
    <w:p>
      <w:pPr>
        <w:pStyle w:val="ListParagraph"/>
        <w:numPr>
          <w:ilvl w:val="0"/>
          <w:numId w:val="2"/>
        </w:numPr>
        <w:spacing w:before="60" w:after="60"/>
      </w:pPr>
      <w:r>
        <w:rPr>
          <w:rFonts w:ascii="Arial" w:cs="Arial" w:eastAsia="Arial" w:hAnsi="Arial"/>
          <w:sz w:val="22"/>
          <w:szCs w:val="22"/>
        </w:rPr>
        <w:t xml:space="preserve">The Diplomat, Nikkei Asia, Gulf News (op-ed sections) — Region-relevant for MENA and Asia Pacific positioning.</w:t>
      </w:r>
    </w:p>
    <w:p>
      <w:pPr>
        <w:spacing w:before="280" w:after="120"/>
      </w:pPr>
    </w:p>
    <w:p>
      <w:pPr>
        <w:pStyle w:val="Heading2"/>
        <w:spacing w:before="280" w:after="160"/>
      </w:pPr>
      <w:r>
        <w:rPr>
          <w:rFonts w:ascii="Arial" w:cs="Arial" w:eastAsia="Arial" w:hAnsi="Arial"/>
          <w:b/>
          <w:bCs/>
          <w:color w:val="1F3A6E"/>
          <w:sz w:val="28"/>
          <w:szCs w:val="28"/>
        </w:rPr>
        <w:t xml:space="preserve">6.3 Correct Timestamping Protocol</w:t>
      </w:r>
    </w:p>
    <w:p>
      <w:pPr>
        <w:spacing w:before="80" w:after="120"/>
      </w:pPr>
      <w:r>
        <w:rPr>
          <w:rFonts w:ascii="Arial" w:cs="Arial" w:eastAsia="Arial" w:hAnsi="Arial"/>
          <w:sz w:val="22"/>
          <w:szCs w:val="22"/>
        </w:rPr>
        <w:t xml:space="preserve">Timestamping creates cryptographic proof that a specific document existed at a specific time. The following is the verified, legally defensible protocol:</w:t>
      </w:r>
    </w:p>
    <w:p>
      <w:pPr>
        <w:spacing w:before="80" w:after="120"/>
      </w:pPr>
      <w:r>
        <w:rPr>
          <w:rFonts w:ascii="Arial" w:cs="Arial" w:eastAsia="Arial" w:hAnsi="Arial"/>
          <w:sz w:val="22"/>
          <w:szCs w:val="22"/>
        </w:rPr>
        <w:t xml:space="preserve"/>
      </w:r>
    </w:p>
    <w:p>
      <w:pPr>
        <w:spacing w:before="200" w:after="120"/>
      </w:pPr>
      <w:r>
        <w:rPr>
          <w:rFonts w:ascii="Arial" w:cs="Arial" w:eastAsia="Arial" w:hAnsi="Arial"/>
          <w:b/>
          <w:bCs/>
          <w:color w:val="C0392B"/>
          <w:sz w:val="24"/>
          <w:szCs w:val="24"/>
        </w:rPr>
        <w:t xml:space="preserve">Step 1 — Finalize Your Document Locally</w:t>
      </w:r>
    </w:p>
    <w:p>
      <w:pPr>
        <w:spacing w:before="80" w:after="120"/>
      </w:pPr>
      <w:r>
        <w:rPr>
          <w:rFonts w:ascii="Arial" w:cs="Arial" w:eastAsia="Arial" w:hAnsi="Arial"/>
          <w:sz w:val="22"/>
          <w:szCs w:val="22"/>
        </w:rPr>
        <w:t xml:space="preserve">Save the final version of your framework document to your Obsidian vault with VeraCrypt encryption active. Note the file creation and modification timestamps in your operating system. Do not modify the file after this point.</w:t>
      </w:r>
    </w:p>
    <w:p>
      <w:pPr>
        <w:spacing w:before="80" w:after="120"/>
      </w:pPr>
      <w:r>
        <w:rPr>
          <w:rFonts w:ascii="Arial" w:cs="Arial" w:eastAsia="Arial" w:hAnsi="Arial"/>
          <w:sz w:val="22"/>
          <w:szCs w:val="22"/>
        </w:rPr>
        <w:t xml:space="preserve"/>
      </w:r>
    </w:p>
    <w:p>
      <w:pPr>
        <w:spacing w:before="200" w:after="120"/>
      </w:pPr>
      <w:r>
        <w:rPr>
          <w:rFonts w:ascii="Arial" w:cs="Arial" w:eastAsia="Arial" w:hAnsi="Arial"/>
          <w:b/>
          <w:bCs/>
          <w:color w:val="C0392B"/>
          <w:sz w:val="24"/>
          <w:szCs w:val="24"/>
        </w:rPr>
        <w:t xml:space="preserve">Step 2 — Generate a SHA-256 Hash of the Document</w:t>
      </w:r>
    </w:p>
    <w:p>
      <w:pPr>
        <w:spacing w:before="80" w:after="120"/>
      </w:pPr>
      <w:r>
        <w:rPr>
          <w:rFonts w:ascii="Arial" w:cs="Arial" w:eastAsia="Arial" w:hAnsi="Arial"/>
          <w:sz w:val="22"/>
          <w:szCs w:val="22"/>
        </w:rPr>
        <w:t xml:space="preserve">On Windows, open PowerShell and run the following command, replacing the path with your actual file path:</w:t>
      </w:r>
    </w:p>
    <w:p>
      <w:pPr>
        <w:shd w:fill="1A1A2E" w:val="clear"/>
        <w:spacing w:before="100" w:after="100"/>
      </w:pPr>
      <w:r>
        <w:rPr>
          <w:rFonts w:ascii="Courier New" w:cs="Courier New" w:eastAsia="Courier New" w:hAnsi="Courier New"/>
          <w:color w:val="00FF88"/>
          <w:sz w:val="20"/>
          <w:szCs w:val="20"/>
        </w:rPr>
        <w:t xml:space="preserve">Get-FileHash 'C:\path\to\your\framework.docx' -Algorithm SHA256</w:t>
      </w:r>
    </w:p>
    <w:p>
      <w:pPr>
        <w:spacing w:before="80" w:after="120"/>
      </w:pPr>
      <w:r>
        <w:rPr>
          <w:rFonts w:ascii="Arial" w:cs="Arial" w:eastAsia="Arial" w:hAnsi="Arial"/>
          <w:sz w:val="22"/>
          <w:szCs w:val="22"/>
        </w:rPr>
        <w:t xml:space="preserve">This produces a unique 64-character fingerprint of your document. Copy this hash and store it separately.</w:t>
      </w:r>
    </w:p>
    <w:p>
      <w:pPr>
        <w:spacing w:before="80" w:after="120"/>
      </w:pPr>
      <w:r>
        <w:rPr>
          <w:rFonts w:ascii="Arial" w:cs="Arial" w:eastAsia="Arial" w:hAnsi="Arial"/>
          <w:sz w:val="22"/>
          <w:szCs w:val="22"/>
        </w:rPr>
        <w:t xml:space="preserve"/>
      </w:r>
    </w:p>
    <w:p>
      <w:pPr>
        <w:spacing w:before="200" w:after="120"/>
      </w:pPr>
      <w:r>
        <w:rPr>
          <w:rFonts w:ascii="Arial" w:cs="Arial" w:eastAsia="Arial" w:hAnsi="Arial"/>
          <w:b/>
          <w:bCs/>
          <w:color w:val="C0392B"/>
          <w:sz w:val="24"/>
          <w:szCs w:val="24"/>
        </w:rPr>
        <w:t xml:space="preserve">Step 3 — Blockchain Timestamp via OpenTimestamps</w:t>
      </w:r>
    </w:p>
    <w:p>
      <w:pPr>
        <w:spacing w:before="80" w:after="120"/>
      </w:pPr>
      <w:r>
        <w:rPr>
          <w:rFonts w:ascii="Arial" w:cs="Arial" w:eastAsia="Arial" w:hAnsi="Arial"/>
          <w:sz w:val="22"/>
          <w:szCs w:val="22"/>
        </w:rPr>
        <w:t xml:space="preserve">OpenTimestamps (opentimestamps.org) is a free, open-source, Bitcoin blockchain anchored timestamping service. It is the most legally defensible free timestamping tool available.</w:t>
      </w:r>
    </w:p>
    <w:p>
      <w:pPr>
        <w:pStyle w:val="ListParagraph"/>
        <w:numPr>
          <w:ilvl w:val="0"/>
          <w:numId w:val="2"/>
        </w:numPr>
        <w:spacing w:before="60" w:after="60"/>
      </w:pPr>
      <w:r>
        <w:rPr>
          <w:rFonts w:ascii="Arial" w:cs="Arial" w:eastAsia="Arial" w:hAnsi="Arial"/>
          <w:sz w:val="22"/>
          <w:szCs w:val="22"/>
        </w:rPr>
        <w:t xml:space="preserve">Go to opentimestamps.org</w:t>
      </w:r>
    </w:p>
    <w:p>
      <w:pPr>
        <w:pStyle w:val="ListParagraph"/>
        <w:numPr>
          <w:ilvl w:val="0"/>
          <w:numId w:val="2"/>
        </w:numPr>
        <w:spacing w:before="60" w:after="60"/>
      </w:pPr>
      <w:r>
        <w:rPr>
          <w:rFonts w:ascii="Arial" w:cs="Arial" w:eastAsia="Arial" w:hAnsi="Arial"/>
          <w:sz w:val="22"/>
          <w:szCs w:val="22"/>
        </w:rPr>
        <w:t xml:space="preserve">Upload your document or paste your SHA-256 hash</w:t>
      </w:r>
    </w:p>
    <w:p>
      <w:pPr>
        <w:pStyle w:val="ListParagraph"/>
        <w:numPr>
          <w:ilvl w:val="0"/>
          <w:numId w:val="2"/>
        </w:numPr>
        <w:spacing w:before="60" w:after="60"/>
      </w:pPr>
      <w:r>
        <w:rPr>
          <w:rFonts w:ascii="Arial" w:cs="Arial" w:eastAsia="Arial" w:hAnsi="Arial"/>
          <w:sz w:val="22"/>
          <w:szCs w:val="22"/>
        </w:rPr>
        <w:t xml:space="preserve">Download the .ots timestamp proof file</w:t>
      </w:r>
    </w:p>
    <w:p>
      <w:pPr>
        <w:pStyle w:val="ListParagraph"/>
        <w:numPr>
          <w:ilvl w:val="0"/>
          <w:numId w:val="2"/>
        </w:numPr>
        <w:spacing w:before="60" w:after="60"/>
      </w:pPr>
      <w:r>
        <w:rPr>
          <w:rFonts w:ascii="Arial" w:cs="Arial" w:eastAsia="Arial" w:hAnsi="Arial"/>
          <w:sz w:val="22"/>
          <w:szCs w:val="22"/>
        </w:rPr>
        <w:t xml:space="preserve">Store this .ots file alongside your document in your vault</w:t>
      </w:r>
    </w:p>
    <w:p>
      <w:pPr>
        <w:pStyle w:val="ListParagraph"/>
        <w:numPr>
          <w:ilvl w:val="0"/>
          <w:numId w:val="2"/>
        </w:numPr>
        <w:spacing w:before="60" w:after="60"/>
      </w:pPr>
      <w:r>
        <w:rPr>
          <w:rFonts w:ascii="Arial" w:cs="Arial" w:eastAsia="Arial" w:hAnsi="Arial"/>
          <w:sz w:val="22"/>
          <w:szCs w:val="22"/>
        </w:rPr>
        <w:t xml:space="preserve">The timestamp is anchored to the Bitcoin blockchain within approximately one hour — permanent and tamper-proof</w:t>
      </w:r>
    </w:p>
    <w:p>
      <w:pPr>
        <w:spacing w:before="80" w:after="120"/>
      </w:pPr>
      <w:r>
        <w:rPr>
          <w:rFonts w:ascii="Arial" w:cs="Arial" w:eastAsia="Arial" w:hAnsi="Arial"/>
          <w:sz w:val="22"/>
          <w:szCs w:val="22"/>
        </w:rPr>
        <w:t xml:space="preserve"/>
      </w:r>
    </w:p>
    <w:p>
      <w:pPr>
        <w:spacing w:before="80" w:after="120"/>
      </w:pPr>
      <w:r>
        <w:rPr>
          <w:rFonts w:ascii="Arial" w:cs="Arial" w:eastAsia="Arial" w:hAnsi="Arial"/>
          <w:sz w:val="22"/>
          <w:szCs w:val="22"/>
        </w:rPr>
        <w:t xml:space="preserve">The .ots file proves your document existed at a specific Bitcoin block time. This is legally meaningful in most jurisdictions as evidence of prior creation.</w:t>
      </w:r>
    </w:p>
    <w:p>
      <w:pPr>
        <w:spacing w:before="80" w:after="120"/>
      </w:pPr>
      <w:r>
        <w:rPr>
          <w:rFonts w:ascii="Arial" w:cs="Arial" w:eastAsia="Arial" w:hAnsi="Arial"/>
          <w:sz w:val="22"/>
          <w:szCs w:val="22"/>
        </w:rPr>
        <w:t xml:space="preserve"/>
      </w:r>
    </w:p>
    <w:p>
      <w:pPr>
        <w:spacing w:before="200" w:after="120"/>
      </w:pPr>
      <w:r>
        <w:rPr>
          <w:rFonts w:ascii="Arial" w:cs="Arial" w:eastAsia="Arial" w:hAnsi="Arial"/>
          <w:b/>
          <w:bCs/>
          <w:color w:val="C0392B"/>
          <w:sz w:val="24"/>
          <w:szCs w:val="24"/>
        </w:rPr>
        <w:t xml:space="preserve">Step 4 — Email Confirmation Trail</w:t>
      </w:r>
    </w:p>
    <w:p>
      <w:pPr>
        <w:spacing w:before="80" w:after="120"/>
      </w:pPr>
      <w:r>
        <w:rPr>
          <w:rFonts w:ascii="Arial" w:cs="Arial" w:eastAsia="Arial" w:hAnsi="Arial"/>
          <w:sz w:val="22"/>
          <w:szCs w:val="22"/>
        </w:rPr>
        <w:t xml:space="preserve">Send an email to yourself at a separate email account (Gmail, ProtonMail) with the document attached and the SHA-256 hash in the body. Do not delete this email. The email server timestamp provides a second independent record.</w:t>
      </w:r>
    </w:p>
    <w:p>
      <w:pPr>
        <w:spacing w:before="80" w:after="120"/>
      </w:pPr>
      <w:r>
        <w:rPr>
          <w:rFonts w:ascii="Arial" w:cs="Arial" w:eastAsia="Arial" w:hAnsi="Arial"/>
          <w:sz w:val="22"/>
          <w:szCs w:val="22"/>
        </w:rPr>
        <w:t xml:space="preserve"/>
      </w:r>
    </w:p>
    <w:p>
      <w:pPr>
        <w:spacing w:before="200" w:after="120"/>
      </w:pPr>
      <w:r>
        <w:rPr>
          <w:rFonts w:ascii="Arial" w:cs="Arial" w:eastAsia="Arial" w:hAnsi="Arial"/>
          <w:b/>
          <w:bCs/>
          <w:color w:val="C0392B"/>
          <w:sz w:val="24"/>
          <w:szCs w:val="24"/>
        </w:rPr>
        <w:t xml:space="preserve">Step 5 — SSRN or arXiv Upload for Public Record</w:t>
      </w:r>
    </w:p>
    <w:p>
      <w:pPr>
        <w:spacing w:before="80" w:after="120"/>
      </w:pPr>
      <w:r>
        <w:rPr>
          <w:rFonts w:ascii="Arial" w:cs="Arial" w:eastAsia="Arial" w:hAnsi="Arial"/>
          <w:sz w:val="22"/>
          <w:szCs w:val="22"/>
        </w:rPr>
        <w:t xml:space="preserve">Upload a version of the framework to SSRN or arXiv immediately after timestamping. These platforms assign a permanent DOI and creation date that is publicly verifiable and indexed. This is the strongest form of prior art establishment available without legal cost.</w:t>
      </w:r>
    </w:p>
    <w:p>
      <w:pPr>
        <w:spacing w:before="80" w:after="120"/>
      </w:pPr>
      <w:r>
        <w:rPr>
          <w:rFonts w:ascii="Arial" w:cs="Arial" w:eastAsia="Arial" w:hAnsi="Arial"/>
          <w:sz w:val="22"/>
          <w:szCs w:val="22"/>
        </w:rPr>
        <w:t xml:space="preserve"/>
      </w:r>
    </w:p>
    <w:p>
      <w:pPr>
        <w:spacing w:before="200" w:after="120"/>
      </w:pPr>
      <w:r>
        <w:rPr>
          <w:rFonts w:ascii="Arial" w:cs="Arial" w:eastAsia="Arial" w:hAnsi="Arial"/>
          <w:b/>
          <w:bCs/>
          <w:color w:val="C0392B"/>
          <w:sz w:val="24"/>
          <w:szCs w:val="24"/>
        </w:rPr>
        <w:t xml:space="preserve">Optional Step 6 — Formal Copyright Registration</w:t>
      </w:r>
    </w:p>
    <w:p>
      <w:pPr>
        <w:spacing w:before="80" w:after="120"/>
      </w:pPr>
      <w:r>
        <w:rPr>
          <w:rFonts w:ascii="Arial" w:cs="Arial" w:eastAsia="Arial" w:hAnsi="Arial"/>
          <w:sz w:val="22"/>
          <w:szCs w:val="22"/>
        </w:rPr>
        <w:t xml:space="preserve">In the UAE, register with the Ministry of Economy IP Department. In Sri Lanka, register with the National Intellectual Property Office (NIPO). In Singapore, copyright is automatic upon creation but formal registration adds evidentiary weight. Registration fees are low and the process is straightforward for written works.</w:t>
      </w:r>
    </w:p>
    <w:p>
      <w:pPr>
        <w:spacing w:before="400"/>
      </w:pPr>
    </w:p>
    <w:p>
      <w:pPr>
        <w:pStyle w:val="Heading1"/>
        <w:spacing w:before="360" w:after="200"/>
      </w:pPr>
      <w:r>
        <w:rPr>
          <w:rFonts w:ascii="Arial" w:cs="Arial" w:eastAsia="Arial" w:hAnsi="Arial"/>
          <w:b/>
          <w:bCs/>
          <w:color w:val="1F3A6E"/>
          <w:sz w:val="36"/>
          <w:szCs w:val="36"/>
        </w:rPr>
        <w:t xml:space="preserve">7. Recommended Immediate Action Sequence</w:t>
      </w:r>
    </w:p>
    <w:p>
      <w:pPr>
        <w:pBdr>
          <w:bottom w:val="single" w:color="1F3A6E" w:sz="6" w:space="1"/>
        </w:pBdr>
        <w:spacing w:before="200" w:after="200"/>
      </w:pPr>
    </w:p>
    <w:p>
      <w:pPr>
        <w:spacing w:before="80" w:after="120"/>
      </w:pPr>
      <w:r>
        <w:rPr>
          <w:rFonts w:ascii="Arial" w:cs="Arial" w:eastAsia="Arial" w:hAnsi="Arial"/>
          <w:sz w:val="22"/>
          <w:szCs w:val="22"/>
        </w:rPr>
        <w:t xml:space="preserve">Execute these steps in order within 48 hours of finalizing this document:</w:t>
      </w:r>
    </w:p>
    <w:p>
      <w:pPr>
        <w:spacing w:before="80" w:after="12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sz w:val="22"/>
          <w:szCs w:val="22"/>
        </w:rPr>
        <w:t xml:space="preserve">Save this document to your VeraCrypt vault with intact file timestamps</w:t>
      </w:r>
    </w:p>
    <w:p>
      <w:pPr>
        <w:pStyle w:val="ListParagraph"/>
        <w:numPr>
          <w:ilvl w:val="0"/>
          <w:numId w:val="2"/>
        </w:numPr>
        <w:spacing w:before="60" w:after="60"/>
      </w:pPr>
      <w:r>
        <w:rPr>
          <w:rFonts w:ascii="Arial" w:cs="Arial" w:eastAsia="Arial" w:hAnsi="Arial"/>
          <w:sz w:val="22"/>
          <w:szCs w:val="22"/>
        </w:rPr>
        <w:t xml:space="preserve">Generate SHA-256 hash using PowerShell</w:t>
      </w:r>
    </w:p>
    <w:p>
      <w:pPr>
        <w:pStyle w:val="ListParagraph"/>
        <w:numPr>
          <w:ilvl w:val="0"/>
          <w:numId w:val="2"/>
        </w:numPr>
        <w:spacing w:before="60" w:after="60"/>
      </w:pPr>
      <w:r>
        <w:rPr>
          <w:rFonts w:ascii="Arial" w:cs="Arial" w:eastAsia="Arial" w:hAnsi="Arial"/>
          <w:sz w:val="22"/>
          <w:szCs w:val="22"/>
        </w:rPr>
        <w:t xml:space="preserve">Upload to OpenTimestamps — download and save the .ots proof file</w:t>
      </w:r>
    </w:p>
    <w:p>
      <w:pPr>
        <w:pStyle w:val="ListParagraph"/>
        <w:numPr>
          <w:ilvl w:val="0"/>
          <w:numId w:val="2"/>
        </w:numPr>
        <w:spacing w:before="60" w:after="60"/>
      </w:pPr>
      <w:r>
        <w:rPr>
          <w:rFonts w:ascii="Arial" w:cs="Arial" w:eastAsia="Arial" w:hAnsi="Arial"/>
          <w:sz w:val="22"/>
          <w:szCs w:val="22"/>
        </w:rPr>
        <w:t xml:space="preserve">Email to yourself with hash in body — do not delete</w:t>
      </w:r>
    </w:p>
    <w:p>
      <w:pPr>
        <w:pStyle w:val="ListParagraph"/>
        <w:numPr>
          <w:ilvl w:val="0"/>
          <w:numId w:val="2"/>
        </w:numPr>
        <w:spacing w:before="60" w:after="60"/>
      </w:pPr>
      <w:r>
        <w:rPr>
          <w:rFonts w:ascii="Arial" w:cs="Arial" w:eastAsia="Arial" w:hAnsi="Arial"/>
          <w:sz w:val="22"/>
          <w:szCs w:val="22"/>
        </w:rPr>
        <w:t xml:space="preserve">Upload working paper version to SSRN under your name with today's date</w:t>
      </w:r>
    </w:p>
    <w:p>
      <w:pPr>
        <w:pStyle w:val="ListParagraph"/>
        <w:numPr>
          <w:ilvl w:val="0"/>
          <w:numId w:val="2"/>
        </w:numPr>
        <w:spacing w:before="60" w:after="60"/>
      </w:pPr>
      <w:r>
        <w:rPr>
          <w:rFonts w:ascii="Arial" w:cs="Arial" w:eastAsia="Arial" w:hAnsi="Arial"/>
          <w:sz w:val="22"/>
          <w:szCs w:val="22"/>
        </w:rPr>
        <w:t xml:space="preserve">Publish a framework introduction on LinkedIn to establish public priority with your existing institutional audience</w:t>
      </w:r>
    </w:p>
    <w:p>
      <w:pPr>
        <w:pStyle w:val="ListParagraph"/>
        <w:numPr>
          <w:ilvl w:val="0"/>
          <w:numId w:val="2"/>
        </w:numPr>
        <w:spacing w:before="60" w:after="60"/>
      </w:pPr>
      <w:r>
        <w:rPr>
          <w:rFonts w:ascii="Arial" w:cs="Arial" w:eastAsia="Arial" w:hAnsi="Arial"/>
          <w:sz w:val="22"/>
          <w:szCs w:val="22"/>
        </w:rPr>
        <w:t xml:space="preserve">Opt out of AI training data in Claude settings (Settings → Privacy)</w:t>
      </w:r>
    </w:p>
    <w:p>
      <w:pPr>
        <w:pStyle w:val="ListParagraph"/>
        <w:numPr>
          <w:ilvl w:val="0"/>
          <w:numId w:val="2"/>
        </w:numPr>
        <w:spacing w:before="60" w:after="60"/>
      </w:pPr>
      <w:r>
        <w:rPr>
          <w:rFonts w:ascii="Arial" w:cs="Arial" w:eastAsia="Arial" w:hAnsi="Arial"/>
          <w:sz w:val="22"/>
          <w:szCs w:val="22"/>
        </w:rPr>
        <w:t xml:space="preserve">For all future framework development: ideate with AI, synthesize offline, vault before sharing</w:t>
      </w:r>
    </w:p>
    <w:p>
      <w:pPr>
        <w:spacing w:before="80" w:after="120"/>
      </w:pPr>
      <w:r>
        <w:rPr>
          <w:rFonts w:ascii="Arial" w:cs="Arial" w:eastAsia="Arial" w:hAnsi="Arial"/>
          <w:sz w:val="22"/>
          <w:szCs w:val="22"/>
        </w:rPr>
        <w:t xml:space="preserve"/>
      </w:r>
    </w:p>
    <w:p>
      <w:pPr>
        <w:pBdr>
          <w:bottom w:val="single" w:color="1F3A6E" w:sz="6" w:space="1"/>
        </w:pBdr>
        <w:spacing w:before="200" w:after="200"/>
      </w:pPr>
    </w:p>
    <w:p>
      <w:pPr>
        <w:spacing w:before="200" w:after="100"/>
        <w:jc w:val="center"/>
      </w:pPr>
      <w:r>
        <w:rPr>
          <w:rFonts w:ascii="Arial" w:cs="Arial" w:eastAsia="Arial" w:hAnsi="Arial"/>
          <w:i/>
          <w:iCs/>
          <w:color w:val="888888"/>
          <w:sz w:val="20"/>
          <w:szCs w:val="20"/>
        </w:rPr>
        <w:t xml:space="preserve">© 2026 Sadisha. All rights reserved.</w:t>
      </w:r>
    </w:p>
    <w:p>
      <w:pPr>
        <w:jc w:val="center"/>
      </w:pPr>
      <w:r>
        <w:rPr>
          <w:rFonts w:ascii="Arial" w:cs="Arial" w:eastAsia="Arial" w:hAnsi="Arial"/>
          <w:i/>
          <w:iCs/>
          <w:color w:val="AAAAAA"/>
          <w:sz w:val="18"/>
          <w:szCs w:val="18"/>
        </w:rPr>
        <w:t xml:space="preserve">The Anatomical Market Framework — Version 1.0 — March 17,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THE ANATOMICAL MARKET FRAMEWORK  |  Sadisha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A6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3A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2026-03-16T20:28:06.781Z</dcterms:created>
  <dcterms:modified xsi:type="dcterms:W3CDTF">2026-03-16T20:28:06.782Z</dcterms:modified>
</cp:coreProperties>
</file>

<file path=docProps/custom.xml><?xml version="1.0" encoding="utf-8"?>
<Properties xmlns="http://schemas.openxmlformats.org/officeDocument/2006/custom-properties" xmlns:vt="http://schemas.openxmlformats.org/officeDocument/2006/docPropsVTypes"/>
</file>