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EBAD8">
      <w:pPr>
        <w:ind w:firstLine="240" w:firstLineChars="100"/>
      </w:pPr>
      <w:bookmarkStart w:id="0" w:name="_Toc23751"/>
      <w:r>
        <w:rPr>
          <w:rFonts w:hint="eastAsia"/>
        </w:rPr>
        <w:t>*******************</w:t>
      </w:r>
    </w:p>
    <w:p w14:paraId="4142EC07">
      <w:pPr>
        <w:ind w:left="0" w:leftChars="0" w:firstLine="442" w:firstLineChars="100"/>
        <w:rPr>
          <w:rFonts w:eastAsia="黑体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结课报告</w:t>
      </w:r>
    </w:p>
    <w:p w14:paraId="3F65902D">
      <w:pPr>
        <w:ind w:firstLine="240" w:firstLineChars="100"/>
      </w:pPr>
      <w:r>
        <w:rPr>
          <w:rFonts w:hint="eastAsia"/>
        </w:rPr>
        <w:t>*******************</w:t>
      </w:r>
    </w:p>
    <w:p w14:paraId="3658DAB3">
      <w:pPr>
        <w:ind w:left="480" w:firstLine="480"/>
      </w:pPr>
    </w:p>
    <w:p w14:paraId="09CAE264">
      <w:pPr>
        <w:ind w:left="480" w:firstLine="480"/>
      </w:pPr>
    </w:p>
    <w:p w14:paraId="475BD63E">
      <w:pPr>
        <w:ind w:left="1680" w:leftChars="0" w:firstLine="420" w:firstLineChars="0"/>
        <w:jc w:val="both"/>
        <w:rPr>
          <w:rFonts w:eastAsia="黑体"/>
          <w:b/>
          <w:bCs/>
          <w:color w:val="000000"/>
          <w:sz w:val="72"/>
        </w:rPr>
      </w:pPr>
      <w:r>
        <w:rPr>
          <w:rFonts w:hint="eastAsia" w:eastAsia="黑体"/>
          <w:b/>
          <w:bCs/>
          <w:color w:val="000000"/>
          <w:sz w:val="72"/>
        </w:rPr>
        <w:t>兰州理工大学</w:t>
      </w:r>
    </w:p>
    <w:p w14:paraId="2936E00B">
      <w:pPr>
        <w:ind w:left="480" w:firstLine="1446"/>
        <w:jc w:val="center"/>
        <w:rPr>
          <w:rFonts w:eastAsia="黑体"/>
          <w:b/>
          <w:bCs/>
          <w:color w:val="000000"/>
          <w:sz w:val="72"/>
        </w:rPr>
      </w:pPr>
    </w:p>
    <w:p w14:paraId="393DBF78">
      <w:pPr>
        <w:ind w:left="480" w:firstLine="1540" w:firstLineChars="350"/>
        <w:jc w:val="both"/>
      </w:pPr>
      <w:r>
        <w:rPr>
          <w:rFonts w:hint="eastAsia" w:eastAsia="楷体_GB2312"/>
          <w:color w:val="000000"/>
          <w:sz w:val="44"/>
        </w:rPr>
        <w:t>计算机与</w:t>
      </w:r>
      <w:r>
        <w:rPr>
          <w:rFonts w:hint="eastAsia" w:eastAsia="楷体_GB2312"/>
          <w:color w:val="000000"/>
          <w:sz w:val="44"/>
          <w:lang w:val="en-US" w:eastAsia="zh-CN"/>
        </w:rPr>
        <w:t>人工智能</w:t>
      </w:r>
      <w:r>
        <w:rPr>
          <w:rFonts w:hint="eastAsia" w:eastAsia="楷体_GB2312"/>
          <w:color w:val="000000"/>
          <w:sz w:val="44"/>
        </w:rPr>
        <w:t>学院</w:t>
      </w:r>
    </w:p>
    <w:p w14:paraId="10E71E49">
      <w:pPr>
        <w:ind w:left="480" w:firstLine="480"/>
        <w:jc w:val="center"/>
        <w:rPr>
          <w:color w:val="000000"/>
        </w:rPr>
      </w:pPr>
    </w:p>
    <w:p w14:paraId="0D819922">
      <w:pPr>
        <w:ind w:left="480" w:firstLine="2970" w:firstLineChars="675"/>
        <w:jc w:val="both"/>
        <w:rPr>
          <w:rFonts w:eastAsia="楷体_GB2312" w:asciiTheme="minorHAnsi"/>
          <w:color w:val="000000"/>
          <w:sz w:val="44"/>
        </w:rPr>
      </w:pPr>
      <w:r>
        <w:rPr>
          <w:rFonts w:hint="eastAsia" w:eastAsia="楷体_GB2312" w:asciiTheme="minorHAnsi"/>
          <w:color w:val="000000"/>
          <w:sz w:val="44"/>
        </w:rPr>
        <w:t>20</w:t>
      </w:r>
      <w:r>
        <w:rPr>
          <w:rFonts w:eastAsia="楷体_GB2312" w:asciiTheme="minorHAnsi"/>
          <w:color w:val="000000"/>
          <w:sz w:val="44"/>
        </w:rPr>
        <w:t>2</w:t>
      </w:r>
      <w:r>
        <w:rPr>
          <w:rFonts w:hint="eastAsia" w:eastAsia="楷体_GB2312" w:asciiTheme="minorHAnsi"/>
          <w:color w:val="000000"/>
          <w:sz w:val="44"/>
          <w:lang w:val="en-US" w:eastAsia="zh-CN"/>
        </w:rPr>
        <w:t>5</w:t>
      </w:r>
      <w:r>
        <w:rPr>
          <w:rFonts w:hint="eastAsia" w:eastAsia="楷体_GB2312"/>
          <w:color w:val="000000"/>
          <w:sz w:val="44"/>
        </w:rPr>
        <w:t>年秋</w:t>
      </w:r>
    </w:p>
    <w:p w14:paraId="3FDC732F">
      <w:pPr>
        <w:ind w:firstLine="883"/>
        <w:rPr>
          <w:rFonts w:eastAsia="黑体"/>
          <w:b/>
          <w:bCs/>
          <w:color w:val="000000"/>
          <w:kern w:val="144"/>
          <w:sz w:val="44"/>
          <w:szCs w:val="44"/>
        </w:rPr>
      </w:pPr>
      <w:bookmarkStart w:id="1" w:name="_Toc13138"/>
      <w:bookmarkStart w:id="2" w:name="_Toc968"/>
      <w:bookmarkStart w:id="3" w:name="_Toc7790"/>
      <w:bookmarkStart w:id="4" w:name="_Toc7297"/>
    </w:p>
    <w:p w14:paraId="073BB702">
      <w:pPr>
        <w:ind w:firstLine="883"/>
        <w:rPr>
          <w:rFonts w:eastAsia="黑体"/>
          <w:b/>
          <w:bCs/>
          <w:color w:val="000000"/>
          <w:kern w:val="144"/>
          <w:sz w:val="44"/>
          <w:szCs w:val="44"/>
        </w:rPr>
      </w:pPr>
    </w:p>
    <w:p w14:paraId="18E86E8B">
      <w:pPr>
        <w:ind w:firstLine="883"/>
        <w:rPr>
          <w:rFonts w:eastAsia="黑体"/>
          <w:b/>
          <w:bCs/>
          <w:color w:val="000000"/>
          <w:kern w:val="144"/>
          <w:sz w:val="44"/>
          <w:szCs w:val="44"/>
        </w:rPr>
      </w:pPr>
    </w:p>
    <w:p w14:paraId="27E5816C">
      <w:pPr>
        <w:pStyle w:val="2"/>
        <w:keepNext w:val="0"/>
        <w:keepLines w:val="0"/>
        <w:widowControl/>
        <w:suppressLineNumbers w:val="0"/>
        <w:shd w:val="clear" w:fill="FFFFFF"/>
        <w:tabs>
          <w:tab w:val="left" w:pos="861"/>
        </w:tabs>
        <w:spacing w:before="261" w:beforeAutospacing="0" w:after="174" w:afterAutospacing="0" w:line="15" w:lineRule="atLeast"/>
        <w:ind w:right="0" w:firstLine="660" w:firstLineChars="150"/>
        <w:rPr>
          <w:rFonts w:ascii="Times New Roman" w:hAnsi="Times New Roman" w:eastAsia="宋体" w:cs="Times New Roman"/>
          <w:kern w:val="1"/>
          <w:szCs w:val="28"/>
          <w:u w:val="single"/>
          <w:lang w:eastAsia="ar-SA"/>
        </w:rPr>
      </w:pPr>
      <w:r>
        <w:rPr>
          <w:rFonts w:hint="eastAsia" w:ascii="Times New Roman" w:hAnsi="Times New Roman" w:eastAsia="宋体" w:cs="Times New Roman"/>
          <w:kern w:val="1"/>
          <w:sz w:val="44"/>
          <w:szCs w:val="44"/>
          <w:lang w:eastAsia="ar-SA"/>
        </w:rPr>
        <w:t>题</w:t>
      </w:r>
      <w:r>
        <w:rPr>
          <w:rFonts w:hint="cs" w:ascii="Times New Roman" w:hAnsi="Times New Roman" w:eastAsia="宋体" w:cs="Times New Roman"/>
          <w:kern w:val="1"/>
          <w:sz w:val="44"/>
          <w:szCs w:val="44"/>
          <w:lang w:eastAsia="ar-SA"/>
        </w:rPr>
        <w:t xml:space="preserve"> </w:t>
      </w:r>
      <w:r>
        <w:rPr>
          <w:rFonts w:ascii="Times New Roman" w:hAnsi="Times New Roman" w:eastAsia="宋体" w:cs="Times New Roman"/>
          <w:kern w:val="1"/>
          <w:sz w:val="44"/>
          <w:szCs w:val="44"/>
          <w:lang w:eastAsia="ar-SA"/>
        </w:rPr>
        <w:t xml:space="preserve">   </w:t>
      </w:r>
      <w:r>
        <w:rPr>
          <w:rFonts w:hint="eastAsia" w:ascii="Times New Roman" w:hAnsi="Times New Roman" w:eastAsia="宋体" w:cs="Times New Roman"/>
          <w:kern w:val="1"/>
          <w:sz w:val="44"/>
          <w:szCs w:val="44"/>
          <w:lang w:eastAsia="ar-SA"/>
        </w:rPr>
        <w:t>目：</w:t>
      </w:r>
      <w:r>
        <w:rPr>
          <w:rFonts w:hint="cs" w:ascii="Times New Roman" w:hAnsi="Times New Roman" w:eastAsia="宋体" w:cs="Times New Roman"/>
          <w:kern w:val="1"/>
          <w:sz w:val="44"/>
          <w:szCs w:val="44"/>
          <w:lang w:eastAsia="ar-SA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u w:val="single"/>
          <w:shd w:val="clear" w:fill="FFFFFF"/>
        </w:rPr>
        <w:t>全球健康与经济发展的关系分析</w:t>
      </w:r>
      <w:bookmarkEnd w:id="1"/>
      <w:bookmarkEnd w:id="2"/>
      <w:bookmarkEnd w:id="3"/>
      <w:bookmarkEnd w:id="4"/>
    </w:p>
    <w:p w14:paraId="2AA2C52E">
      <w:pPr>
        <w:ind w:left="0" w:leftChars="0" w:firstLine="660" w:firstLineChars="150"/>
        <w:rPr>
          <w:sz w:val="32"/>
          <w:szCs w:val="32"/>
        </w:rPr>
      </w:pPr>
      <w:r>
        <w:rPr>
          <w:rFonts w:hint="eastAsia"/>
          <w:sz w:val="44"/>
          <w:szCs w:val="44"/>
        </w:rPr>
        <w:t xml:space="preserve">专业班级： </w:t>
      </w:r>
      <w:r>
        <w:rPr>
          <w:rFonts w:hint="eastAsia"/>
          <w:sz w:val="32"/>
          <w:szCs w:val="32"/>
          <w:u w:val="single"/>
        </w:rPr>
        <w:t>2</w:t>
      </w:r>
      <w:r>
        <w:rPr>
          <w:rFonts w:hint="eastAsia"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sz w:val="32"/>
          <w:szCs w:val="32"/>
          <w:u w:val="single"/>
        </w:rPr>
        <w:t>级数据科学与大数据技术一班</w:t>
      </w:r>
      <w:r>
        <w:rPr>
          <w:sz w:val="32"/>
          <w:szCs w:val="32"/>
          <w:u w:val="single"/>
        </w:rPr>
        <w:t xml:space="preserve"> </w:t>
      </w:r>
    </w:p>
    <w:p w14:paraId="41735159">
      <w:pPr>
        <w:ind w:left="0" w:leftChars="0" w:firstLine="660" w:firstLineChars="150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姓    名： </w:t>
      </w:r>
      <w:r>
        <w:rPr>
          <w:rFonts w:hint="eastAsia"/>
          <w:sz w:val="44"/>
          <w:szCs w:val="44"/>
          <w:u w:val="single"/>
        </w:rPr>
        <w:t xml:space="preserve">     </w:t>
      </w:r>
      <w:r>
        <w:rPr>
          <w:rFonts w:hint="eastAsia"/>
          <w:sz w:val="40"/>
          <w:szCs w:val="44"/>
          <w:u w:val="single"/>
          <w:lang w:val="en-US" w:eastAsia="zh-CN"/>
        </w:rPr>
        <w:t>MAO SADITH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0004A2CB">
      <w:pPr>
        <w:ind w:left="0" w:leftChars="0" w:firstLine="660" w:firstLineChars="150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学    号： 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0"/>
          <w:szCs w:val="44"/>
          <w:u w:val="single"/>
        </w:rPr>
        <w:t xml:space="preserve"> </w:t>
      </w:r>
      <w:r>
        <w:rPr>
          <w:rFonts w:hint="eastAsia"/>
          <w:sz w:val="40"/>
          <w:szCs w:val="44"/>
          <w:u w:val="single"/>
          <w:lang w:val="en-US" w:eastAsia="zh-CN"/>
        </w:rPr>
        <w:t xml:space="preserve"> </w:t>
      </w:r>
      <w:r>
        <w:rPr>
          <w:rFonts w:hint="eastAsia"/>
          <w:sz w:val="40"/>
          <w:szCs w:val="44"/>
          <w:u w:val="single"/>
        </w:rPr>
        <w:t>2</w:t>
      </w:r>
      <w:r>
        <w:rPr>
          <w:rFonts w:hint="eastAsia"/>
          <w:sz w:val="40"/>
          <w:szCs w:val="44"/>
          <w:u w:val="single"/>
          <w:lang w:val="en-US" w:eastAsia="zh-CN"/>
        </w:rPr>
        <w:t>46653301001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</w:t>
      </w:r>
    </w:p>
    <w:p w14:paraId="4CE608F5">
      <w:pPr>
        <w:ind w:left="0" w:leftChars="0" w:firstLine="660" w:firstLineChars="150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指导教师：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sz w:val="40"/>
          <w:szCs w:val="44"/>
          <w:u w:val="single"/>
        </w:rPr>
        <w:t>丁凡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2FF27639">
      <w:pPr>
        <w:ind w:left="0" w:leftChars="0" w:firstLine="660" w:firstLineChars="15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 xml:space="preserve">成    绩： </w:t>
      </w:r>
      <w:r>
        <w:rPr>
          <w:rFonts w:hint="eastAsia"/>
          <w:sz w:val="44"/>
          <w:szCs w:val="44"/>
          <w:u w:val="single"/>
        </w:rPr>
        <w:t xml:space="preserve">          </w:t>
      </w:r>
      <w:r>
        <w:rPr>
          <w:sz w:val="44"/>
          <w:szCs w:val="44"/>
          <w:u w:val="single"/>
        </w:rPr>
        <w:t xml:space="preserve">      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03AE3A88">
      <w:pPr>
        <w:ind w:firstLine="1260" w:firstLineChars="350"/>
        <w:rPr>
          <w:sz w:val="36"/>
        </w:rPr>
      </w:pPr>
    </w:p>
    <w:p w14:paraId="4E08345E">
      <w:pPr>
        <w:spacing w:line="260" w:lineRule="atLeast"/>
        <w:ind w:firstLine="480"/>
        <w:rPr>
          <w:szCs w:val="21"/>
        </w:rPr>
      </w:pPr>
    </w:p>
    <w:p w14:paraId="2BCDE67F">
      <w:pPr>
        <w:spacing w:line="260" w:lineRule="atLeast"/>
        <w:ind w:firstLine="480"/>
        <w:rPr>
          <w:szCs w:val="21"/>
        </w:rPr>
      </w:pPr>
    </w:p>
    <w:p w14:paraId="151062A4">
      <w:pPr>
        <w:spacing w:line="260" w:lineRule="atLeast"/>
        <w:ind w:firstLine="480"/>
        <w:rPr>
          <w:szCs w:val="21"/>
        </w:rPr>
      </w:pPr>
    </w:p>
    <w:p w14:paraId="30A4F283">
      <w:pPr>
        <w:spacing w:line="260" w:lineRule="atLeast"/>
        <w:ind w:firstLine="480"/>
        <w:rPr>
          <w:szCs w:val="21"/>
        </w:rPr>
      </w:pPr>
    </w:p>
    <w:p w14:paraId="42F869A0">
      <w:pPr>
        <w:spacing w:line="260" w:lineRule="atLeast"/>
        <w:ind w:firstLine="480"/>
        <w:rPr>
          <w:szCs w:val="21"/>
        </w:rPr>
      </w:pPr>
    </w:p>
    <w:p w14:paraId="4EF8F764">
      <w:pPr>
        <w:spacing w:line="260" w:lineRule="atLeast"/>
        <w:ind w:firstLine="480"/>
        <w:rPr>
          <w:szCs w:val="21"/>
        </w:rPr>
      </w:pPr>
    </w:p>
    <w:sdt>
      <w:sdtPr>
        <w:rPr>
          <w:rFonts w:ascii="宋体" w:hAnsi="宋体"/>
        </w:rPr>
        <w:id w:val="147482785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</w:rPr>
      </w:sdtEndPr>
      <w:sdtContent>
        <w:p w14:paraId="4037901E">
          <w:pPr>
            <w:spacing w:line="360" w:lineRule="auto"/>
            <w:ind w:firstLine="480"/>
            <w:jc w:val="center"/>
            <w:rPr>
              <w:rFonts w:hint="eastAsia" w:ascii="宋体" w:hAnsi="宋体" w:eastAsia="宋体" w:cs="宋体"/>
              <w:b/>
              <w:bCs/>
              <w:sz w:val="36"/>
              <w:szCs w:val="44"/>
            </w:rPr>
          </w:pPr>
          <w:r>
            <w:rPr>
              <w:rFonts w:hint="eastAsia" w:ascii="宋体" w:hAnsi="宋体" w:eastAsia="宋体" w:cs="宋体"/>
              <w:b/>
              <w:bCs/>
              <w:sz w:val="36"/>
              <w:szCs w:val="44"/>
            </w:rPr>
            <w:t>目录</w:t>
          </w:r>
        </w:p>
        <w:p w14:paraId="63EA9DCD">
          <w:pPr>
            <w:pStyle w:val="17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_Toc17263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一、课题背景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_Toc17263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0C3E12F">
          <w:pPr>
            <w:pStyle w:val="17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_Toc8687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  <w:shd w:val="clear" w:fill="FFFFFF"/>
            </w:rPr>
            <w:t xml:space="preserve">二、 </w: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研究目的与意义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_Toc8687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5DE7A85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_Toc22306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8"/>
              <w:shd w:val="clear" w:fill="FFFFFF"/>
            </w:rPr>
            <w:t>1. 研究目的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_Toc22306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CD548E1">
          <w:pPr>
            <w:pStyle w:val="12"/>
            <w:tabs>
              <w:tab w:val="right" w:leader="dot" w:pos="8306"/>
            </w:tabs>
            <w:spacing w:line="360" w:lineRule="auto"/>
            <w:ind w:left="0" w:leftChars="0" w:firstLine="960" w:firstLineChars="4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_Toc9501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  <w:shd w:val="clear" w:fill="FFFFFF"/>
            </w:rPr>
            <w:t>2. 研究意义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_Toc9501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49117D3">
          <w:pPr>
            <w:pStyle w:val="17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_Toc4963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t>三、</w:t>
          </w:r>
          <w:r>
            <w:rPr>
              <w:rFonts w:hint="eastAsia" w:ascii="宋体" w:hAnsi="宋体" w:eastAsia="宋体" w:cs="宋体"/>
            </w:rPr>
            <w:t>数据说明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_Toc4963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1968DC">
          <w:pPr>
            <w:pStyle w:val="12"/>
            <w:tabs>
              <w:tab w:val="right" w:leader="dot" w:pos="8306"/>
            </w:tabs>
            <w:spacing w:line="360" w:lineRule="auto"/>
            <w:ind w:left="0" w:leftChars="0" w:firstLine="960" w:firstLineChars="4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_Toc7457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</w:t>
          </w:r>
          <w:r>
            <w:rPr>
              <w:rFonts w:hint="eastAsia" w:ascii="宋体" w:hAnsi="宋体" w:eastAsia="宋体" w:cs="宋体"/>
              <w:szCs w:val="28"/>
            </w:rPr>
            <w:t xml:space="preserve"> 数据来源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_Toc7457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4533239">
          <w:pPr>
            <w:pStyle w:val="12"/>
            <w:tabs>
              <w:tab w:val="right" w:leader="dot" w:pos="8306"/>
            </w:tabs>
            <w:spacing w:line="360" w:lineRule="auto"/>
            <w:ind w:left="0" w:leftChars="0" w:firstLine="960" w:firstLineChars="4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_Toc10921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2</w:t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.</w:t>
          </w:r>
          <w:r>
            <w:rPr>
              <w:rFonts w:hint="eastAsia" w:ascii="宋体" w:hAnsi="宋体" w:eastAsia="宋体" w:cs="宋体"/>
              <w:szCs w:val="28"/>
            </w:rPr>
            <w:t xml:space="preserve"> 数据在 Excel 中的展示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_Toc10921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1C1D03F">
          <w:pPr>
            <w:pStyle w:val="12"/>
            <w:tabs>
              <w:tab w:val="right" w:leader="dot" w:pos="8306"/>
            </w:tabs>
            <w:spacing w:line="360" w:lineRule="auto"/>
            <w:ind w:left="0" w:leftChars="0" w:firstLine="960" w:firstLineChars="4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_Toc18556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3.</w:t>
          </w:r>
          <w:r>
            <w:rPr>
              <w:rFonts w:hint="eastAsia" w:ascii="宋体" w:hAnsi="宋体" w:eastAsia="宋体" w:cs="宋体"/>
              <w:szCs w:val="28"/>
            </w:rPr>
            <w:t xml:space="preserve"> 数据说明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_Toc18556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041176">
          <w:pPr>
            <w:pStyle w:val="16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_Toc1972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四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、数据加载和清洗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FDE661A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_Toc31783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 数据加载：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_Toc31783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0EFE78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_Toc21481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检查并处理缺失值：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_Toc21481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FD43DB5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删除重复值：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0AC184B">
          <w:pPr>
            <w:pStyle w:val="16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_Toc20882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五</w:t>
          </w:r>
          <w:r>
            <w:rPr>
              <w:rFonts w:hint="eastAsia" w:ascii="宋体" w:hAnsi="宋体" w:eastAsia="宋体" w:cs="宋体"/>
              <w:lang w:eastAsia="zh-CN"/>
            </w:rPr>
            <w:t>、数据分析与可视化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_Toc20882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632233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1.医疗支出与平均寿命的关系分析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_Toc1413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E161356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_Toc12589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2.不同收入组国家的平均寿命分布分析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_Toc12589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B00FD43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_Toc31841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3.不同地区医疗支出与平均寿命对比分析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_Toc31841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396C4F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4.2000–2019 年全球医疗支出与平均寿命趋势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30BDD9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5.医疗支出效率分析（寿命/支出比）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AED2582">
          <w:pPr>
            <w:pStyle w:val="12"/>
            <w:tabs>
              <w:tab w:val="right" w:leader="dot" w:pos="8306"/>
            </w:tabs>
            <w:spacing w:line="360" w:lineRule="auto"/>
            <w:ind w:left="0" w:leftChars="0" w:firstLine="960" w:firstLineChars="4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6.医疗支出与经济发展水平的关系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_Toc8940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E4B5E43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_Toc29378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7.医疗支出与寿命增长率的关系分析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_Toc29378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8B142B">
          <w:pPr>
            <w:pStyle w:val="1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_Toc28782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</w:rPr>
            <w:t>8.教育水平与平均寿命的相关性分析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_Toc28782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3A82E5C">
          <w:pPr>
            <w:pStyle w:val="16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_Toc10515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六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、总结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_Toc10515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0E7EEA7">
          <w:pPr>
            <w:pStyle w:val="16"/>
            <w:tabs>
              <w:tab w:val="right" w:leader="dot" w:pos="8306"/>
            </w:tabs>
            <w:spacing w:line="360" w:lineRule="auto"/>
            <w:ind w:left="0" w:leftChars="0" w:firstLine="0" w:firstLineChars="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_Toc16020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七、学习体会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_Toc16020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9E9FF12">
          <w:pPr>
            <w:spacing w:line="360" w:lineRule="auto"/>
            <w:ind w:firstLine="48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60EB17A0">
      <w:pPr>
        <w:spacing w:line="360" w:lineRule="auto"/>
        <w:ind w:firstLine="480"/>
        <w:rPr>
          <w:rFonts w:hint="eastAsia" w:ascii="宋体" w:hAnsi="宋体" w:eastAsia="宋体" w:cs="宋体"/>
          <w:szCs w:val="21"/>
        </w:rPr>
      </w:pPr>
    </w:p>
    <w:p w14:paraId="35F636E8">
      <w:pPr>
        <w:pStyle w:val="38"/>
        <w:spacing w:line="360" w:lineRule="auto"/>
        <w:ind w:firstLine="480"/>
        <w:rPr>
          <w:rFonts w:hint="eastAsia" w:ascii="宋体" w:hAnsi="宋体" w:eastAsia="宋体" w:cs="宋体"/>
        </w:rPr>
      </w:pPr>
    </w:p>
    <w:p w14:paraId="41A53DB2">
      <w:pPr>
        <w:pStyle w:val="39"/>
        <w:pageBreakBefore/>
        <w:spacing w:line="360" w:lineRule="auto"/>
        <w:ind w:firstLine="640"/>
        <w:jc w:val="center"/>
        <w:rPr>
          <w:rStyle w:val="36"/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Style w:val="36"/>
          <w:rFonts w:hint="eastAsia" w:ascii="宋体" w:hAnsi="宋体" w:eastAsia="宋体" w:cs="宋体"/>
          <w:b/>
          <w:bCs/>
          <w:sz w:val="32"/>
          <w:szCs w:val="24"/>
        </w:rPr>
        <w:t>摘  要</w:t>
      </w:r>
    </w:p>
    <w:p w14:paraId="7B3CA037">
      <w:pPr>
        <w:pStyle w:val="39"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4"/>
        </w:rPr>
      </w:pPr>
    </w:p>
    <w:p w14:paraId="722F7125">
      <w:pPr>
        <w:pStyle w:val="19"/>
        <w:keepNext w:val="0"/>
        <w:keepLines w:val="0"/>
        <w:widowControl/>
        <w:suppressLineNumbers w:val="0"/>
      </w:pPr>
      <w:r>
        <w:t>本报告以全球各国的寿命与经济发展数据为基础，运用 Python 数据分析与可视化技术，对医疗支出、教育水平、经济发展与居民寿命之间的关系进行了系统研究。通过对多个维度的数据清洗、探索和可视化分析，发现医疗投入与居民平均寿命总体呈显著正相关，不同收入组国家之间存在明显差异：高收入国家的医疗支出占比与寿命均处于较高水平，而低收入国家则表现出较大的区域性差距。此外，教育年限与人均寿命之间亦呈稳定的正相关关系，表明教育水平提升能间接促进健康水平改善。</w:t>
      </w:r>
    </w:p>
    <w:p w14:paraId="03916450">
      <w:pPr>
        <w:pStyle w:val="19"/>
        <w:keepNext w:val="0"/>
        <w:keepLines w:val="0"/>
        <w:widowControl/>
        <w:suppressLineNumbers w:val="0"/>
      </w:pPr>
      <w:r>
        <w:t>报告共设计八个分析模块，从宏观趋势、地区分布、经济结构、教育影响等角度对全球健康与发展的互动机制进行探讨。结果显示，医疗支出的效率、经济增长水平及教育普及程度是决定寿命差异的核心因素。本研究不仅为全球健康与经济协调发展提供了数据支撑，也为各国制定科学的卫生与教育政策提供了有益参考。</w:t>
      </w:r>
    </w:p>
    <w:p w14:paraId="1C90D638">
      <w:pPr>
        <w:widowControl/>
        <w:spacing w:before="100" w:beforeAutospacing="1" w:after="100" w:afterAutospacing="1" w:line="360" w:lineRule="auto"/>
        <w:ind w:firstLine="480" w:firstLineChars="0"/>
        <w:rPr>
          <w:rFonts w:hint="eastAsia" w:ascii="宋体" w:hAnsi="宋体" w:eastAsia="宋体" w:cs="宋体"/>
          <w:kern w:val="0"/>
        </w:rPr>
      </w:pPr>
    </w:p>
    <w:p w14:paraId="7C2F349C">
      <w:pPr>
        <w:pStyle w:val="39"/>
        <w:spacing w:line="360" w:lineRule="auto"/>
        <w:ind w:firstLine="640"/>
        <w:rPr>
          <w:rStyle w:val="36"/>
          <w:rFonts w:hint="eastAsia" w:ascii="宋体" w:hAnsi="宋体" w:eastAsia="宋体" w:cs="宋体"/>
          <w:sz w:val="32"/>
          <w:szCs w:val="24"/>
        </w:rPr>
      </w:pPr>
    </w:p>
    <w:p w14:paraId="20091F9C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275CC62B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024A0E80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3162A0E0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228D8BA0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4CB06F6E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17E24158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597BCCF9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65E70050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3FF13B00">
      <w:pPr>
        <w:spacing w:line="360" w:lineRule="auto"/>
        <w:ind w:left="480" w:firstLine="0" w:firstLineChars="0"/>
        <w:rPr>
          <w:rFonts w:hint="eastAsia" w:ascii="宋体" w:hAnsi="宋体" w:eastAsia="宋体" w:cs="宋体"/>
        </w:rPr>
      </w:pPr>
    </w:p>
    <w:p w14:paraId="6CB42DD5">
      <w:pPr>
        <w:pStyle w:val="3"/>
        <w:bidi w:val="0"/>
        <w:spacing w:line="360" w:lineRule="auto"/>
        <w:rPr>
          <w:rFonts w:hint="eastAsia" w:ascii="宋体" w:hAnsi="宋体" w:eastAsia="宋体" w:cs="宋体"/>
          <w:b/>
          <w:bCs/>
          <w:lang w:eastAsia="zh-CN"/>
        </w:rPr>
      </w:pPr>
      <w:bookmarkStart w:id="5" w:name="_Toc17263"/>
      <w:r>
        <w:rPr>
          <w:rFonts w:hint="eastAsia" w:ascii="宋体" w:hAnsi="宋体" w:eastAsia="宋体" w:cs="宋体"/>
          <w:b/>
          <w:bCs/>
          <w:lang w:eastAsia="zh-CN"/>
        </w:rPr>
        <w:t>一、课题背景</w:t>
      </w:r>
      <w:bookmarkEnd w:id="0"/>
      <w:bookmarkEnd w:id="5"/>
    </w:p>
    <w:p w14:paraId="38D18314">
      <w:pPr>
        <w:bidi w:val="0"/>
        <w:spacing w:line="360" w:lineRule="auto"/>
        <w:rPr>
          <w:rFonts w:hint="eastAsia" w:ascii="宋体" w:hAnsi="宋体" w:eastAsia="宋体" w:cs="宋体"/>
          <w:szCs w:val="24"/>
        </w:rPr>
      </w:pPr>
      <w:bookmarkStart w:id="6" w:name="_Toc13812"/>
      <w:r>
        <w:rPr>
          <w:rFonts w:hint="eastAsia" w:ascii="宋体" w:hAnsi="宋体" w:eastAsia="宋体" w:cs="宋体"/>
        </w:rPr>
        <w:t>在当今全球化与信息化的背景下，公共健康与经济发展的关系成为全球关注的核心议题。健康不仅是个体幸福的重要组成部分，更是社会可持续发展的基础。经济增长能够提升医疗资源与教育水平，从而改善居民健康状况。但各国在经济水平、教育程度和健康投资方面差异明显，导致居民寿命存在较大差距。本研究旨在通过数据分析方法揭示经济与健康之间的互动机制，为全球公共卫生与社会政策制定提供参考。</w:t>
      </w:r>
    </w:p>
    <w:p w14:paraId="29E6328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435" w:beforeAutospacing="0" w:after="29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</w:pPr>
      <w:bookmarkStart w:id="7" w:name="_Toc8687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研究目的与意义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instrText xml:space="preserve"> HYPERLINK "http://localhost:8888/notebooks/Desktop/CS Survey/week 1/Python Final Project/Untitled1.ipynb?" \l "%E4%BA%8C%E3%80%81%E7%A0%94%E7%A9%B6%E7%9B%AE%E7%9A%84%E4%B8%8E%E6%84%8F%E4%B9%89"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end"/>
      </w:r>
      <w:bookmarkEnd w:id="7"/>
    </w:p>
    <w:p w14:paraId="46CD3E1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435" w:beforeAutospacing="0" w:after="290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</w:rPr>
      </w:pPr>
      <w:bookmarkStart w:id="8" w:name="_Toc22306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1. 研究目的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instrText xml:space="preserve"> HYPERLINK "http://localhost:8888/notebooks/Desktop/CS Survey/week 1/Python Final Project/Untitled1.ipynb?" \l "1.-%E7%A0%94%E7%A9%B6%E7%9B%AE%E7%9A%84"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8"/>
          <w:szCs w:val="28"/>
          <w:u w:val="none"/>
          <w:shd w:val="clear" w:fill="FFFFFF"/>
        </w:rPr>
        <w:fldChar w:fldCharType="end"/>
      </w:r>
      <w:bookmarkEnd w:id="8"/>
    </w:p>
    <w:p w14:paraId="524E6123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本研究旨在通过数据分析的方式，探讨</w:t>
      </w: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全球范围内健康状况与经济发展水平之间的内在联系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，以期揭示以下几个关键问题：</w:t>
      </w:r>
    </w:p>
    <w:p w14:paraId="14756EBB">
      <w:pPr>
        <w:pStyle w:val="19"/>
        <w:keepNext w:val="0"/>
        <w:keepLines w:val="0"/>
        <w:widowControl/>
        <w:suppressLineNumbers w:val="0"/>
        <w:spacing w:before="0" w:beforeAutospacing="0" w:after="210" w:afterAutospacing="0" w:line="360" w:lineRule="auto"/>
        <w:ind w:right="0"/>
        <w:jc w:val="left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经济发展与健康水平的关系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通过分析各国的人均 GDP 与平均寿命、医疗支出等指标，验证经济水平是否对居民健康状况具有显著影响。</w:t>
      </w:r>
    </w:p>
    <w:p w14:paraId="445A9388">
      <w:pPr>
        <w:pStyle w:val="19"/>
        <w:keepNext w:val="0"/>
        <w:keepLines w:val="0"/>
        <w:widowControl/>
        <w:suppressLineNumbers w:val="0"/>
        <w:spacing w:before="0" w:beforeAutospacing="0" w:after="210" w:afterAutospacing="0" w:line="360" w:lineRule="auto"/>
        <w:ind w:right="0"/>
        <w:jc w:val="left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医疗投入的有效性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探讨医疗支出占 GDP 比例与平均寿命的相关性，评估不同国家或地区医疗资源投入的效率与产出差异。</w:t>
      </w:r>
    </w:p>
    <w:p w14:paraId="1A06A804">
      <w:pPr>
        <w:pStyle w:val="19"/>
        <w:keepNext w:val="0"/>
        <w:keepLines w:val="0"/>
        <w:widowControl/>
        <w:suppressLineNumbers w:val="0"/>
        <w:spacing w:before="0" w:beforeAutospacing="0" w:after="210" w:afterAutospacing="0" w:line="360" w:lineRule="auto"/>
        <w:ind w:right="0"/>
        <w:jc w:val="left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教育水平的中介作用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研究教育因素（如平均受教育年限）在健康与经济之间的传导路径，分析教育提升是否能进一步促进健康改善。</w:t>
      </w:r>
    </w:p>
    <w:p w14:paraId="371E5990">
      <w:pPr>
        <w:pStyle w:val="19"/>
        <w:keepNext w:val="0"/>
        <w:keepLines w:val="0"/>
        <w:widowControl/>
        <w:suppressLineNumbers w:val="0"/>
        <w:spacing w:before="0" w:beforeAutospacing="0" w:after="210" w:afterAutospacing="0" w:line="360" w:lineRule="auto"/>
        <w:ind w:right="0"/>
        <w:jc w:val="left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区域与时间维度的差异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比较不同地区、不同收入水平国家在健康与经济发展方面的变化趋势，分析其背后的社会、政策与结构性原因。</w:t>
      </w:r>
    </w:p>
    <w:p w14:paraId="24287FAC">
      <w:pPr>
        <w:pStyle w:val="19"/>
        <w:keepNext w:val="0"/>
        <w:keepLines w:val="0"/>
        <w:widowControl/>
        <w:suppressLineNumbers w:val="0"/>
        <w:spacing w:before="0" w:beforeAutospacing="0" w:after="210" w:afterAutospacing="0" w:line="360" w:lineRule="auto"/>
        <w:ind w:right="7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通过 Python 数据分析、统计建模与可视化展示，本项目希望建立一个系统的视角，让数据“讲述”经济发展与健康水平之间的互动故事。</w:t>
      </w:r>
    </w:p>
    <w:p w14:paraId="73C8A459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hd w:val="clear" w:fill="FFFFFF"/>
        <w:spacing w:before="363" w:beforeAutospacing="0" w:after="242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30"/>
          <w:szCs w:val="30"/>
        </w:rPr>
      </w:pPr>
      <w:bookmarkStart w:id="9" w:name="_Toc9501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2. 研究意义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30"/>
          <w:szCs w:val="30"/>
          <w:u w:val="none"/>
          <w:shd w:val="clear" w:fill="FFFFFF"/>
        </w:rPr>
        <w:instrText xml:space="preserve"> HYPERLINK "http://localhost:8888/notebooks/Desktop/CS Survey/week 1/Python Final Project/Untitled1.ipynb?" \l "2.-%E7%A0%94%E7%A9%B6%E6%84%8F%E4%B9%89"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30"/>
          <w:szCs w:val="30"/>
          <w:u w:val="none"/>
          <w:shd w:val="clear" w:fill="FFFFFF"/>
        </w:rPr>
        <w:fldChar w:fldCharType="end"/>
      </w:r>
      <w:bookmarkEnd w:id="9"/>
    </w:p>
    <w:p w14:paraId="2E23DC78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302" w:beforeAutospacing="0" w:after="202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（1）学术意义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instrText xml:space="preserve"> HYPERLINK "http://localhost:8888/notebooks/Desktop/CS Survey/week 1/Python Final Project/Untitled1.ipynb?" \l "%EF%BC%881%EF%BC%89%E5%AD%A6%E6%9C%AF%E6%84%8F%E4%B9%89"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end"/>
      </w:r>
    </w:p>
    <w:p w14:paraId="368F7646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本研究以公开数据为基础，运用 Python 工具进行探索性数据分析与可视化，既有助于加深对全球健康经济关系的理解，也体现了数据科学方法在社会经济研究中的应用价值。</w:t>
      </w:r>
    </w:p>
    <w:p w14:paraId="7D722FC7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302" w:beforeAutospacing="0" w:after="202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（2）现实意义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instrText xml:space="preserve"> HYPERLINK "http://localhost:8888/notebooks/Desktop/CS Survey/week 1/Python Final Project/Untitled1.ipynb?" \l "%EF%BC%882%EF%BC%89%E7%8E%B0%E5%AE%9E%E6%84%8F%E4%B9%89"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end"/>
      </w:r>
    </w:p>
    <w:p w14:paraId="458B6DA6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健康是社会进步与经济繁荣的基础。通过分析各国在医疗支出、教育水平与寿命之间的关联，可以为政策制定者提供量化参考，帮助其优化公共卫生投入结构，提高资源配置效率。</w:t>
      </w:r>
    </w:p>
    <w:p w14:paraId="2756FADE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302" w:beforeAutospacing="0" w:after="202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（3）数据科学教育意义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instrText xml:space="preserve"> HYPERLINK "http://localhost:8888/notebooks/Desktop/CS Survey/week 1/Python Final Project/Untitled1.ipynb?" \l "%EF%BC%883%EF%BC%89%E6%95%B0%E6%8D%AE%E7%A7%91%E5%AD%A6%E6%95%99%E8%82%B2%E6%84%8F%E4%B9%89"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end"/>
      </w:r>
    </w:p>
    <w:p w14:paraId="44937E2F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该课题涵盖了数据预处理、统计描述、可视化分析、回归建模等核心技能，是 Python 数据处理课程理论与实践结合的良好示范，有助于培养数据驱动的分析思维与社会观察能力。</w:t>
      </w:r>
    </w:p>
    <w:p w14:paraId="6A904646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302" w:beforeAutospacing="0" w:after="202" w:afterAutospacing="0" w:line="360" w:lineRule="auto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（4）全球可持续发展意义</w: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instrText xml:space="preserve"> HYPERLINK "http://localhost:8888/notebooks/Desktop/CS Survey/week 1/Python Final Project/Untitled1.ipynb?" \l "%EF%BC%884%EF%BC%89%E5%85%A8%E7%90%83%E5%8F%AF%E6%8C%81%E7%BB%AD%E5%8F%91%E5%B1%95%E6%84%8F%E4%B9%89" \t "http://localhost:8888/notebooks/Desktop/CS%20Survey/week%201/Python%20Final%20Project/_self" </w:instrText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0D47A1"/>
          <w:spacing w:val="0"/>
          <w:sz w:val="25"/>
          <w:szCs w:val="25"/>
          <w:u w:val="none"/>
          <w:shd w:val="clear" w:fill="FFFFFF"/>
        </w:rPr>
        <w:fldChar w:fldCharType="end"/>
      </w:r>
    </w:p>
    <w:p w14:paraId="0961B3EF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健康与经济的协调发展是联合国可持续发展目标（SDGs）的关键内容之一。本研究以实证数据揭示其互动关系，有助于推动全球健康公平与可持续发展的学术讨论。</w:t>
      </w:r>
    </w:p>
    <w:p w14:paraId="1B70E2C1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</w:p>
    <w:p w14:paraId="124410B7">
      <w:pPr>
        <w:pStyle w:val="3"/>
        <w:numPr>
          <w:ilvl w:val="0"/>
          <w:numId w:val="0"/>
        </w:numPr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</w:rPr>
      </w:pPr>
      <w:bookmarkStart w:id="10" w:name="_Toc4963"/>
      <w:r>
        <w:rPr>
          <w:rFonts w:hint="eastAsia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b/>
          <w:bCs/>
        </w:rPr>
        <w:t>数据说明</w:t>
      </w:r>
      <w:bookmarkEnd w:id="6"/>
      <w:bookmarkEnd w:id="10"/>
    </w:p>
    <w:p w14:paraId="0C35362D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bookmarkStart w:id="11" w:name="_Toc745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 xml:space="preserve"> 数据来源</w:t>
      </w:r>
      <w:bookmarkEnd w:id="11"/>
    </w:p>
    <w:p w14:paraId="6BA5A95E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研究数据来源于 Kaggle 平台公开的全球健康与经济发展数据集，主要整合自世界卫生组织（WHO）与世界银行（World Bank）。数据涵盖 2000 至 2019 年全球多个国家的健康与经济指标，包括平均寿命、医疗支出、人均 GDP、教育水平等。该数据集具有较高的可信度与完整性，能较好地反映全球长期的健康发展趋势。</w:t>
      </w:r>
    </w:p>
    <w:p w14:paraId="1567CC39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bookmarkStart w:id="12" w:name="_Toc10921"/>
      <w:r>
        <w:rPr>
          <w:rFonts w:hint="eastAsia" w:ascii="宋体" w:hAnsi="宋体" w:eastAsia="宋体" w:cs="宋体"/>
          <w:sz w:val="28"/>
          <w:szCs w:val="28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 xml:space="preserve"> 数据在 Excel 中的展示</w:t>
      </w:r>
      <w:bookmarkEnd w:id="12"/>
    </w:p>
    <w:p w14:paraId="15BE99D3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原始数据采用 CSV 格式，导入 Excel 后呈现为行列结构。每一行代表某国在特定年份的观测值，主要字段包括：</w:t>
      </w:r>
    </w:p>
    <w:p w14:paraId="5AD1E7CA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Country（国家）</w:t>
      </w:r>
    </w:p>
    <w:p w14:paraId="688E5EFB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Year（年份）</w:t>
      </w:r>
    </w:p>
    <w:p w14:paraId="086783DD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Life expectancy（平均寿命）</w:t>
      </w:r>
    </w:p>
    <w:p w14:paraId="093D105D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Health expenditure (%GDP)（医疗支出占比）</w:t>
      </w:r>
    </w:p>
    <w:p w14:paraId="6A7E278A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GDP per capita（人均 GDP）</w:t>
      </w:r>
    </w:p>
    <w:p w14:paraId="5CC008E7">
      <w:pPr>
        <w:pStyle w:val="1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Schooling（平均受教育年限）</w:t>
      </w:r>
    </w:p>
    <w:p w14:paraId="12040357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bookmarkStart w:id="13" w:name="_Toc18556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 xml:space="preserve"> 数据说明</w:t>
      </w:r>
      <w:bookmarkEnd w:id="13"/>
    </w:p>
    <w:p w14:paraId="542157A4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Python 环境中使用 pandas 进行数据预处理，包括统一列名格式、删除缺失值、标准化单位与数据类型。统计结果显示，全球范围内平均寿命整体呈上升趋势，但不同地区间差异明显。医疗支出与教育水平普遍与寿命呈正相关，为后续建模与多变量分析提供了数据支撑。</w:t>
      </w:r>
    </w:p>
    <w:p w14:paraId="6BCF1F7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</w:p>
    <w:p w14:paraId="0016DDBE">
      <w:pPr>
        <w:pStyle w:val="2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14" w:name="_Toc1972"/>
      <w:bookmarkStart w:id="15" w:name="_Toc1098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、数据加载和清洗</w:t>
      </w:r>
      <w:bookmarkEnd w:id="14"/>
      <w:bookmarkEnd w:id="15"/>
    </w:p>
    <w:p w14:paraId="084575F4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6" w:name="_Toc31783"/>
      <w:bookmarkStart w:id="17" w:name="_Toc10909"/>
      <w:r>
        <w:rPr>
          <w:rFonts w:hint="eastAsia" w:ascii="宋体" w:hAnsi="宋体" w:eastAsia="宋体" w:cs="宋体"/>
          <w:b/>
          <w:bCs/>
          <w:sz w:val="28"/>
          <w:szCs w:val="28"/>
        </w:rPr>
        <w:t>1. 数据加载：</w:t>
      </w:r>
      <w:bookmarkEnd w:id="16"/>
      <w:bookmarkEnd w:id="17"/>
    </w:p>
    <w:p w14:paraId="7860AD63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在本研究中，我们使用来自 </w:t>
      </w:r>
      <w:r>
        <w:rPr>
          <w:rStyle w:val="23"/>
          <w:rFonts w:hint="eastAsia" w:ascii="宋体" w:hAnsi="宋体" w:eastAsia="宋体" w:cs="宋体"/>
        </w:rPr>
        <w:t>Kaggle 平台的全球健康与经济发展数据集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该数据集包含 2000–2019 年全球多个国家的健康与经济指标，包括平均寿命（Life expectancy）、医疗支出（Health expenditure %GDP）、人均 GDP（GDP per capita）和教育水平（Schooling）等。</w:t>
      </w:r>
    </w:p>
    <w:p w14:paraId="20950156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 Python 环境中，我们使用 </w:t>
      </w:r>
      <w:r>
        <w:rPr>
          <w:rStyle w:val="24"/>
          <w:rFonts w:hint="eastAsia" w:ascii="宋体" w:hAnsi="宋体" w:eastAsia="宋体" w:cs="宋体"/>
        </w:rPr>
        <w:t>pandas</w:t>
      </w:r>
      <w:r>
        <w:rPr>
          <w:rFonts w:hint="eastAsia" w:ascii="宋体" w:hAnsi="宋体" w:eastAsia="宋体" w:cs="宋体"/>
        </w:rPr>
        <w:t xml:space="preserve"> 库来加载数据文件：</w:t>
      </w:r>
    </w:p>
    <w:p w14:paraId="4F2C8ADB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41575" cy="1233170"/>
            <wp:effectExtent l="0" t="0" r="15875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AABC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分析说明：</w:t>
      </w:r>
    </w:p>
    <w:p w14:paraId="1BA8C54A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read_csv()</w:t>
      </w:r>
      <w:r>
        <w:rPr>
          <w:rFonts w:hint="eastAsia" w:ascii="宋体" w:hAnsi="宋体" w:eastAsia="宋体" w:cs="宋体"/>
        </w:rPr>
        <w:t xml:space="preserve"> 是 pandas 最常用的数据导入函数，可高效读取 CSV 文件。</w:t>
      </w:r>
    </w:p>
    <w:p w14:paraId="439AEB67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通过 </w:t>
      </w:r>
      <w:r>
        <w:rPr>
          <w:rStyle w:val="24"/>
          <w:rFonts w:hint="eastAsia" w:ascii="宋体" w:hAnsi="宋体" w:eastAsia="宋体" w:cs="宋体"/>
        </w:rPr>
        <w:t>head()</w:t>
      </w:r>
      <w:r>
        <w:rPr>
          <w:rFonts w:hint="eastAsia" w:ascii="宋体" w:hAnsi="宋体" w:eastAsia="宋体" w:cs="宋体"/>
        </w:rPr>
        <w:t xml:space="preserve"> 可以预览数据结构、列名及字段类型，为后续清洗提供依据。</w:t>
      </w:r>
    </w:p>
    <w:p w14:paraId="6BCAC065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导入后，数据以表格（DataFrame）形式呈现，每一行代表某个国家在某一年的统计记录。</w:t>
      </w:r>
    </w:p>
    <w:p w14:paraId="5C43D75F">
      <w:pPr>
        <w:pStyle w:val="3"/>
        <w:spacing w:line="360" w:lineRule="auto"/>
        <w:rPr>
          <w:rFonts w:hint="eastAsia" w:ascii="宋体" w:hAnsi="宋体" w:eastAsia="宋体" w:cs="宋体"/>
          <w:b/>
          <w:bCs/>
        </w:rPr>
      </w:pPr>
      <w:bookmarkStart w:id="18" w:name="_Toc12293"/>
      <w:bookmarkStart w:id="19" w:name="_Toc21481"/>
      <w:r>
        <w:rPr>
          <w:rFonts w:hint="eastAsia" w:ascii="宋体" w:hAnsi="宋体" w:eastAsia="宋体" w:cs="宋体"/>
          <w:b/>
          <w:bCs/>
        </w:rPr>
        <w:t>2. 检查并处理缺失值：</w:t>
      </w:r>
      <w:bookmarkEnd w:id="18"/>
      <w:bookmarkEnd w:id="19"/>
    </w:p>
    <w:p w14:paraId="6391848E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在全球性数据集中，部分年份或国家的指标可能缺失（如 GDP 或寿命数据）。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如果不处理这些缺失项，可能导致统计分析结果出现偏差。</w:t>
      </w:r>
    </w:p>
    <w:p w14:paraId="56759B21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首先检查数据中是否存在缺失值：</w:t>
      </w:r>
    </w:p>
    <w:p w14:paraId="50B2EF4D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检查缺失值情况</w:t>
      </w:r>
      <w:r>
        <w:rPr>
          <w:rFonts w:hint="eastAsia" w:ascii="宋体" w:hAnsi="宋体" w:eastAsia="宋体" w:cs="宋体"/>
          <w:lang w:val="en-US" w:eastAsia="zh-CN"/>
        </w:rPr>
        <w:t xml:space="preserve">: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</w:rPr>
        <w:t>data.isnull().sum()</w:t>
      </w:r>
    </w:p>
    <w:p w14:paraId="5E8BF466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若发现部分字段存在较多缺失值，可根据情况进行以下处理：</w:t>
      </w:r>
    </w:p>
    <w:p w14:paraId="6D3356E4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删除缺失值较多的行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data = data.dropna()</w:t>
      </w:r>
    </w:p>
    <w:p w14:paraId="4E78AD7F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或者使用平均值或中位数填补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1C77264F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data['GDP per capita'].fillna(data['GDP per capita'].mean(), inplace=True)</w:t>
      </w:r>
    </w:p>
    <w:p w14:paraId="28636A88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lang w:val="en-US"/>
        </w:rPr>
      </w:pPr>
      <w:r>
        <w:rPr>
          <w:rStyle w:val="23"/>
          <w:rFonts w:hint="eastAsia" w:ascii="宋体" w:hAnsi="宋体" w:eastAsia="宋体" w:cs="宋体"/>
        </w:rPr>
        <w:t>分析说明：</w:t>
      </w:r>
      <w:r>
        <w:rPr>
          <w:rStyle w:val="23"/>
          <w:rFonts w:hint="eastAsia" w:ascii="宋体" w:hAnsi="宋体" w:eastAsia="宋体" w:cs="宋体"/>
          <w:lang w:val="en-US"/>
        </w:rPr>
        <w:t xml:space="preserve">     </w:t>
      </w:r>
    </w:p>
    <w:p w14:paraId="621323EA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若缺失比例较低（例如低于 5%），直接删除不会显著影响结果。</w:t>
      </w:r>
    </w:p>
    <w:p w14:paraId="4E8A5BB0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若关键字段缺失较多（如平均寿命），可采用 </w:t>
      </w:r>
      <w:r>
        <w:rPr>
          <w:rStyle w:val="23"/>
          <w:rFonts w:hint="eastAsia" w:ascii="宋体" w:hAnsi="宋体" w:eastAsia="宋体" w:cs="宋体"/>
        </w:rPr>
        <w:t>均值或中位数填补法</w:t>
      </w:r>
      <w:r>
        <w:rPr>
          <w:rFonts w:hint="eastAsia" w:ascii="宋体" w:hAnsi="宋体" w:eastAsia="宋体" w:cs="宋体"/>
        </w:rPr>
        <w:t>，以保留更多样本信息。</w:t>
      </w:r>
    </w:p>
    <w:p w14:paraId="6CBAB2C2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通过这些操作，可以有效保证数据完整性，避免后续分析错误。</w:t>
      </w:r>
    </w:p>
    <w:p w14:paraId="5168A035">
      <w:pPr>
        <w:pStyle w:val="3"/>
        <w:spacing w:line="360" w:lineRule="auto"/>
        <w:rPr>
          <w:rFonts w:hint="eastAsia" w:ascii="宋体" w:hAnsi="宋体" w:eastAsia="宋体" w:cs="宋体"/>
          <w:b/>
          <w:bCs/>
        </w:rPr>
      </w:pPr>
      <w:bookmarkStart w:id="20" w:name="_Toc29065"/>
      <w:bookmarkStart w:id="21" w:name="_Toc2817"/>
      <w:r>
        <w:rPr>
          <w:rFonts w:hint="eastAsia" w:ascii="宋体" w:hAnsi="宋体" w:eastAsia="宋体" w:cs="宋体"/>
          <w:b/>
          <w:bCs/>
        </w:rPr>
        <w:t>3. 删除重复值：</w:t>
      </w:r>
      <w:bookmarkEnd w:id="20"/>
      <w:bookmarkEnd w:id="21"/>
    </w:p>
    <w:p w14:paraId="0FACD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>数据集中可能出现重复记录（例如同一国家同一年重复输入），这些重复项会导致计算偏差。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因此，需要进行去重操作：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70150" cy="1186815"/>
            <wp:effectExtent l="0" t="0" r="6350" b="1333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1A13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分析说明：</w:t>
      </w:r>
    </w:p>
    <w:p w14:paraId="362FF496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duplicated()</w:t>
      </w:r>
      <w:r>
        <w:rPr>
          <w:rFonts w:hint="eastAsia" w:ascii="宋体" w:hAnsi="宋体" w:eastAsia="宋体" w:cs="宋体"/>
        </w:rPr>
        <w:t xml:space="preserve"> 可检测重复行，返回布尔值。</w:t>
      </w:r>
    </w:p>
    <w:p w14:paraId="248C6B24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drop_duplicates()</w:t>
      </w:r>
      <w:r>
        <w:rPr>
          <w:rFonts w:hint="eastAsia" w:ascii="宋体" w:hAnsi="宋体" w:eastAsia="宋体" w:cs="宋体"/>
        </w:rPr>
        <w:t xml:space="preserve"> 则直接删除重复项，仅保留唯一记录。</w:t>
      </w:r>
    </w:p>
    <w:p w14:paraId="21D40577">
      <w:pPr>
        <w:pStyle w:val="1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通过去重，数据样本的代表性和准确性得到提升，避免重复统计。</w:t>
      </w:r>
    </w:p>
    <w:p w14:paraId="1E6DF893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</w:p>
    <w:p w14:paraId="750A37D6">
      <w:pPr>
        <w:pStyle w:val="2"/>
        <w:spacing w:line="360" w:lineRule="auto"/>
        <w:rPr>
          <w:rFonts w:hint="eastAsia" w:ascii="宋体" w:hAnsi="宋体" w:eastAsia="宋体" w:cs="宋体"/>
          <w:b/>
          <w:bCs/>
          <w:lang w:eastAsia="zh-CN"/>
        </w:rPr>
      </w:pPr>
      <w:bookmarkStart w:id="22" w:name="_Toc20882"/>
      <w:bookmarkStart w:id="23" w:name="_Toc22902"/>
      <w:r>
        <w:rPr>
          <w:rFonts w:hint="eastAsia" w:ascii="宋体" w:hAnsi="宋体" w:eastAsia="宋体" w:cs="宋体"/>
          <w:b/>
          <w:bCs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lang w:eastAsia="zh-CN"/>
        </w:rPr>
        <w:t>、数据分析与可视化</w:t>
      </w:r>
      <w:bookmarkEnd w:id="22"/>
      <w:bookmarkEnd w:id="23"/>
    </w:p>
    <w:p w14:paraId="240CFABD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4" w:name="_Toc30514"/>
      <w:bookmarkStart w:id="25" w:name="_Toc1413"/>
      <w:r>
        <w:rPr>
          <w:rFonts w:hint="eastAsia" w:ascii="宋体" w:hAnsi="宋体" w:eastAsia="宋体" w:cs="宋体"/>
          <w:b/>
          <w:bCs/>
          <w:sz w:val="24"/>
          <w:szCs w:val="24"/>
        </w:rPr>
        <w:t>1.</w:t>
      </w:r>
      <w:bookmarkEnd w:id="24"/>
      <w:r>
        <w:rPr>
          <w:rFonts w:hint="eastAsia" w:ascii="宋体" w:hAnsi="宋体" w:eastAsia="宋体" w:cs="宋体"/>
          <w:b/>
          <w:bCs/>
          <w:sz w:val="24"/>
          <w:szCs w:val="24"/>
        </w:rPr>
        <w:t>医疗支出与平均寿命的关系分析</w:t>
      </w:r>
      <w:bookmarkEnd w:id="25"/>
    </w:p>
    <w:p w14:paraId="109D6DC6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本部分通过散点图与回归线分析各国医疗支出占 GDP 比例与平均寿命之间的关系。研究目的在于验证“增加医疗投入能否显著延长居民寿命”的假设。通过绘制回归趋势线，可以直观判断二者的线性相关程度。</w:t>
      </w:r>
    </w:p>
    <w:p w14:paraId="41BE51F1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4036060"/>
            <wp:effectExtent l="0" t="0" r="6350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4710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结果显示，医疗支出与平均寿命之间存在显著的正相关关系。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多数国家的散点分布呈上升趋势，即医疗支出占比越高，平均寿命越长。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特别是在发达国家中，这一趋势更加明显。然而在极高支出国家（如美国），寿命提升出现边际递减现象，表明医疗投资效果存在上限。总体来看，适度增加医疗投入对提升居民健康水平具有积极作用。</w:t>
      </w:r>
    </w:p>
    <w:p w14:paraId="7C59DD72">
      <w:pPr>
        <w:spacing w:line="360" w:lineRule="auto"/>
        <w:ind w:firstLine="480"/>
        <w:rPr>
          <w:rFonts w:hint="eastAsia" w:ascii="宋体" w:hAnsi="宋体" w:eastAsia="宋体" w:cs="宋体"/>
        </w:rPr>
      </w:pPr>
    </w:p>
    <w:p w14:paraId="4BC4CFAD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6" w:name="_Toc19622"/>
      <w:bookmarkStart w:id="27" w:name="_Toc12589"/>
      <w:r>
        <w:rPr>
          <w:rFonts w:hint="eastAsia" w:ascii="宋体" w:hAnsi="宋体" w:eastAsia="宋体" w:cs="宋体"/>
          <w:b/>
          <w:bCs/>
          <w:sz w:val="24"/>
          <w:szCs w:val="24"/>
        </w:rPr>
        <w:t>2.</w:t>
      </w:r>
      <w:bookmarkEnd w:id="26"/>
      <w:r>
        <w:rPr>
          <w:rFonts w:hint="eastAsia" w:ascii="宋体" w:hAnsi="宋体" w:eastAsia="宋体" w:cs="宋体"/>
          <w:b/>
          <w:bCs/>
          <w:sz w:val="24"/>
          <w:szCs w:val="24"/>
        </w:rPr>
        <w:t>不同收入组国家的平均寿命分布分析</w:t>
      </w:r>
      <w:bookmarkEnd w:id="27"/>
    </w:p>
    <w:p w14:paraId="04FE80E9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将各国按人均收入水平划分为低收入、中低收入、中高收入和高收入四个组别，利用箱线图展示不同收入国家的平均寿命分布特征，旨在揭示经济水平差异对健康状况的影响。</w:t>
      </w:r>
    </w:p>
    <w:p w14:paraId="63893559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4044950"/>
            <wp:effectExtent l="0" t="0" r="6985" b="1270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9C42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分析结果显示，高收入国家的平均寿命中位数明显高于低收入国家，且分布更集中。低收入国家的寿命差异较大，部分国家存在极低值，反映出医疗资源匮乏与生活条件落后。中高收入国家寿命分布较稳定，说明随着收入水平提升，健康状况逐步改善。总体上，经济水平是影响寿命差异的重要结构性因素。</w:t>
      </w:r>
    </w:p>
    <w:p w14:paraId="76EBF03C">
      <w:pPr>
        <w:spacing w:line="360" w:lineRule="auto"/>
        <w:rPr>
          <w:rFonts w:hint="eastAsia" w:ascii="宋体" w:hAnsi="宋体" w:eastAsia="宋体" w:cs="宋体"/>
        </w:rPr>
      </w:pPr>
    </w:p>
    <w:p w14:paraId="51C0CF44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8" w:name="_Toc29372"/>
      <w:bookmarkStart w:id="29" w:name="_Toc31841"/>
      <w:r>
        <w:rPr>
          <w:rFonts w:hint="eastAsia" w:ascii="宋体" w:hAnsi="宋体" w:eastAsia="宋体" w:cs="宋体"/>
          <w:b/>
          <w:bCs/>
          <w:sz w:val="24"/>
          <w:szCs w:val="24"/>
        </w:rPr>
        <w:t>3.</w:t>
      </w:r>
      <w:bookmarkEnd w:id="28"/>
      <w:r>
        <w:rPr>
          <w:rFonts w:hint="eastAsia" w:ascii="宋体" w:hAnsi="宋体" w:eastAsia="宋体" w:cs="宋体"/>
          <w:b/>
          <w:bCs/>
          <w:sz w:val="24"/>
          <w:szCs w:val="24"/>
        </w:rPr>
        <w:t>不同地区医疗支出与平均寿命对比分析</w:t>
      </w:r>
      <w:bookmarkEnd w:id="29"/>
    </w:p>
    <w:p w14:paraId="0AF78E83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30" w:name="_Toc13780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以地区（如亚洲、欧洲、非洲、北美等）为分类变量，分别计算各地区的平均寿命与医疗支出占比的均值，通过双轴柱状–折线图比较区域间健康与投入水平差异。</w:t>
      </w:r>
    </w:p>
    <w:p w14:paraId="695BC9E8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2993390"/>
            <wp:effectExtent l="0" t="0" r="10160" b="1651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3191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结果显示，欧洲与北美地区的医疗支出比例与平均寿命均处于全球领先地位；亚洲和南美处于中等水平；非洲地区医疗支出和寿命水平均显著偏低。这说明经济与地理因素在健康水平上具有强烈的区域性影响。经济发达地区的医疗体系完善，居民寿命更长，而欠发达地区仍受资源限制。</w:t>
      </w:r>
    </w:p>
    <w:p w14:paraId="06B96327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1" w:name="_Toc560"/>
      <w:r>
        <w:rPr>
          <w:rFonts w:hint="eastAsia" w:ascii="宋体" w:hAnsi="宋体" w:eastAsia="宋体" w:cs="宋体"/>
          <w:b/>
          <w:bCs/>
          <w:sz w:val="24"/>
          <w:szCs w:val="24"/>
        </w:rPr>
        <w:t>4.</w:t>
      </w:r>
      <w:bookmarkEnd w:id="30"/>
      <w:r>
        <w:rPr>
          <w:rFonts w:hint="eastAsia" w:ascii="宋体" w:hAnsi="宋体" w:eastAsia="宋体" w:cs="宋体"/>
          <w:b/>
          <w:bCs/>
          <w:sz w:val="24"/>
          <w:szCs w:val="24"/>
        </w:rPr>
        <w:t>2000–2019 年全球医疗支出与平均寿命趋势</w:t>
      </w:r>
      <w:bookmarkEnd w:id="31"/>
      <w:r>
        <w:rPr>
          <w:rFonts w:hint="eastAsia" w:ascii="宋体" w:hAnsi="宋体" w:eastAsia="宋体" w:cs="宋体"/>
        </w:rPr>
        <w:t xml:space="preserve"> </w:t>
      </w:r>
    </w:p>
    <w:p w14:paraId="039B97C0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32" w:name="_Toc4722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以时间为横轴，计算 2000–2019 年全球平均寿命和医疗支出占 GDP 的年度均值，绘制趋势折线图，分析全球健康与经济发展的时间变化规律。</w:t>
      </w:r>
    </w:p>
    <w:p w14:paraId="06FA650C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29150" cy="2804795"/>
            <wp:effectExtent l="0" t="0" r="0" b="146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039B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趋势分析表明，2000–2019 年间全球平均寿命稳步上升，医疗支出占 GDP 的比例也逐年提高，两者呈同步增长关系。发达国家增速较为平稳，而部分发展中国家增长显著，反映出全球公共卫生体系总体改善的积极趋势。结果说明，经济发展与健康水平在长期尺度上具有持续的正相关。</w:t>
      </w:r>
    </w:p>
    <w:p w14:paraId="0B4B7712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3" w:name="_Toc1196"/>
      <w:r>
        <w:rPr>
          <w:rFonts w:hint="eastAsia" w:ascii="宋体" w:hAnsi="宋体" w:eastAsia="宋体" w:cs="宋体"/>
          <w:b/>
          <w:bCs/>
          <w:sz w:val="24"/>
          <w:szCs w:val="24"/>
        </w:rPr>
        <w:t>5.</w:t>
      </w:r>
      <w:bookmarkEnd w:id="32"/>
      <w:r>
        <w:rPr>
          <w:rFonts w:hint="eastAsia" w:ascii="宋体" w:hAnsi="宋体" w:eastAsia="宋体" w:cs="宋体"/>
          <w:b/>
          <w:bCs/>
          <w:sz w:val="24"/>
          <w:szCs w:val="24"/>
        </w:rPr>
        <w:t>医疗支出效率分析（寿命/支出比）</w:t>
      </w:r>
      <w:bookmarkEnd w:id="33"/>
    </w:p>
    <w:p w14:paraId="57C911A6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34" w:name="_Toc30998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为了衡量医疗投入的实际成效，计算每个国家的“医疗支出效率指标”（即平均寿命除以医疗支出占比），并比较不同国家的效率差异，以探讨医疗资源使用是否合理。</w:t>
      </w:r>
    </w:p>
    <w:p w14:paraId="61F4E7E6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2973070"/>
            <wp:effectExtent l="0" t="0" r="10160" b="1778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C9C9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分析结果显示，一些中等收入国家在相对较低的支出水平下实现了较高寿命，医疗投入产出比高，表现出较好的健康效率；而部分高收入国家尽管支出较高，但效率较低。这表明医疗资源的使用效率不完全取决于投入金额，政策管理与制度优化在提升医疗绩效方面同样重要。</w:t>
      </w:r>
    </w:p>
    <w:p w14:paraId="3D04D1DE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bookmarkStart w:id="35" w:name="_Toc8940"/>
      <w:r>
        <w:rPr>
          <w:rFonts w:hint="eastAsia" w:ascii="宋体" w:hAnsi="宋体" w:eastAsia="宋体" w:cs="宋体"/>
          <w:sz w:val="24"/>
          <w:szCs w:val="24"/>
        </w:rPr>
        <w:t>6.</w:t>
      </w:r>
      <w:bookmarkEnd w:id="34"/>
      <w:r>
        <w:rPr>
          <w:rStyle w:val="23"/>
          <w:rFonts w:hint="eastAsia" w:ascii="宋体" w:hAnsi="宋体" w:eastAsia="宋体" w:cs="宋体"/>
          <w:b/>
          <w:sz w:val="24"/>
          <w:szCs w:val="24"/>
        </w:rPr>
        <w:t>医疗支出与经济发展水平的关系</w:t>
      </w:r>
      <w:bookmarkEnd w:id="35"/>
    </w:p>
    <w:p w14:paraId="004CE9DB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36" w:name="_Toc17696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通过散点图分析人均 GDP 与医疗支出占 GDP 比例之间的关系，并进一步考察经济发展水平对居民健康（平均寿命）的影响，以探讨经济增长与医疗投资的互动关系。</w:t>
      </w:r>
    </w:p>
    <w:p w14:paraId="26DB6131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3570605"/>
            <wp:effectExtent l="0" t="0" r="7620" b="1079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9695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3747135"/>
            <wp:effectExtent l="0" t="0" r="3810" b="57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0EA1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结果显示，人均 GDP 与医疗支出占比总体呈正相关关系，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经济水平越高的国家，其医疗投入相对更充足。同时，人均 GDP 与平均寿命之间也表现出显著的正相关性。在高收入国家中，寿命提升趋于稳定，说明经济增长在一定阶段后，健康改善更多依赖医疗制度与教育水平等社会因素。</w:t>
      </w:r>
    </w:p>
    <w:p w14:paraId="71B49012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7" w:name="_Toc29378"/>
      <w:r>
        <w:rPr>
          <w:rFonts w:hint="eastAsia" w:ascii="宋体" w:hAnsi="宋体" w:eastAsia="宋体" w:cs="宋体"/>
          <w:b/>
          <w:bCs/>
          <w:sz w:val="24"/>
          <w:szCs w:val="24"/>
        </w:rPr>
        <w:t>7.</w:t>
      </w:r>
      <w:bookmarkEnd w:id="36"/>
      <w:r>
        <w:rPr>
          <w:rFonts w:hint="eastAsia" w:ascii="宋体" w:hAnsi="宋体" w:eastAsia="宋体" w:cs="宋体"/>
          <w:b/>
          <w:bCs/>
          <w:sz w:val="24"/>
          <w:szCs w:val="24"/>
        </w:rPr>
        <w:t>医疗支出与寿命增长率的关系分析</w:t>
      </w:r>
      <w:bookmarkEnd w:id="37"/>
    </w:p>
    <w:p w14:paraId="234439DE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38" w:name="_Toc16596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计算各国在 2000–2019 年间的平均寿命增长率，并分析其与同期医疗支出增长的关系，以研究长期医疗投资对健康改善的动态效应。</w:t>
      </w:r>
    </w:p>
    <w:p w14:paraId="3C328178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3696970"/>
            <wp:effectExtent l="0" t="0" r="3810" b="1778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D8F5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分析发现，大多数国家的医疗支出增长与寿命增长率呈正向关系，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说明增加医疗投入对健康改善具有持续性作用。然而部分国家在高支出下寿命增长有限，可能由于资源配置效率不足或老龄化问题突出。这表明健康水平提升不仅依赖支出增长，还取决于政策落实与医疗体系管理质量。</w:t>
      </w:r>
    </w:p>
    <w:p w14:paraId="5645E427">
      <w:pPr>
        <w:pStyle w:val="3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9" w:name="_Toc28782"/>
      <w:r>
        <w:rPr>
          <w:rFonts w:hint="eastAsia" w:ascii="宋体" w:hAnsi="宋体" w:eastAsia="宋体" w:cs="宋体"/>
          <w:b/>
          <w:bCs/>
          <w:sz w:val="24"/>
          <w:szCs w:val="24"/>
        </w:rPr>
        <w:t>8.</w:t>
      </w:r>
      <w:bookmarkEnd w:id="38"/>
      <w:r>
        <w:rPr>
          <w:rFonts w:hint="eastAsia" w:ascii="宋体" w:hAnsi="宋体" w:eastAsia="宋体" w:cs="宋体"/>
          <w:b/>
          <w:bCs/>
          <w:sz w:val="24"/>
          <w:szCs w:val="24"/>
        </w:rPr>
        <w:t>教育水平与平均寿命的相关性分析</w:t>
      </w:r>
      <w:bookmarkEnd w:id="39"/>
    </w:p>
    <w:p w14:paraId="3CFBEEDF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bookmarkStart w:id="40" w:name="_Toc20270"/>
      <w:r>
        <w:rPr>
          <w:rStyle w:val="23"/>
          <w:rFonts w:hint="eastAsia" w:ascii="宋体" w:hAnsi="宋体" w:eastAsia="宋体" w:cs="宋体"/>
        </w:rPr>
        <w:t>分析场景：</w:t>
      </w:r>
      <w:r>
        <w:rPr>
          <w:rFonts w:hint="eastAsia" w:ascii="宋体" w:hAnsi="宋体" w:eastAsia="宋体" w:cs="宋体"/>
        </w:rPr>
        <w:t>通过回归分析教育水平（平均受教育年限）与平均寿命之间的关系，并结合热力图分析教育、经济与健康指标的多维相关性。</w:t>
      </w:r>
    </w:p>
    <w:p w14:paraId="344C5DDA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87570" cy="3420110"/>
            <wp:effectExtent l="0" t="0" r="17780" b="889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4" w:name="_GoBack"/>
      <w:bookmarkEnd w:id="44"/>
    </w:p>
    <w:p w14:paraId="2CBC30AC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75505" cy="3693160"/>
            <wp:effectExtent l="0" t="0" r="10795" b="254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D757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分析结果：</w:t>
      </w:r>
      <w:r>
        <w:rPr>
          <w:rFonts w:hint="eastAsia" w:ascii="宋体" w:hAnsi="宋体" w:eastAsia="宋体" w:cs="宋体"/>
        </w:rPr>
        <w:t>结果表明，教育水平与平均寿命之间存在高度正相关关系，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教育水平越高的国家，居民寿命普遍越长。教育提升能够提高健康意识与生活方式质量，从而间接促进健康水平提高。多变量相关性分析进一步显示，教育、经济和医疗投入三者之间的协同效应最强，说明教育是连接经济增长与健康改善的关键纽带。</w:t>
      </w:r>
    </w:p>
    <w:p w14:paraId="08C2D438">
      <w:pPr>
        <w:pStyle w:val="2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41" w:name="_Toc10515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、总结</w:t>
      </w:r>
      <w:bookmarkEnd w:id="40"/>
      <w:bookmarkEnd w:id="41"/>
    </w:p>
    <w:p w14:paraId="0A3097DC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bookmarkStart w:id="42" w:name="_Toc31984"/>
      <w:r>
        <w:rPr>
          <w:rFonts w:hint="eastAsia" w:ascii="宋体" w:hAnsi="宋体" w:eastAsia="宋体" w:cs="宋体"/>
          <w:sz w:val="24"/>
          <w:szCs w:val="24"/>
        </w:rPr>
        <w:t>本次研究以全球健康与经济发展为核心主题，围绕 2000–2019 年全球多国的经济与健康数据展开分析。通过八个分析模块的系统探索，综合得出以下主要结论：</w:t>
      </w:r>
    </w:p>
    <w:p w14:paraId="175C9B85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sz w:val="24"/>
          <w:szCs w:val="24"/>
        </w:rPr>
        <w:t>医疗支出与平均寿命呈显著正相关关系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医疗投入是提升居民健康水平的主要驱动力，投入增加通常伴随寿命延长，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但在部分高支出国家存在边际递减现象，说明资源配置效率同样关键。</w:t>
      </w:r>
    </w:p>
    <w:p w14:paraId="4D1FB23B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sz w:val="24"/>
          <w:szCs w:val="24"/>
        </w:rPr>
        <w:t>经济水平与健康差距密切相关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高收入国家普遍拥有更长寿命和更完善的医疗体系，而低收入国家寿命较低、健康资源有限，经济实力仍是健康水平差异的主要决定因素。</w:t>
      </w:r>
    </w:p>
    <w:p w14:paraId="1BE07674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sz w:val="24"/>
          <w:szCs w:val="24"/>
        </w:rPr>
        <w:t>教育水平在经济与健康之间起到中介作用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教育水平越高，居民健康意识与生活方式越科学，从而促进健康改善。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这一发现表明，教育发展在提高国民寿命方面具有间接但持久的影响。</w:t>
      </w:r>
    </w:p>
    <w:p w14:paraId="47ABF322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sz w:val="24"/>
          <w:szCs w:val="24"/>
        </w:rPr>
        <w:t>地区发展不平衡依然存在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欧洲与北美地区医疗支出高、寿命长，而非洲和南亚部分地区仍面临医疗资源不足问题，反映出全球公共卫生发展的区域不均衡。</w:t>
      </w:r>
    </w:p>
    <w:p w14:paraId="3F1604BC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sz w:val="24"/>
          <w:szCs w:val="24"/>
        </w:rPr>
        <w:t>医疗支出效率差异显著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一些中等收入国家在有限投入下实现了较好的健康成果，显示合理政策与高效制度的重要性。高支出国家若缺乏结构优化，可能导致投入增加但产出有限。</w:t>
      </w:r>
    </w:p>
    <w:p w14:paraId="47BD646D">
      <w:pPr>
        <w:pStyle w:val="1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总体趋势向好。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2000–2019 年间，全球寿命与医疗支出均呈持续上升趋势，说明世界范围内健康水平整体提升，公共卫生体系逐步完善。</w:t>
      </w:r>
    </w:p>
    <w:p w14:paraId="56AFB640">
      <w:pPr>
        <w:pStyle w:val="19"/>
        <w:keepNext w:val="0"/>
        <w:keepLines w:val="0"/>
        <w:widowControl/>
        <w:suppressLineNumbers w:val="0"/>
        <w:spacing w:line="360" w:lineRule="auto"/>
        <w:ind w:left="0" w:leftChars="0"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总体来看，经济发展、教育水平与医疗投入构成了影响居民健康的三大核心因素。它们之间形成正向协同关系，共同推动全球健康水平提升。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同时，不同国家间的差距表明，未来健康改善的关键在于 </w:t>
      </w:r>
      <w:r>
        <w:rPr>
          <w:rStyle w:val="23"/>
          <w:rFonts w:hint="eastAsia" w:ascii="宋体" w:hAnsi="宋体" w:eastAsia="宋体" w:cs="宋体"/>
        </w:rPr>
        <w:t>公平资源配置、提高医疗效率与强化教育普及</w:t>
      </w:r>
      <w:r>
        <w:rPr>
          <w:rFonts w:hint="eastAsia" w:ascii="宋体" w:hAnsi="宋体" w:eastAsia="宋体" w:cs="宋体"/>
        </w:rPr>
        <w:t>。</w:t>
      </w:r>
    </w:p>
    <w:p w14:paraId="5669669D">
      <w:pPr>
        <w:pStyle w:val="2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43" w:name="_Toc16020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七、学习体会</w:t>
      </w:r>
      <w:bookmarkEnd w:id="42"/>
      <w:bookmarkEnd w:id="43"/>
    </w:p>
    <w:p w14:paraId="0647F087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通过本次课程项目，我系统地学习并实践了数据分析的完整流程，从数据导入、清洗、探索分析到结果可视化的每一步都让我对 Python 的实际应用有了更深的理解。在分析过程中，我逐渐认识到：</w:t>
      </w:r>
    </w:p>
    <w:p w14:paraId="7D2637C8">
      <w:pPr>
        <w:pStyle w:val="1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数据清洗的重要性</w:t>
      </w:r>
      <w:r>
        <w:rPr>
          <w:rFonts w:hint="eastAsia" w:ascii="宋体" w:hAnsi="宋体" w:eastAsia="宋体" w:cs="宋体"/>
        </w:rPr>
        <w:t xml:space="preserve"> —— 干净、规范的数据是获得可靠结果的前提；</w:t>
      </w:r>
    </w:p>
    <w:p w14:paraId="7A6D547D">
      <w:pPr>
        <w:pStyle w:val="1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可视化的价值</w:t>
      </w:r>
      <w:r>
        <w:rPr>
          <w:rFonts w:hint="eastAsia" w:ascii="宋体" w:hAnsi="宋体" w:eastAsia="宋体" w:cs="宋体"/>
        </w:rPr>
        <w:t xml:space="preserve"> —— 不同图表形式能够从多角度揭示数据特征，让复杂关系变得直观；</w:t>
      </w:r>
    </w:p>
    <w:p w14:paraId="3F687D0D">
      <w:pPr>
        <w:pStyle w:val="1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Style w:val="23"/>
          <w:rFonts w:hint="eastAsia" w:ascii="宋体" w:hAnsi="宋体" w:eastAsia="宋体" w:cs="宋体"/>
        </w:rPr>
        <w:t>分析逻辑的严谨性</w:t>
      </w:r>
      <w:r>
        <w:rPr>
          <w:rFonts w:hint="eastAsia" w:ascii="宋体" w:hAnsi="宋体" w:eastAsia="宋体" w:cs="宋体"/>
        </w:rPr>
        <w:t xml:space="preserve"> —— 每一个结论都应以统计结果为支撑，而非主观判断。</w:t>
      </w:r>
    </w:p>
    <w:p w14:paraId="217D3790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此外，本项目让我更加体会到数据分析在社会科学研究中的意义。通过经济、教育、健康等指标的量化研究，我能够从数据中看到真实世界的结构与变化，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理解社会发展背后的规律与影响因素。</w:t>
      </w:r>
    </w:p>
    <w:p w14:paraId="767459EE">
      <w:pPr>
        <w:pStyle w:val="19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强大的数据分析与可视化生态（pandas、matplotlib、seaborn 等）为本次研究提供了高效工具，也让我建立了将编程与研究结合的信心。未来，我希望能在更广泛的学术或实际场景中，继续用数据思维探索社会问题，让分析结果真正服务于科学与社会进步。</w:t>
      </w:r>
    </w:p>
    <w:p w14:paraId="24928342">
      <w:pPr>
        <w:ind w:firstLine="480"/>
      </w:pPr>
    </w:p>
    <w:p w14:paraId="23C235DF">
      <w:pPr>
        <w:ind w:firstLine="480"/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ACA26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77158">
                          <w:pPr>
                            <w:pStyle w:val="1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A77158">
                    <w:pPr>
                      <w:pStyle w:val="1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0E3EA"/>
    <w:multiLevelType w:val="singleLevel"/>
    <w:tmpl w:val="8BF0E3E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EF98B6"/>
    <w:multiLevelType w:val="singleLevel"/>
    <w:tmpl w:val="F7EF98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5D97F6E"/>
    <w:multiLevelType w:val="singleLevel"/>
    <w:tmpl w:val="15D97F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771D256"/>
    <w:multiLevelType w:val="multilevel"/>
    <w:tmpl w:val="2771D256"/>
    <w:lvl w:ilvl="0" w:tentative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space"/>
      <w:lvlText w:val="%2."/>
      <w:lvlJc w:val="left"/>
      <w:pPr>
        <w:ind w:left="426" w:firstLine="0"/>
      </w:pPr>
      <w:rPr>
        <w:rFonts w:hint="eastAsia" w:ascii="黑体" w:hAnsi="Cambria" w:eastAsia="黑体"/>
        <w:b w:val="0"/>
        <w:i w:val="0"/>
        <w:sz w:val="28"/>
      </w:rPr>
    </w:lvl>
    <w:lvl w:ilvl="2" w:tentative="0">
      <w:start w:val="1"/>
      <w:numFmt w:val="decimal"/>
      <w:pStyle w:val="4"/>
      <w:suff w:val="space"/>
      <w:lvlText w:val="%2.%3 "/>
      <w:lvlJc w:val="left"/>
      <w:pPr>
        <w:ind w:left="567" w:firstLine="0"/>
      </w:pPr>
      <w:rPr>
        <w:rFonts w:hint="eastAsia" w:ascii="黑体" w:hAnsi="Cambria" w:eastAsia="黑体"/>
        <w:b w:val="0"/>
        <w:i w:val="0"/>
        <w:sz w:val="28"/>
      </w:rPr>
    </w:lvl>
    <w:lvl w:ilvl="3" w:tentative="0">
      <w:start w:val="1"/>
      <w:numFmt w:val="decimal"/>
      <w:pStyle w:val="5"/>
      <w:suff w:val="space"/>
      <w:lvlText w:val="%2.%3.%4 "/>
      <w:lvlJc w:val="left"/>
      <w:pPr>
        <w:ind w:left="6521" w:firstLine="0"/>
      </w:pPr>
      <w:rPr>
        <w:rFonts w:hint="eastAsia" w:ascii="黑体" w:hAnsi="Cambria" w:eastAsia="黑体"/>
        <w:b w:val="0"/>
        <w:i w:val="0"/>
      </w:rPr>
    </w:lvl>
    <w:lvl w:ilvl="4" w:tentative="0">
      <w:start w:val="1"/>
      <w:numFmt w:val="decimal"/>
      <w:pStyle w:val="6"/>
      <w:suff w:val="space"/>
      <w:lvlText w:val="%2.%3.%4.%5 "/>
      <w:lvlJc w:val="left"/>
      <w:pPr>
        <w:ind w:left="0" w:firstLine="0"/>
      </w:pPr>
      <w:rPr>
        <w:rFonts w:hint="eastAsia" w:ascii="Cambria" w:hAnsi="Cambria"/>
        <w:b w:val="0"/>
        <w:i w:val="0"/>
        <w:sz w:val="28"/>
      </w:rPr>
    </w:lvl>
    <w:lvl w:ilvl="5" w:tentative="0">
      <w:start w:val="1"/>
      <w:numFmt w:val="decimal"/>
      <w:pStyle w:val="7"/>
      <w:suff w:val="space"/>
      <w:lvlText w:val="（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Restart w:val="5"/>
      <w:pStyle w:val="8"/>
      <w:suff w:val="space"/>
      <w:lvlText w:val="%7）"/>
      <w:lvlJc w:val="left"/>
      <w:pPr>
        <w:ind w:left="426" w:firstLine="0"/>
      </w:pPr>
      <w:rPr>
        <w:rFonts w:hint="eastAsia"/>
      </w:rPr>
    </w:lvl>
    <w:lvl w:ilvl="7" w:tentative="0">
      <w:start w:val="1"/>
      <w:numFmt w:val="decimal"/>
      <w:lvlRestart w:val="2"/>
      <w:pStyle w:val="9"/>
      <w:isLgl/>
      <w:suff w:val="space"/>
      <w:lvlText w:val="图%2-%8"/>
      <w:lvlJc w:val="left"/>
      <w:pPr>
        <w:ind w:left="0" w:firstLine="0"/>
      </w:pPr>
      <w:rPr>
        <w:rFonts w:hint="eastAsia" w:ascii="宋体" w:eastAsia="宋体"/>
        <w:b w:val="0"/>
        <w:i w:val="0"/>
        <w:sz w:val="24"/>
      </w:rPr>
    </w:lvl>
    <w:lvl w:ilvl="8" w:tentative="0">
      <w:start w:val="1"/>
      <w:numFmt w:val="decimal"/>
      <w:lvlRestart w:val="2"/>
      <w:pStyle w:val="10"/>
      <w:suff w:val="space"/>
      <w:lvlText w:val="表%2-%9"/>
      <w:lvlJc w:val="left"/>
      <w:pPr>
        <w:ind w:left="2552" w:firstLine="0"/>
      </w:pPr>
      <w:rPr>
        <w:rFonts w:hint="eastAsia" w:ascii="宋体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</w:abstractNum>
  <w:abstractNum w:abstractNumId="4">
    <w:nsid w:val="333718CF"/>
    <w:multiLevelType w:val="singleLevel"/>
    <w:tmpl w:val="333718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3685638"/>
    <w:multiLevelType w:val="singleLevel"/>
    <w:tmpl w:val="336856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E1OWNlY2YxZTU0NmRlYTNiNDk5ZmZjMjllOTY1YmEifQ=="/>
  </w:docVars>
  <w:rsids>
    <w:rsidRoot w:val="5EA54381"/>
    <w:rsid w:val="002D7F14"/>
    <w:rsid w:val="002F5DB0"/>
    <w:rsid w:val="004E5B3C"/>
    <w:rsid w:val="007934A2"/>
    <w:rsid w:val="007C6259"/>
    <w:rsid w:val="008C4E46"/>
    <w:rsid w:val="00A95495"/>
    <w:rsid w:val="00BF2BFA"/>
    <w:rsid w:val="00C80FC9"/>
    <w:rsid w:val="00CA204D"/>
    <w:rsid w:val="00F96989"/>
    <w:rsid w:val="04730898"/>
    <w:rsid w:val="05100D66"/>
    <w:rsid w:val="05D11D1B"/>
    <w:rsid w:val="096D1D5A"/>
    <w:rsid w:val="16A11295"/>
    <w:rsid w:val="1F793327"/>
    <w:rsid w:val="222A28BB"/>
    <w:rsid w:val="2A2A4163"/>
    <w:rsid w:val="2C91331C"/>
    <w:rsid w:val="2F633134"/>
    <w:rsid w:val="2FB92D54"/>
    <w:rsid w:val="39CE35B2"/>
    <w:rsid w:val="3AE3337B"/>
    <w:rsid w:val="43A7763B"/>
    <w:rsid w:val="4A807238"/>
    <w:rsid w:val="4B0215FB"/>
    <w:rsid w:val="520953BD"/>
    <w:rsid w:val="54142030"/>
    <w:rsid w:val="549A1F90"/>
    <w:rsid w:val="57032983"/>
    <w:rsid w:val="58F45A67"/>
    <w:rsid w:val="5AAE0E58"/>
    <w:rsid w:val="5B2D09D9"/>
    <w:rsid w:val="5D951FE1"/>
    <w:rsid w:val="5EA54381"/>
    <w:rsid w:val="5EC86B2F"/>
    <w:rsid w:val="6C2A4B84"/>
    <w:rsid w:val="6D0768D8"/>
    <w:rsid w:val="6F2335A9"/>
    <w:rsid w:val="70E93AE2"/>
    <w:rsid w:val="784B79D8"/>
    <w:rsid w:val="78880AE2"/>
    <w:rsid w:val="7CB00608"/>
    <w:rsid w:val="7DF624BA"/>
    <w:rsid w:val="7F16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2" w:firstLineChars="200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ascii="黑体" w:hAnsi="黑体" w:eastAsia="黑体" w:cs="Times New Roman"/>
      <w:color w:val="000000"/>
      <w:kern w:val="44"/>
      <w:sz w:val="30"/>
      <w:lang w:eastAsia="en-US" w:bidi="en-US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3"/>
    <w:qFormat/>
    <w:uiPriority w:val="0"/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Balloon Text"/>
    <w:basedOn w:val="1"/>
    <w:link w:val="35"/>
    <w:qFormat/>
    <w:uiPriority w:val="0"/>
    <w:pPr>
      <w:spacing w:line="240" w:lineRule="auto"/>
    </w:pPr>
    <w:rPr>
      <w:sz w:val="18"/>
      <w:szCs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Autospacing="1" w:afterAutospacing="1"/>
    </w:pPr>
    <w:rPr>
      <w:rFonts w:cs="Times New Roman"/>
      <w:kern w:val="0"/>
    </w:rPr>
  </w:style>
  <w:style w:type="paragraph" w:styleId="20">
    <w:name w:val="annotation subject"/>
    <w:basedOn w:val="11"/>
    <w:next w:val="11"/>
    <w:link w:val="34"/>
    <w:qFormat/>
    <w:uiPriority w:val="0"/>
    <w:rPr>
      <w:b/>
      <w:bCs/>
    </w:r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character" w:styleId="25">
    <w:name w:val="annotation reference"/>
    <w:basedOn w:val="22"/>
    <w:qFormat/>
    <w:uiPriority w:val="0"/>
    <w:rPr>
      <w:sz w:val="21"/>
      <w:szCs w:val="21"/>
    </w:rPr>
  </w:style>
  <w:style w:type="character" w:customStyle="1" w:styleId="26">
    <w:name w:val="标题 1 字符"/>
    <w:link w:val="2"/>
    <w:qFormat/>
    <w:uiPriority w:val="0"/>
    <w:rPr>
      <w:rFonts w:ascii="黑体" w:hAnsi="黑体" w:eastAsia="黑体" w:cs="Times New Roman"/>
      <w:color w:val="000000"/>
      <w:kern w:val="44"/>
      <w:sz w:val="30"/>
      <w:shd w:val="clear" w:color="auto" w:fill="auto"/>
      <w:lang w:eastAsia="en-US" w:bidi="en-US"/>
    </w:rPr>
  </w:style>
  <w:style w:type="paragraph" w:customStyle="1" w:styleId="27">
    <w:name w:val="正文内容"/>
    <w:basedOn w:val="1"/>
    <w:qFormat/>
    <w:uiPriority w:val="0"/>
    <w:pPr>
      <w:snapToGrid w:val="0"/>
      <w:ind w:firstLine="0"/>
    </w:pPr>
    <w:rPr>
      <w:rFonts w:ascii="宋体" w:hAnsi="宋体" w:cs="Times New Roman"/>
    </w:rPr>
  </w:style>
  <w:style w:type="character" w:customStyle="1" w:styleId="28">
    <w:name w:val="标题 2 字符"/>
    <w:link w:val="3"/>
    <w:qFormat/>
    <w:uiPriority w:val="0"/>
    <w:rPr>
      <w:rFonts w:ascii="Arial" w:hAnsi="Arial" w:eastAsia="黑体"/>
      <w:sz w:val="28"/>
    </w:rPr>
  </w:style>
  <w:style w:type="paragraph" w:customStyle="1" w:styleId="29">
    <w:name w:val="_Style 1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30">
    <w:name w:val="_Style 2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3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3">
    <w:name w:val="批注文字 字符"/>
    <w:basedOn w:val="22"/>
    <w:link w:val="11"/>
    <w:qFormat/>
    <w:uiPriority w:val="0"/>
    <w:rPr>
      <w:rFonts w:ascii="Calibri" w:hAnsi="Calibri" w:cstheme="minorBidi"/>
      <w:kern w:val="2"/>
      <w:sz w:val="24"/>
      <w:szCs w:val="24"/>
    </w:rPr>
  </w:style>
  <w:style w:type="character" w:customStyle="1" w:styleId="34">
    <w:name w:val="批注主题 字符"/>
    <w:basedOn w:val="33"/>
    <w:link w:val="20"/>
    <w:qFormat/>
    <w:uiPriority w:val="0"/>
    <w:rPr>
      <w:rFonts w:ascii="Calibri" w:hAnsi="Calibri" w:cstheme="minorBidi"/>
      <w:b/>
      <w:bCs/>
      <w:kern w:val="2"/>
      <w:sz w:val="24"/>
      <w:szCs w:val="24"/>
    </w:rPr>
  </w:style>
  <w:style w:type="character" w:customStyle="1" w:styleId="35">
    <w:name w:val="批注框文本 字符"/>
    <w:basedOn w:val="22"/>
    <w:link w:val="13"/>
    <w:qFormat/>
    <w:uiPriority w:val="0"/>
    <w:rPr>
      <w:rFonts w:ascii="Calibri" w:hAnsi="Calibri" w:cstheme="minorBidi"/>
      <w:kern w:val="2"/>
      <w:sz w:val="18"/>
      <w:szCs w:val="18"/>
    </w:rPr>
  </w:style>
  <w:style w:type="character" w:customStyle="1" w:styleId="36">
    <w:name w:val="样式2 Char2"/>
    <w:basedOn w:val="22"/>
    <w:qFormat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paragraph" w:customStyle="1" w:styleId="37">
    <w:name w:val="样式61"/>
    <w:basedOn w:val="1"/>
    <w:qFormat/>
    <w:uiPriority w:val="0"/>
    <w:pPr>
      <w:adjustRightInd w:val="0"/>
      <w:snapToGrid w:val="0"/>
      <w:spacing w:before="249" w:beforeLines="80" w:after="249" w:afterLines="80" w:line="312" w:lineRule="atLeast"/>
      <w:ind w:firstLine="0" w:firstLineChars="0"/>
      <w:jc w:val="center"/>
      <w:outlineLvl w:val="0"/>
    </w:pPr>
    <w:rPr>
      <w:rFonts w:ascii="Arial" w:hAnsi="Arial" w:eastAsia="黑体" w:cs="Arial"/>
      <w:kern w:val="0"/>
      <w:sz w:val="32"/>
      <w:szCs w:val="32"/>
    </w:rPr>
  </w:style>
  <w:style w:type="paragraph" w:customStyle="1" w:styleId="38">
    <w:name w:val="样式50"/>
    <w:basedOn w:val="1"/>
    <w:qFormat/>
    <w:uiPriority w:val="0"/>
    <w:pPr>
      <w:adjustRightInd w:val="0"/>
      <w:snapToGrid w:val="0"/>
      <w:spacing w:after="156" w:afterLines="50" w:line="330" w:lineRule="atLeast"/>
      <w:ind w:firstLine="0" w:firstLineChars="0"/>
      <w:jc w:val="center"/>
    </w:pPr>
    <w:rPr>
      <w:rFonts w:ascii="楷体_GB2312" w:hAnsi="Times New Roman" w:eastAsia="楷体_GB2312" w:cs="Times New Roman"/>
      <w:kern w:val="0"/>
      <w:sz w:val="18"/>
      <w:szCs w:val="18"/>
    </w:rPr>
  </w:style>
  <w:style w:type="paragraph" w:customStyle="1" w:styleId="39">
    <w:name w:val="样式73"/>
    <w:basedOn w:val="1"/>
    <w:qFormat/>
    <w:uiPriority w:val="0"/>
    <w:pPr>
      <w:adjustRightInd w:val="0"/>
      <w:snapToGrid w:val="0"/>
      <w:spacing w:line="312" w:lineRule="atLeast"/>
      <w:ind w:firstLine="0" w:firstLineChars="0"/>
      <w:jc w:val="both"/>
    </w:pPr>
    <w:rPr>
      <w:rFonts w:ascii="黑体" w:hAnsi="Times New Roman" w:eastAsia="黑体" w:cs="Times New Roman"/>
      <w:kern w:val="0"/>
      <w:sz w:val="21"/>
      <w:szCs w:val="21"/>
    </w:rPr>
  </w:style>
  <w:style w:type="paragraph" w:customStyle="1" w:styleId="40">
    <w:name w:val="WPSOffice手动目录 3"/>
    <w:qFormat/>
    <w:uiPriority w:val="0"/>
    <w:pPr>
      <w:ind w:left="400" w:leftChars="4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82</Words>
  <Characters>140</Characters>
  <Lines>18</Lines>
  <Paragraphs>14</Paragraphs>
  <TotalTime>55</TotalTime>
  <ScaleCrop>false</ScaleCrop>
  <LinksUpToDate>false</LinksUpToDate>
  <CharactersWithSpaces>220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2024-10-19T04:05:00Z</dcterms:created>
  <dc:creator>文档存本地丢失不负责</dc:creator>
  <cp:lastModifiedBy>MAO SADITH</cp:lastModifiedBy>
  <dcterms:modified xsi:type="dcterms:W3CDTF">2025-11-07T15:10:06Z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F03616A6BC304B48B53F54A83AD45E03_11</vt:lpwstr>
  </property>
  <property fmtid="{D5CDD505-2E9C-101B-9397-08002B2CF9AE}" pid="4" name="KSOTemplateDocerSaveRecord">
    <vt:lpwstr>eyJoZGlkIjoiNDI3MjNkNmNjZGFkMTBmNzdhNWM4Mjk2OTY1MTE2N2UiLCJ1c2VySWQiOiIxNjM5NTczODY5In0=</vt:lpwstr>
  </property>
</Properties>
</file>