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Master Services Agreement Fixture</w:t>
      </w:r>
    </w:p>
    <w:p>
      <w:r>
        <w:t>1. Definitions. Services means the services described in an applicable Statement of Work.</w:t>
      </w:r>
    </w:p>
    <w:p>
      <w:r>
        <w:t>7.2 Termination. Either party may terminate for material breach after a thirty-day cure period.</w:t>
      </w:r>
    </w:p>
    <w:p>
      <w:r>
        <w:t>Confidentiality obligations survive termination for three years.</w:t>
      </w:r>
    </w:p>
    <w:sectPr/>
  </w:body>
</w:document>
</file>