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right"/>
      </w:pPr>
      <w:r>
        <w:rPr>
          <w:b/>
          <w:color w:val="0052CC"/>
          <w:sz w:val="17"/>
        </w:rPr>
        <w:t>DOCUMENT IV | INTERNATIONAL CONTEST SUBMISSION DOSSIER</w:t>
      </w:r>
    </w:p>
    <w:p>
      <w:pPr>
        <w:spacing w:after="40"/>
      </w:pPr>
      <w:r>
        <w:rPr>
          <w:rFonts w:ascii="Arial" w:hAnsi="Arial"/>
          <w:b/>
          <w:color w:val="0F172A"/>
          <w:sz w:val="44"/>
        </w:rPr>
        <w:t>SECURITY SELF-ASSESSMENT REPORT</w:t>
      </w:r>
    </w:p>
    <w:p>
      <w:pPr>
        <w:spacing w:after="360"/>
      </w:pPr>
      <w:r>
        <w:rPr>
          <w:rFonts w:ascii="Arial" w:hAnsi="Arial"/>
          <w:color w:val="475569"/>
          <w:sz w:val="24"/>
        </w:rPr>
        <w:t>Project: AGENT VAULT | Permission-Tier Implementation &amp; Known-Risk Matrix</w:t>
      </w:r>
    </w:p>
    <w:p>
      <w:pPr>
        <w:spacing w:before="320" w:after="120"/>
      </w:pPr>
      <w:r>
        <w:rPr>
          <w:rFonts w:ascii="Arial" w:hAnsi="Arial"/>
          <w:b/>
          <w:color w:val="0F172A"/>
          <w:sz w:val="28"/>
        </w:rPr>
        <w:t>1. Executive Security Summary</w:t>
      </w:r>
    </w:p>
    <w:p>
      <w:r>
        <w:t>This Security Self-Assessment Report provides an exhaustive security review for AGENT VAULT, specifically designed to satisfy Item 05 of the Shenzhen International FinTech Competition (FinTechathon 2026) International Track guidelines. Agent Vault addresses the inherent risks of autonomous Web3 AI agents through a zero-trust permission hierarchy, deterministic code-enforced limits, and explicit risk mitigation strategies.</w:t>
      </w:r>
    </w:p>
    <w:p>
      <w:pPr>
        <w:spacing w:before="320" w:after="120"/>
      </w:pPr>
      <w:r>
        <w:rPr>
          <w:rFonts w:ascii="Arial" w:hAnsi="Arial"/>
          <w:b/>
          <w:color w:val="0F172A"/>
          <w:sz w:val="28"/>
        </w:rPr>
        <w:t>2. Permission-Tier Architecture Implementation</w:t>
      </w:r>
    </w:p>
    <w:p>
      <w:r>
        <w:t>To prevent privilege escalation and unauthorized execution, system privileges are strictly divided into three isolated permission tiers:</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Mar>
              <w:top w:w="120" w:type="dxa"/>
              <w:bottom w:w="120" w:type="dxa"/>
              <w:left w:w="150" w:type="dxa"/>
              <w:right w:w="150" w:type="dxa"/>
            </w:tcMar>
          </w:tcPr>
          <w:p>
            <w:r>
              <w:rPr>
                <w:b/>
                <w:color w:val="FFFFFF"/>
                <w:sz w:val="18"/>
              </w:rPr>
              <w:t>Permission Tier</w:t>
            </w:r>
          </w:p>
        </w:tc>
        <w:tc>
          <w:tcPr>
            <w:tcW w:type="dxa" w:w="2484"/>
            <w:shd w:fill="0F172A"/>
            <w:tcMar>
              <w:top w:w="120" w:type="dxa"/>
              <w:bottom w:w="120" w:type="dxa"/>
              <w:left w:w="150" w:type="dxa"/>
              <w:right w:w="150" w:type="dxa"/>
            </w:tcMar>
          </w:tcPr>
          <w:p>
            <w:r>
              <w:rPr>
                <w:b/>
                <w:color w:val="FFFFFF"/>
                <w:sz w:val="18"/>
              </w:rPr>
              <w:t>Actor / Entity</w:t>
            </w:r>
          </w:p>
        </w:tc>
        <w:tc>
          <w:tcPr>
            <w:tcW w:type="dxa" w:w="2484"/>
            <w:shd w:fill="0F172A"/>
            <w:tcMar>
              <w:top w:w="120" w:type="dxa"/>
              <w:bottom w:w="120" w:type="dxa"/>
              <w:left w:w="150" w:type="dxa"/>
              <w:right w:w="150" w:type="dxa"/>
            </w:tcMar>
          </w:tcPr>
          <w:p>
            <w:r>
              <w:rPr>
                <w:b/>
                <w:color w:val="FFFFFF"/>
                <w:sz w:val="18"/>
              </w:rPr>
              <w:t>Scope of Authority</w:t>
            </w:r>
          </w:p>
        </w:tc>
        <w:tc>
          <w:tcPr>
            <w:tcW w:type="dxa" w:w="2484"/>
            <w:shd w:fill="0F172A"/>
            <w:tcMar>
              <w:top w:w="120" w:type="dxa"/>
              <w:bottom w:w="120" w:type="dxa"/>
              <w:left w:w="150" w:type="dxa"/>
              <w:right w:w="150" w:type="dxa"/>
            </w:tcMar>
          </w:tcPr>
          <w:p>
            <w:r>
              <w:rPr>
                <w:b/>
                <w:color w:val="FFFFFF"/>
                <w:sz w:val="18"/>
              </w:rPr>
              <w:t>Cryptographic / Hard Constraints</w:t>
            </w:r>
          </w:p>
        </w:tc>
      </w:tr>
      <w:tr>
        <w:tc>
          <w:tcPr>
            <w:tcW w:type="dxa" w:w="2484"/>
            <w:shd w:fill="FFFFFF"/>
            <w:tcMar>
              <w:top w:w="100" w:type="dxa"/>
              <w:bottom w:w="100" w:type="dxa"/>
              <w:left w:w="150" w:type="dxa"/>
              <w:right w:w="150" w:type="dxa"/>
            </w:tcMar>
          </w:tcPr>
          <w:p>
            <w:r>
              <w:rPr>
                <w:b/>
                <w:color w:val="334155"/>
                <w:sz w:val="17"/>
              </w:rPr>
              <w:t>Tier 0: Unprivileged Intent Compiler</w:t>
            </w:r>
          </w:p>
        </w:tc>
        <w:tc>
          <w:tcPr>
            <w:tcW w:type="dxa" w:w="2484"/>
            <w:shd w:fill="FFFFFF"/>
            <w:tcMar>
              <w:top w:w="100" w:type="dxa"/>
              <w:bottom w:w="100" w:type="dxa"/>
              <w:left w:w="150" w:type="dxa"/>
              <w:right w:w="150" w:type="dxa"/>
            </w:tcMar>
          </w:tcPr>
          <w:p>
            <w:r>
              <w:rPr>
                <w:color w:val="334155"/>
                <w:sz w:val="17"/>
              </w:rPr>
              <w:t>AI Agent / LLM Subsystem</w:t>
            </w:r>
          </w:p>
        </w:tc>
        <w:tc>
          <w:tcPr>
            <w:tcW w:type="dxa" w:w="2484"/>
            <w:shd w:fill="FFFFFF"/>
            <w:tcMar>
              <w:top w:w="100" w:type="dxa"/>
              <w:bottom w:w="100" w:type="dxa"/>
              <w:left w:w="150" w:type="dxa"/>
              <w:right w:w="150" w:type="dxa"/>
            </w:tcMar>
          </w:tcPr>
          <w:p>
            <w:r>
              <w:rPr>
                <w:color w:val="334155"/>
                <w:sz w:val="17"/>
              </w:rPr>
              <w:t>Natural language parsing, proposal generation, intent structural translation.</w:t>
            </w:r>
          </w:p>
        </w:tc>
        <w:tc>
          <w:tcPr>
            <w:tcW w:type="dxa" w:w="2484"/>
            <w:shd w:fill="FFFFFF"/>
            <w:tcMar>
              <w:top w:w="100" w:type="dxa"/>
              <w:bottom w:w="100" w:type="dxa"/>
              <w:left w:w="150" w:type="dxa"/>
              <w:right w:w="150" w:type="dxa"/>
            </w:tcMar>
          </w:tcPr>
          <w:p>
            <w:r>
              <w:rPr>
                <w:color w:val="334155"/>
                <w:sz w:val="17"/>
              </w:rPr>
              <w:t>Zero signing authority. Zero access to private keys or signing functions.</w:t>
            </w:r>
          </w:p>
        </w:tc>
      </w:tr>
      <w:tr>
        <w:tc>
          <w:tcPr>
            <w:tcW w:type="dxa" w:w="2484"/>
            <w:shd w:fill="F8FAFC"/>
            <w:tcMar>
              <w:top w:w="100" w:type="dxa"/>
              <w:bottom w:w="100" w:type="dxa"/>
              <w:left w:w="150" w:type="dxa"/>
              <w:right w:w="150" w:type="dxa"/>
            </w:tcMar>
          </w:tcPr>
          <w:p>
            <w:r>
              <w:rPr>
                <w:b/>
                <w:color w:val="334155"/>
                <w:sz w:val="17"/>
              </w:rPr>
              <w:t>Tier 1: Deterministic Policy Gatekeeper</w:t>
            </w:r>
          </w:p>
        </w:tc>
        <w:tc>
          <w:tcPr>
            <w:tcW w:type="dxa" w:w="2484"/>
            <w:shd w:fill="F8FAFC"/>
            <w:tcMar>
              <w:top w:w="100" w:type="dxa"/>
              <w:bottom w:w="100" w:type="dxa"/>
              <w:left w:w="150" w:type="dxa"/>
              <w:right w:w="150" w:type="dxa"/>
            </w:tcMar>
          </w:tcPr>
          <w:p>
            <w:r>
              <w:rPr>
                <w:color w:val="334155"/>
                <w:sz w:val="17"/>
              </w:rPr>
              <w:t>FastAPI Policy Engine</w:t>
            </w:r>
          </w:p>
        </w:tc>
        <w:tc>
          <w:tcPr>
            <w:tcW w:type="dxa" w:w="2484"/>
            <w:shd w:fill="F8FAFC"/>
            <w:tcMar>
              <w:top w:w="100" w:type="dxa"/>
              <w:bottom w:w="100" w:type="dxa"/>
              <w:left w:w="150" w:type="dxa"/>
              <w:right w:w="150" w:type="dxa"/>
            </w:tcMar>
          </w:tcPr>
          <w:p>
            <w:r>
              <w:rPr>
                <w:color w:val="334155"/>
                <w:sz w:val="17"/>
              </w:rPr>
              <w:t>Validation of single tx limit, daily spend velocity, recipient allowlist, and balance simulation.</w:t>
            </w:r>
          </w:p>
        </w:tc>
        <w:tc>
          <w:tcPr>
            <w:tcW w:type="dxa" w:w="2484"/>
            <w:shd w:fill="F8FAFC"/>
            <w:tcMar>
              <w:top w:w="100" w:type="dxa"/>
              <w:bottom w:w="100" w:type="dxa"/>
              <w:left w:w="150" w:type="dxa"/>
              <w:right w:w="150" w:type="dxa"/>
            </w:tcMar>
          </w:tcPr>
          <w:p>
            <w:r>
              <w:rPr>
                <w:color w:val="334155"/>
                <w:sz w:val="17"/>
              </w:rPr>
              <w:t>Immutable, hard-coded code rules. Rejects any out-of-bound payload immediately.</w:t>
            </w:r>
          </w:p>
        </w:tc>
      </w:tr>
      <w:tr>
        <w:tc>
          <w:tcPr>
            <w:tcW w:type="dxa" w:w="2484"/>
            <w:shd w:fill="FFFFFF"/>
            <w:tcMar>
              <w:top w:w="100" w:type="dxa"/>
              <w:bottom w:w="100" w:type="dxa"/>
              <w:left w:w="150" w:type="dxa"/>
              <w:right w:w="150" w:type="dxa"/>
            </w:tcMar>
          </w:tcPr>
          <w:p>
            <w:r>
              <w:rPr>
                <w:b/>
                <w:color w:val="334155"/>
                <w:sz w:val="17"/>
              </w:rPr>
              <w:t>Tier 2: Explicit Authorization Authority</w:t>
            </w:r>
          </w:p>
        </w:tc>
        <w:tc>
          <w:tcPr>
            <w:tcW w:type="dxa" w:w="2484"/>
            <w:shd w:fill="FFFFFF"/>
            <w:tcMar>
              <w:top w:w="100" w:type="dxa"/>
              <w:bottom w:w="100" w:type="dxa"/>
              <w:left w:w="150" w:type="dxa"/>
              <w:right w:w="150" w:type="dxa"/>
            </w:tcMar>
          </w:tcPr>
          <w:p>
            <w:r>
              <w:rPr>
                <w:color w:val="334155"/>
                <w:sz w:val="17"/>
              </w:rPr>
              <w:t>User Web3 Wallet (MetaMask)</w:t>
            </w:r>
          </w:p>
        </w:tc>
        <w:tc>
          <w:tcPr>
            <w:tcW w:type="dxa" w:w="2484"/>
            <w:shd w:fill="FFFFFF"/>
            <w:tcMar>
              <w:top w:w="100" w:type="dxa"/>
              <w:bottom w:w="100" w:type="dxa"/>
              <w:left w:w="150" w:type="dxa"/>
              <w:right w:w="150" w:type="dxa"/>
            </w:tcMar>
          </w:tcPr>
          <w:p>
            <w:r>
              <w:rPr>
                <w:color w:val="334155"/>
                <w:sz w:val="17"/>
              </w:rPr>
              <w:t>Final EIP-712 / EVM payload signing and network broadcast.</w:t>
            </w:r>
          </w:p>
        </w:tc>
        <w:tc>
          <w:tcPr>
            <w:tcW w:type="dxa" w:w="2484"/>
            <w:shd w:fill="FFFFFF"/>
            <w:tcMar>
              <w:top w:w="100" w:type="dxa"/>
              <w:bottom w:w="100" w:type="dxa"/>
              <w:left w:w="150" w:type="dxa"/>
              <w:right w:w="150" w:type="dxa"/>
            </w:tcMar>
          </w:tcPr>
          <w:p>
            <w:r>
              <w:rPr>
                <w:color w:val="334155"/>
                <w:sz w:val="17"/>
              </w:rPr>
              <w:t>User retains exclusive custody of private keys. Must sign each transaction manually.</w:t>
            </w:r>
          </w:p>
        </w:tc>
      </w:tr>
    </w:tbl>
    <w:p>
      <w:pPr>
        <w:spacing w:after="120"/>
      </w:pPr>
    </w:p>
    <w:p>
      <w:pPr>
        <w:spacing w:before="320" w:after="120"/>
      </w:pPr>
      <w:r>
        <w:rPr>
          <w:rFonts w:ascii="Arial" w:hAnsi="Arial"/>
          <w:b/>
          <w:color w:val="0F172A"/>
          <w:sz w:val="28"/>
        </w:rPr>
        <w:t>3. Known-Risk Assessment &amp; Mitigation Matrix</w:t>
      </w:r>
    </w:p>
    <w:p>
      <w:r>
        <w:t>Below is the comprehensive threat model identifying potential security vectors in autonomous wallet agents, their inherent risk severity, and Agent Vault's implemented countermeasures:</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Mar>
              <w:top w:w="120" w:type="dxa"/>
              <w:bottom w:w="120" w:type="dxa"/>
              <w:left w:w="150" w:type="dxa"/>
              <w:right w:w="150" w:type="dxa"/>
            </w:tcMar>
          </w:tcPr>
          <w:p>
            <w:r>
              <w:rPr>
                <w:b/>
                <w:color w:val="FFFFFF"/>
                <w:sz w:val="18"/>
              </w:rPr>
              <w:t>Risk Vector / Threat</w:t>
            </w:r>
          </w:p>
        </w:tc>
        <w:tc>
          <w:tcPr>
            <w:tcW w:type="dxa" w:w="2484"/>
            <w:shd w:fill="0F172A"/>
            <w:tcMar>
              <w:top w:w="120" w:type="dxa"/>
              <w:bottom w:w="120" w:type="dxa"/>
              <w:left w:w="150" w:type="dxa"/>
              <w:right w:w="150" w:type="dxa"/>
            </w:tcMar>
          </w:tcPr>
          <w:p>
            <w:r>
              <w:rPr>
                <w:b/>
                <w:color w:val="FFFFFF"/>
                <w:sz w:val="18"/>
              </w:rPr>
              <w:t>Severity</w:t>
            </w:r>
          </w:p>
        </w:tc>
        <w:tc>
          <w:tcPr>
            <w:tcW w:type="dxa" w:w="2484"/>
            <w:shd w:fill="0F172A"/>
            <w:tcMar>
              <w:top w:w="120" w:type="dxa"/>
              <w:bottom w:w="120" w:type="dxa"/>
              <w:left w:w="150" w:type="dxa"/>
              <w:right w:w="150" w:type="dxa"/>
            </w:tcMar>
          </w:tcPr>
          <w:p>
            <w:r>
              <w:rPr>
                <w:b/>
                <w:color w:val="FFFFFF"/>
                <w:sz w:val="18"/>
              </w:rPr>
              <w:t>Impact Analysis</w:t>
            </w:r>
          </w:p>
        </w:tc>
        <w:tc>
          <w:tcPr>
            <w:tcW w:type="dxa" w:w="2484"/>
            <w:shd w:fill="0F172A"/>
            <w:tcMar>
              <w:top w:w="120" w:type="dxa"/>
              <w:bottom w:w="120" w:type="dxa"/>
              <w:left w:w="150" w:type="dxa"/>
              <w:right w:w="150" w:type="dxa"/>
            </w:tcMar>
          </w:tcPr>
          <w:p>
            <w:r>
              <w:rPr>
                <w:b/>
                <w:color w:val="FFFFFF"/>
                <w:sz w:val="18"/>
              </w:rPr>
              <w:t>Implemented Countermeasure &amp; Mitigation</w:t>
            </w:r>
          </w:p>
        </w:tc>
      </w:tr>
      <w:tr>
        <w:tc>
          <w:tcPr>
            <w:tcW w:type="dxa" w:w="2484"/>
            <w:shd w:fill="FFFFFF"/>
            <w:tcMar>
              <w:top w:w="100" w:type="dxa"/>
              <w:bottom w:w="100" w:type="dxa"/>
              <w:left w:w="150" w:type="dxa"/>
              <w:right w:w="150" w:type="dxa"/>
            </w:tcMar>
          </w:tcPr>
          <w:p>
            <w:r>
              <w:rPr>
                <w:color w:val="334155"/>
                <w:sz w:val="17"/>
              </w:rPr>
              <w:t>Prompt Injection / Malicious Intent Manipulation</w:t>
            </w:r>
          </w:p>
        </w:tc>
        <w:tc>
          <w:tcPr>
            <w:tcW w:type="dxa" w:w="2484"/>
            <w:shd w:fill="FFFFFF"/>
            <w:tcMar>
              <w:top w:w="100" w:type="dxa"/>
              <w:bottom w:w="100" w:type="dxa"/>
              <w:left w:w="150" w:type="dxa"/>
              <w:right w:w="150" w:type="dxa"/>
            </w:tcMar>
          </w:tcPr>
          <w:p>
            <w:r>
              <w:rPr>
                <w:b/>
                <w:color w:val="EA580C"/>
                <w:sz w:val="17"/>
              </w:rPr>
              <w:t>HIGH</w:t>
            </w:r>
          </w:p>
        </w:tc>
        <w:tc>
          <w:tcPr>
            <w:tcW w:type="dxa" w:w="2484"/>
            <w:shd w:fill="FFFFFF"/>
            <w:tcMar>
              <w:top w:w="100" w:type="dxa"/>
              <w:bottom w:w="100" w:type="dxa"/>
              <w:left w:w="150" w:type="dxa"/>
              <w:right w:w="150" w:type="dxa"/>
            </w:tcMar>
          </w:tcPr>
          <w:p>
            <w:r>
              <w:rPr>
                <w:color w:val="334155"/>
                <w:sz w:val="17"/>
              </w:rPr>
              <w:t>Adversary manipulates prompt to bypass spending rules or trick agent into unauthorized transfers.</w:t>
            </w:r>
          </w:p>
        </w:tc>
        <w:tc>
          <w:tcPr>
            <w:tcW w:type="dxa" w:w="2484"/>
            <w:shd w:fill="FFFFFF"/>
            <w:tcMar>
              <w:top w:w="100" w:type="dxa"/>
              <w:bottom w:w="100" w:type="dxa"/>
              <w:left w:w="150" w:type="dxa"/>
              <w:right w:w="150" w:type="dxa"/>
            </w:tcMar>
          </w:tcPr>
          <w:p>
            <w:r>
              <w:rPr>
                <w:color w:val="334155"/>
                <w:sz w:val="17"/>
              </w:rPr>
              <w:t>Determinism Override: AI output is parsed purely as an unverified proposal. The deterministic backend policy engine independently verifies amount and recipient limits via hard code.</w:t>
            </w:r>
          </w:p>
        </w:tc>
      </w:tr>
      <w:tr>
        <w:tc>
          <w:tcPr>
            <w:tcW w:type="dxa" w:w="2484"/>
            <w:shd w:fill="F8FAFC"/>
            <w:tcMar>
              <w:top w:w="100" w:type="dxa"/>
              <w:bottom w:w="100" w:type="dxa"/>
              <w:left w:w="150" w:type="dxa"/>
              <w:right w:w="150" w:type="dxa"/>
            </w:tcMar>
          </w:tcPr>
          <w:p>
            <w:r>
              <w:rPr>
                <w:color w:val="334155"/>
                <w:sz w:val="17"/>
              </w:rPr>
              <w:t>Private Key Exfiltration / Server Breach</w:t>
            </w:r>
          </w:p>
        </w:tc>
        <w:tc>
          <w:tcPr>
            <w:tcW w:type="dxa" w:w="2484"/>
            <w:shd w:fill="F8FAFC"/>
            <w:tcMar>
              <w:top w:w="100" w:type="dxa"/>
              <w:bottom w:w="100" w:type="dxa"/>
              <w:left w:w="150" w:type="dxa"/>
              <w:right w:w="150" w:type="dxa"/>
            </w:tcMar>
          </w:tcPr>
          <w:p>
            <w:r>
              <w:rPr>
                <w:b/>
                <w:color w:val="DC2626"/>
                <w:sz w:val="17"/>
              </w:rPr>
              <w:t>CRITICAL</w:t>
            </w:r>
          </w:p>
        </w:tc>
        <w:tc>
          <w:tcPr>
            <w:tcW w:type="dxa" w:w="2484"/>
            <w:shd w:fill="F8FAFC"/>
            <w:tcMar>
              <w:top w:w="100" w:type="dxa"/>
              <w:bottom w:w="100" w:type="dxa"/>
              <w:left w:w="150" w:type="dxa"/>
              <w:right w:w="150" w:type="dxa"/>
            </w:tcMar>
          </w:tcPr>
          <w:p>
            <w:r>
              <w:rPr>
                <w:color w:val="334155"/>
                <w:sz w:val="17"/>
              </w:rPr>
              <w:t>Compromise of backend server infrastructure or cloud host.</w:t>
            </w:r>
          </w:p>
        </w:tc>
        <w:tc>
          <w:tcPr>
            <w:tcW w:type="dxa" w:w="2484"/>
            <w:shd w:fill="F8FAFC"/>
            <w:tcMar>
              <w:top w:w="100" w:type="dxa"/>
              <w:bottom w:w="100" w:type="dxa"/>
              <w:left w:w="150" w:type="dxa"/>
              <w:right w:w="150" w:type="dxa"/>
            </w:tcMar>
          </w:tcPr>
          <w:p>
            <w:r>
              <w:rPr>
                <w:color w:val="334155"/>
                <w:sz w:val="17"/>
              </w:rPr>
              <w:t>Zero-Knowledge Architecture: Backend stores zero private keys, passphrases, or seeds. All signing remains isolated in user browser via client Web3 wallet.</w:t>
            </w:r>
          </w:p>
        </w:tc>
      </w:tr>
      <w:tr>
        <w:tc>
          <w:tcPr>
            <w:tcW w:type="dxa" w:w="2484"/>
            <w:shd w:fill="FFFFFF"/>
            <w:tcMar>
              <w:top w:w="100" w:type="dxa"/>
              <w:bottom w:w="100" w:type="dxa"/>
              <w:left w:w="150" w:type="dxa"/>
              <w:right w:w="150" w:type="dxa"/>
            </w:tcMar>
          </w:tcPr>
          <w:p>
            <w:r>
              <w:rPr>
                <w:color w:val="334155"/>
                <w:sz w:val="17"/>
              </w:rPr>
              <w:t>Unauthorized Replay Attacks</w:t>
            </w:r>
          </w:p>
        </w:tc>
        <w:tc>
          <w:tcPr>
            <w:tcW w:type="dxa" w:w="2484"/>
            <w:shd w:fill="FFFFFF"/>
            <w:tcMar>
              <w:top w:w="100" w:type="dxa"/>
              <w:bottom w:w="100" w:type="dxa"/>
              <w:left w:w="150" w:type="dxa"/>
              <w:right w:w="150" w:type="dxa"/>
            </w:tcMar>
          </w:tcPr>
          <w:p>
            <w:r>
              <w:rPr>
                <w:b/>
                <w:color w:val="D97706"/>
                <w:sz w:val="17"/>
              </w:rPr>
              <w:t>MEDIUM</w:t>
            </w:r>
          </w:p>
        </w:tc>
        <w:tc>
          <w:tcPr>
            <w:tcW w:type="dxa" w:w="2484"/>
            <w:shd w:fill="FFFFFF"/>
            <w:tcMar>
              <w:top w:w="100" w:type="dxa"/>
              <w:bottom w:w="100" w:type="dxa"/>
              <w:left w:w="150" w:type="dxa"/>
              <w:right w:w="150" w:type="dxa"/>
            </w:tcMar>
          </w:tcPr>
          <w:p>
            <w:r>
              <w:rPr>
                <w:color w:val="334155"/>
                <w:sz w:val="17"/>
              </w:rPr>
              <w:t>Interception and re-submission of signed authentication challenge payloads.</w:t>
            </w:r>
          </w:p>
        </w:tc>
        <w:tc>
          <w:tcPr>
            <w:tcW w:type="dxa" w:w="2484"/>
            <w:shd w:fill="FFFFFF"/>
            <w:tcMar>
              <w:top w:w="100" w:type="dxa"/>
              <w:bottom w:w="100" w:type="dxa"/>
              <w:left w:w="150" w:type="dxa"/>
              <w:right w:w="150" w:type="dxa"/>
            </w:tcMar>
          </w:tcPr>
          <w:p>
            <w:r>
              <w:rPr>
                <w:color w:val="334155"/>
                <w:sz w:val="17"/>
              </w:rPr>
              <w:t>EIP-712 Nonces &amp; Short TTLs: Auth challenges incorporate dynamic nonces and expire after 300 seconds. Sessions expire in 8 hours with strict HMAC-SHA256 JWT checks.</w:t>
            </w:r>
          </w:p>
        </w:tc>
      </w:tr>
      <w:tr>
        <w:tc>
          <w:tcPr>
            <w:tcW w:type="dxa" w:w="2484"/>
            <w:shd w:fill="F8FAFC"/>
            <w:tcMar>
              <w:top w:w="100" w:type="dxa"/>
              <w:bottom w:w="100" w:type="dxa"/>
              <w:left w:w="150" w:type="dxa"/>
              <w:right w:w="150" w:type="dxa"/>
            </w:tcMar>
          </w:tcPr>
          <w:p>
            <w:r>
              <w:rPr>
                <w:color w:val="334155"/>
                <w:sz w:val="17"/>
              </w:rPr>
              <w:t>Unrestricted Cross-Origin Exploits (CORS)</w:t>
            </w:r>
          </w:p>
        </w:tc>
        <w:tc>
          <w:tcPr>
            <w:tcW w:type="dxa" w:w="2484"/>
            <w:shd w:fill="F8FAFC"/>
            <w:tcMar>
              <w:top w:w="100" w:type="dxa"/>
              <w:bottom w:w="100" w:type="dxa"/>
              <w:left w:w="150" w:type="dxa"/>
              <w:right w:w="150" w:type="dxa"/>
            </w:tcMar>
          </w:tcPr>
          <w:p>
            <w:r>
              <w:rPr>
                <w:b/>
                <w:color w:val="D97706"/>
                <w:sz w:val="17"/>
              </w:rPr>
              <w:t>MEDIUM</w:t>
            </w:r>
          </w:p>
        </w:tc>
        <w:tc>
          <w:tcPr>
            <w:tcW w:type="dxa" w:w="2484"/>
            <w:shd w:fill="F8FAFC"/>
            <w:tcMar>
              <w:top w:w="100" w:type="dxa"/>
              <w:bottom w:w="100" w:type="dxa"/>
              <w:left w:w="150" w:type="dxa"/>
              <w:right w:w="150" w:type="dxa"/>
            </w:tcMar>
          </w:tcPr>
          <w:p>
            <w:r>
              <w:rPr>
                <w:color w:val="334155"/>
                <w:sz w:val="17"/>
              </w:rPr>
              <w:t>Malicious third-party sites invoking backend API endpoints on behalf of logged-in user.</w:t>
            </w:r>
          </w:p>
        </w:tc>
        <w:tc>
          <w:tcPr>
            <w:tcW w:type="dxa" w:w="2484"/>
            <w:shd w:fill="F8FAFC"/>
            <w:tcMar>
              <w:top w:w="100" w:type="dxa"/>
              <w:bottom w:w="100" w:type="dxa"/>
              <w:left w:w="150" w:type="dxa"/>
              <w:right w:w="150" w:type="dxa"/>
            </w:tcMar>
          </w:tcPr>
          <w:p>
            <w:r>
              <w:rPr>
                <w:color w:val="334155"/>
                <w:sz w:val="17"/>
              </w:rPr>
              <w:t>Strict Origin Whitelisting: CORS headers explicitly restrict origin access to verified production domain without wildcard trailing-slash mismatches.</w:t>
            </w:r>
          </w:p>
        </w:tc>
      </w:tr>
      <w:tr>
        <w:tc>
          <w:tcPr>
            <w:tcW w:type="dxa" w:w="2484"/>
            <w:shd w:fill="FFFFFF"/>
            <w:tcMar>
              <w:top w:w="100" w:type="dxa"/>
              <w:bottom w:w="100" w:type="dxa"/>
              <w:left w:w="150" w:type="dxa"/>
              <w:right w:w="150" w:type="dxa"/>
            </w:tcMar>
          </w:tcPr>
          <w:p>
            <w:r>
              <w:rPr>
                <w:color w:val="334155"/>
                <w:sz w:val="17"/>
              </w:rPr>
              <w:t>Mempool Front-Running &amp; Gas Exhaustion</w:t>
            </w:r>
          </w:p>
        </w:tc>
        <w:tc>
          <w:tcPr>
            <w:tcW w:type="dxa" w:w="2484"/>
            <w:shd w:fill="FFFFFF"/>
            <w:tcMar>
              <w:top w:w="100" w:type="dxa"/>
              <w:bottom w:w="100" w:type="dxa"/>
              <w:left w:w="150" w:type="dxa"/>
              <w:right w:w="150" w:type="dxa"/>
            </w:tcMar>
          </w:tcPr>
          <w:p>
            <w:r>
              <w:rPr>
                <w:b/>
                <w:color w:val="2563EB"/>
                <w:sz w:val="17"/>
              </w:rPr>
              <w:t>LOW</w:t>
            </w:r>
          </w:p>
        </w:tc>
        <w:tc>
          <w:tcPr>
            <w:tcW w:type="dxa" w:w="2484"/>
            <w:shd w:fill="FFFFFF"/>
            <w:tcMar>
              <w:top w:w="100" w:type="dxa"/>
              <w:bottom w:w="100" w:type="dxa"/>
              <w:left w:w="150" w:type="dxa"/>
              <w:right w:w="150" w:type="dxa"/>
            </w:tcMar>
          </w:tcPr>
          <w:p>
            <w:r>
              <w:rPr>
                <w:color w:val="334155"/>
                <w:sz w:val="17"/>
              </w:rPr>
              <w:t>Submitting transactions with excessive gas limits leading to wallet funds depletion.</w:t>
            </w:r>
          </w:p>
        </w:tc>
        <w:tc>
          <w:tcPr>
            <w:tcW w:type="dxa" w:w="2484"/>
            <w:shd w:fill="FFFFFF"/>
            <w:tcMar>
              <w:top w:w="100" w:type="dxa"/>
              <w:bottom w:w="100" w:type="dxa"/>
              <w:left w:w="150" w:type="dxa"/>
              <w:right w:w="150" w:type="dxa"/>
            </w:tcMar>
          </w:tcPr>
          <w:p>
            <w:r>
              <w:rPr>
                <w:color w:val="334155"/>
                <w:sz w:val="17"/>
              </w:rPr>
              <w:t>Pre-Flight Gas Simulation: Web3.py RPC gas estimation simulates required gas prior to proposal authorization, enforcing a strict MAX_GAS_LIMIT (50,000).</w:t>
            </w:r>
          </w:p>
        </w:tc>
      </w:tr>
    </w:tbl>
    <w:p>
      <w:pPr>
        <w:spacing w:after="120"/>
      </w:pPr>
    </w:p>
    <w:p>
      <w:pPr>
        <w:spacing w:before="320" w:after="120"/>
      </w:pPr>
      <w:r>
        <w:rPr>
          <w:rFonts w:ascii="Arial" w:hAnsi="Arial"/>
          <w:b/>
          <w:color w:val="0F172A"/>
          <w:sz w:val="28"/>
        </w:rPr>
        <w:t>4. Forensic Auditability &amp; Compliance Verification</w:t>
      </w:r>
    </w:p>
    <w:p>
      <w:r>
        <w:t>To ensure complete regulatory compliance and post-incident forensic traceability, every API request, EIP-712 auth handshake, policy evaluation outcome, and Sepolia transaction hash is immutably logged into a distributed, append-only Turso (libSQL) database. The forensic records cannot be altered by client-side operations.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