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AD90B" w14:textId="77777777" w:rsidR="00F24514" w:rsidRDefault="00000000">
      <w:pPr>
        <w:spacing w:after="40"/>
      </w:pPr>
      <w:r>
        <w:rPr>
          <w:b/>
          <w:color w:val="0F172A"/>
          <w:sz w:val="44"/>
        </w:rPr>
        <w:t>TECHNICAL SPECIFICATION &amp; SYSTEM ARCHITECTURE</w:t>
      </w:r>
    </w:p>
    <w:p w14:paraId="4DB54AE7" w14:textId="77777777" w:rsidR="00F24514" w:rsidRDefault="00000000">
      <w:pPr>
        <w:spacing w:after="360"/>
      </w:pPr>
      <w:r>
        <w:rPr>
          <w:color w:val="475569"/>
          <w:sz w:val="24"/>
        </w:rPr>
        <w:t>Project: AGENT VAULT | Autonomous On-Chain Security &amp; Execution Layer</w:t>
      </w:r>
    </w:p>
    <w:p w14:paraId="3F075A8B" w14:textId="77777777" w:rsidR="00F24514" w:rsidRDefault="00000000">
      <w:pPr>
        <w:spacing w:before="320"/>
      </w:pPr>
      <w:r>
        <w:rPr>
          <w:b/>
          <w:color w:val="0F172A"/>
          <w:sz w:val="28"/>
        </w:rPr>
        <w:t>1. Executive Architectural Overview</w:t>
      </w:r>
    </w:p>
    <w:p w14:paraId="182967C1" w14:textId="77777777" w:rsidR="00F24514" w:rsidRDefault="00000000">
      <w:r>
        <w:t>Agent Vault is engineered as a decoupled, zero-trust, three-tier decentralized finance (DeFi) security infrastructure. It solves the core trilemma of autonomous on-chain agents: granting a Large Language Model (LLM) semantic intent interpretation capabilities while strictly containing execution privileges via a hard-coded, deterministic policy enforcement gate.</w:t>
      </w:r>
    </w:p>
    <w:tbl>
      <w:tblPr>
        <w:tblW w:w="0" w:type="auto"/>
        <w:jc w:val="center"/>
        <w:tblLook w:val="04A0" w:firstRow="1" w:lastRow="0" w:firstColumn="1" w:lastColumn="0" w:noHBand="0" w:noVBand="1"/>
      </w:tblPr>
      <w:tblGrid>
        <w:gridCol w:w="9936"/>
      </w:tblGrid>
      <w:tr w:rsidR="00F24514" w14:paraId="0DD5A194" w14:textId="77777777">
        <w:trPr>
          <w:jc w:val="center"/>
        </w:trPr>
        <w:tc>
          <w:tcPr>
            <w:tcW w:w="9936" w:type="dxa"/>
            <w:tcBorders>
              <w:top w:val="single" w:sz="4" w:space="0" w:color="CBD5E1"/>
              <w:left w:val="single" w:sz="18" w:space="0" w:color="0052CC"/>
              <w:bottom w:val="single" w:sz="4" w:space="0" w:color="CBD5E1"/>
              <w:right w:val="single" w:sz="4" w:space="0" w:color="CBD5E1"/>
            </w:tcBorders>
            <w:shd w:val="clear" w:color="auto" w:fill="F8FAFC"/>
            <w:tcMar>
              <w:top w:w="140" w:type="dxa"/>
              <w:left w:w="180" w:type="dxa"/>
              <w:bottom w:w="140" w:type="dxa"/>
              <w:right w:w="180" w:type="dxa"/>
            </w:tcMar>
          </w:tcPr>
          <w:p w14:paraId="077E281D" w14:textId="77777777" w:rsidR="00F24514" w:rsidRDefault="00000000">
            <w:pPr>
              <w:spacing w:after="0" w:line="276" w:lineRule="auto"/>
            </w:pPr>
            <w:r>
              <w:rPr>
                <w:rFonts w:ascii="Consolas" w:hAnsi="Consolas"/>
                <w:color w:val="1E293B"/>
                <w:sz w:val="18"/>
              </w:rPr>
              <w:t>[ Client Layer: React / Vite / Ethers.js ]</w:t>
            </w:r>
            <w:r>
              <w:rPr>
                <w:rFonts w:ascii="Consolas" w:hAnsi="Consolas"/>
                <w:color w:val="1E293B"/>
                <w:sz w:val="18"/>
              </w:rPr>
              <w:br/>
              <w:t xml:space="preserve">          │</w:t>
            </w:r>
            <w:r>
              <w:rPr>
                <w:rFonts w:ascii="Consolas" w:hAnsi="Consolas"/>
                <w:color w:val="1E293B"/>
                <w:sz w:val="18"/>
              </w:rPr>
              <w:br/>
              <w:t xml:space="preserve">          ├── EIP-712 Cryptographic Signature Handshake</w:t>
            </w:r>
            <w:r>
              <w:rPr>
                <w:rFonts w:ascii="Consolas" w:hAnsi="Consolas"/>
                <w:color w:val="1E293B"/>
                <w:sz w:val="18"/>
              </w:rPr>
              <w:br/>
              <w:t xml:space="preserve">          ▼</w:t>
            </w:r>
            <w:r>
              <w:rPr>
                <w:rFonts w:ascii="Consolas" w:hAnsi="Consolas"/>
                <w:color w:val="1E293B"/>
                <w:sz w:val="18"/>
              </w:rPr>
              <w:br/>
              <w:t xml:space="preserve">[ Gateway &amp; Policy Engine: FastAPI (Python) ] </w:t>
            </w:r>
            <w:r>
              <w:rPr>
                <w:rFonts w:ascii="Consolas" w:hAnsi="Consolas"/>
                <w:color w:val="1E293B"/>
                <w:sz w:val="18"/>
              </w:rPr>
              <w:br/>
              <w:t xml:space="preserve">          │</w:t>
            </w:r>
            <w:r>
              <w:rPr>
                <w:rFonts w:ascii="Consolas" w:hAnsi="Consolas"/>
                <w:color w:val="1E293B"/>
                <w:sz w:val="18"/>
              </w:rPr>
              <w:br/>
              <w:t xml:space="preserve">          ├── Deterministic Risk Matrix Evaluation</w:t>
            </w:r>
            <w:r>
              <w:rPr>
                <w:rFonts w:ascii="Consolas" w:hAnsi="Consolas"/>
                <w:color w:val="1E293B"/>
                <w:sz w:val="18"/>
              </w:rPr>
              <w:br/>
              <w:t xml:space="preserve">          ├── Encrypted Audit Trail (Turso libSQL)</w:t>
            </w:r>
            <w:r>
              <w:rPr>
                <w:rFonts w:ascii="Consolas" w:hAnsi="Consolas"/>
                <w:color w:val="1E293B"/>
                <w:sz w:val="18"/>
              </w:rPr>
              <w:br/>
              <w:t xml:space="preserve">          ▼</w:t>
            </w:r>
            <w:r>
              <w:rPr>
                <w:rFonts w:ascii="Consolas" w:hAnsi="Consolas"/>
                <w:color w:val="1E293B"/>
                <w:sz w:val="18"/>
              </w:rPr>
              <w:br/>
              <w:t>[ Execution Layer: Ethereum Sepolia Testnet (JSON-RPC) ]</w:t>
            </w:r>
          </w:p>
        </w:tc>
      </w:tr>
    </w:tbl>
    <w:p w14:paraId="57A4515A" w14:textId="77777777" w:rsidR="00F24514" w:rsidRDefault="00F24514"/>
    <w:p w14:paraId="55D1D870" w14:textId="77777777" w:rsidR="00F24514" w:rsidRDefault="00000000">
      <w:pPr>
        <w:spacing w:before="320"/>
      </w:pPr>
      <w:r>
        <w:rPr>
          <w:b/>
          <w:color w:val="0F172A"/>
          <w:sz w:val="28"/>
        </w:rPr>
        <w:t>2. Micro-Architecture &amp; Trust Boundaries</w:t>
      </w:r>
    </w:p>
    <w:p w14:paraId="6E692C5B" w14:textId="77777777" w:rsidR="00F24514" w:rsidRDefault="00000000">
      <w:pPr>
        <w:spacing w:before="240" w:after="80"/>
      </w:pPr>
      <w:r>
        <w:rPr>
          <w:b/>
          <w:color w:val="0052CC"/>
          <w:sz w:val="24"/>
        </w:rPr>
        <w:t>Tier 1: Presentation &amp; Cryptographic Boundary (React/Vite Client)</w:t>
      </w:r>
    </w:p>
    <w:p w14:paraId="53D79FEF" w14:textId="77777777" w:rsidR="00F24514" w:rsidRDefault="00000000">
      <w:r>
        <w:t>• Handles asynchronous user intent capture and reactive state management.</w:t>
      </w:r>
    </w:p>
    <w:p w14:paraId="121F7DDA" w14:textId="77777777" w:rsidR="00F24514" w:rsidRDefault="00000000">
      <w:r>
        <w:t>• Implements EIP-712 structured cryptographic signing, ensuring that wallet authentication nonces and transaction intents are cryptographically bound to the user's private key without ever exposing key material to the browser DOM or backend infrastructure.</w:t>
      </w:r>
    </w:p>
    <w:p w14:paraId="5D2BC87E" w14:textId="77777777" w:rsidR="00F24514" w:rsidRDefault="00000000">
      <w:pPr>
        <w:spacing w:before="240" w:after="80"/>
      </w:pPr>
      <w:r>
        <w:rPr>
          <w:b/>
          <w:color w:val="0052CC"/>
          <w:sz w:val="24"/>
        </w:rPr>
        <w:t>Tier 2: Governance &amp; Decision Core (FastAPI Backend)</w:t>
      </w:r>
    </w:p>
    <w:p w14:paraId="73B781BB" w14:textId="77777777" w:rsidR="00F24514" w:rsidRDefault="00000000">
      <w:r>
        <w:t>• Intent Parser Subsystem: Translates unstructured natural language strings into strict, typed transaction schemas (TransactionProposal models via Pydantic v2).</w:t>
      </w:r>
    </w:p>
    <w:p w14:paraId="61F8DBB7" w14:textId="77777777" w:rsidR="00F24514" w:rsidRDefault="00000000">
      <w:r>
        <w:t>• Deterministic Policy Engine: Executes an immutable sequence of pre-flight financial and structural checks before any payload can reach the mempool.</w:t>
      </w:r>
    </w:p>
    <w:p w14:paraId="2311F431" w14:textId="77777777" w:rsidR="00F24514" w:rsidRDefault="00000000">
      <w:r>
        <w:t>• Forensic Audit Logger: Commits every cryptographically verified event, constraint breach, and execution output to an append-only, zero-trust distributed edge database (Turso libSQL).</w:t>
      </w:r>
    </w:p>
    <w:p w14:paraId="02D1C72F" w14:textId="77777777" w:rsidR="00F24514" w:rsidRDefault="00000000">
      <w:pPr>
        <w:spacing w:before="240" w:after="80"/>
      </w:pPr>
      <w:r>
        <w:rPr>
          <w:b/>
          <w:color w:val="0052CC"/>
          <w:sz w:val="24"/>
        </w:rPr>
        <w:t>Tier 3: Trustless Settlement Layer (EVM Sepolia)</w:t>
      </w:r>
    </w:p>
    <w:p w14:paraId="44D2FF36" w14:textId="77777777" w:rsidR="00F24514" w:rsidRDefault="00000000">
      <w:r>
        <w:t>• Interacts with Ethereum nodes via optimized JSON-RPC providers to simulate gas limits, resolve state updates, and broadcast signed transactions with guaranteed atomicity.</w:t>
      </w:r>
    </w:p>
    <w:p w14:paraId="6D9589BE" w14:textId="77777777" w:rsidR="00F24514" w:rsidRDefault="00000000">
      <w:pPr>
        <w:spacing w:before="320"/>
      </w:pPr>
      <w:r>
        <w:rPr>
          <w:b/>
          <w:color w:val="0F172A"/>
          <w:sz w:val="28"/>
        </w:rPr>
        <w:lastRenderedPageBreak/>
        <w:t>3. Core Algorithm: Dual-Phase Execution Pipeline</w:t>
      </w:r>
    </w:p>
    <w:p w14:paraId="1CD227AD" w14:textId="77777777" w:rsidR="00F24514" w:rsidRDefault="00000000">
      <w:r>
        <w:t>The core processing logic operates via a strict sequential state machine that decouples AI reasoning from financial execution:</w:t>
      </w:r>
    </w:p>
    <w:tbl>
      <w:tblPr>
        <w:tblW w:w="0" w:type="auto"/>
        <w:jc w:val="center"/>
        <w:tblLook w:val="04A0" w:firstRow="1" w:lastRow="0" w:firstColumn="1" w:lastColumn="0" w:noHBand="0" w:noVBand="1"/>
      </w:tblPr>
      <w:tblGrid>
        <w:gridCol w:w="9936"/>
      </w:tblGrid>
      <w:tr w:rsidR="00F24514" w14:paraId="15597911" w14:textId="77777777">
        <w:trPr>
          <w:jc w:val="center"/>
        </w:trPr>
        <w:tc>
          <w:tcPr>
            <w:tcW w:w="9936" w:type="dxa"/>
            <w:tcBorders>
              <w:top w:val="single" w:sz="4" w:space="0" w:color="CBD5E1"/>
              <w:left w:val="single" w:sz="18" w:space="0" w:color="0052CC"/>
              <w:bottom w:val="single" w:sz="4" w:space="0" w:color="CBD5E1"/>
              <w:right w:val="single" w:sz="4" w:space="0" w:color="CBD5E1"/>
            </w:tcBorders>
            <w:shd w:val="clear" w:color="auto" w:fill="F8FAFC"/>
            <w:tcMar>
              <w:top w:w="140" w:type="dxa"/>
              <w:left w:w="180" w:type="dxa"/>
              <w:bottom w:w="140" w:type="dxa"/>
              <w:right w:w="180" w:type="dxa"/>
            </w:tcMar>
          </w:tcPr>
          <w:p w14:paraId="4548CFD2" w14:textId="77777777" w:rsidR="00F24514" w:rsidRDefault="00000000">
            <w:pPr>
              <w:spacing w:after="0" w:line="276" w:lineRule="auto"/>
            </w:pPr>
            <w:r>
              <w:rPr>
                <w:rFonts w:ascii="Consolas" w:hAnsi="Consolas"/>
                <w:color w:val="1E293B"/>
                <w:sz w:val="18"/>
              </w:rPr>
              <w:t>from decimal import Decimal</w:t>
            </w:r>
            <w:r>
              <w:rPr>
                <w:rFonts w:ascii="Consolas" w:hAnsi="Consolas"/>
                <w:color w:val="1E293B"/>
                <w:sz w:val="18"/>
              </w:rPr>
              <w:br/>
              <w:t>from typing import NamedTuple</w:t>
            </w:r>
            <w:r>
              <w:rPr>
                <w:rFonts w:ascii="Consolas" w:hAnsi="Consolas"/>
                <w:color w:val="1E293B"/>
                <w:sz w:val="18"/>
              </w:rPr>
              <w:br/>
            </w:r>
            <w:r>
              <w:rPr>
                <w:rFonts w:ascii="Consolas" w:hAnsi="Consolas"/>
                <w:color w:val="1E293B"/>
                <w:sz w:val="18"/>
              </w:rPr>
              <w:br/>
              <w:t>class ExecutionVerdict(NamedTuple):</w:t>
            </w:r>
            <w:r>
              <w:rPr>
                <w:rFonts w:ascii="Consolas" w:hAnsi="Consolas"/>
                <w:color w:val="1E293B"/>
                <w:sz w:val="18"/>
              </w:rPr>
              <w:br/>
              <w:t xml:space="preserve">    approved: bool</w:t>
            </w:r>
            <w:r>
              <w:rPr>
                <w:rFonts w:ascii="Consolas" w:hAnsi="Consolas"/>
                <w:color w:val="1E293B"/>
                <w:sz w:val="18"/>
              </w:rPr>
              <w:br/>
              <w:t xml:space="preserve">    reason: str</w:t>
            </w:r>
            <w:r>
              <w:rPr>
                <w:rFonts w:ascii="Consolas" w:hAnsi="Consolas"/>
                <w:color w:val="1E293B"/>
                <w:sz w:val="18"/>
              </w:rPr>
              <w:br/>
            </w:r>
            <w:r>
              <w:rPr>
                <w:rFonts w:ascii="Consolas" w:hAnsi="Consolas"/>
                <w:color w:val="1E293B"/>
                <w:sz w:val="18"/>
              </w:rPr>
              <w:br/>
              <w:t>def evaluate_autonomous_transaction(</w:t>
            </w:r>
            <w:r>
              <w:rPr>
                <w:rFonts w:ascii="Consolas" w:hAnsi="Consolas"/>
                <w:color w:val="1E293B"/>
                <w:sz w:val="18"/>
              </w:rPr>
              <w:br/>
              <w:t xml:space="preserve">    proposal_amount: Decimal,</w:t>
            </w:r>
            <w:r>
              <w:rPr>
                <w:rFonts w:ascii="Consolas" w:hAnsi="Consolas"/>
                <w:color w:val="1E293B"/>
                <w:sz w:val="18"/>
              </w:rPr>
              <w:br/>
              <w:t xml:space="preserve">    recipient: str,</w:t>
            </w:r>
            <w:r>
              <w:rPr>
                <w:rFonts w:ascii="Consolas" w:hAnsi="Consolas"/>
                <w:color w:val="1E293B"/>
                <w:sz w:val="18"/>
              </w:rPr>
              <w:br/>
              <w:t xml:space="preserve">    user_daily_spent: Decimal,</w:t>
            </w:r>
            <w:r>
              <w:rPr>
                <w:rFonts w:ascii="Consolas" w:hAnsi="Consolas"/>
                <w:color w:val="1E293B"/>
                <w:sz w:val="18"/>
              </w:rPr>
              <w:br/>
              <w:t xml:space="preserve">    user_native_balance: Decimal,</w:t>
            </w:r>
            <w:r>
              <w:rPr>
                <w:rFonts w:ascii="Consolas" w:hAnsi="Consolas"/>
                <w:color w:val="1E293B"/>
                <w:sz w:val="18"/>
              </w:rPr>
              <w:br/>
              <w:t xml:space="preserve">    policy_max_tx: Decimal,</w:t>
            </w:r>
            <w:r>
              <w:rPr>
                <w:rFonts w:ascii="Consolas" w:hAnsi="Consolas"/>
                <w:color w:val="1E293B"/>
                <w:sz w:val="18"/>
              </w:rPr>
              <w:br/>
              <w:t xml:space="preserve">    policy_daily_limit: Decimal,</w:t>
            </w:r>
            <w:r>
              <w:rPr>
                <w:rFonts w:ascii="Consolas" w:hAnsi="Consolas"/>
                <w:color w:val="1E293B"/>
                <w:sz w:val="18"/>
              </w:rPr>
              <w:br/>
              <w:t xml:space="preserve">    policy_allowlist: set[str],</w:t>
            </w:r>
            <w:r>
              <w:rPr>
                <w:rFonts w:ascii="Consolas" w:hAnsi="Consolas"/>
                <w:color w:val="1E293B"/>
                <w:sz w:val="18"/>
              </w:rPr>
              <w:br/>
              <w:t xml:space="preserve">    allow_any: bool,</w:t>
            </w:r>
            <w:r>
              <w:rPr>
                <w:rFonts w:ascii="Consolas" w:hAnsi="Consolas"/>
                <w:color w:val="1E293B"/>
                <w:sz w:val="18"/>
              </w:rPr>
              <w:br/>
              <w:t xml:space="preserve">    estimated_gas: Decimal</w:t>
            </w:r>
            <w:r>
              <w:rPr>
                <w:rFonts w:ascii="Consolas" w:hAnsi="Consolas"/>
                <w:color w:val="1E293B"/>
                <w:sz w:val="18"/>
              </w:rPr>
              <w:br/>
              <w:t>) -&gt; ExecutionVerdict:</w:t>
            </w:r>
            <w:r>
              <w:rPr>
                <w:rFonts w:ascii="Consolas" w:hAnsi="Consolas"/>
                <w:color w:val="1E293B"/>
                <w:sz w:val="18"/>
              </w:rPr>
              <w:br/>
              <w:t xml:space="preserve">    </w:t>
            </w:r>
            <w:r>
              <w:rPr>
                <w:rFonts w:ascii="Consolas" w:hAnsi="Consolas"/>
                <w:color w:val="1E293B"/>
                <w:sz w:val="18"/>
              </w:rPr>
              <w:br/>
              <w:t xml:space="preserve">    # Phase 1: Granular Single-Transaction Threshold Validation</w:t>
            </w:r>
            <w:r>
              <w:rPr>
                <w:rFonts w:ascii="Consolas" w:hAnsi="Consolas"/>
                <w:color w:val="1E293B"/>
                <w:sz w:val="18"/>
              </w:rPr>
              <w:br/>
              <w:t xml:space="preserve">    if proposal_amount &gt; policy_max_tx:</w:t>
            </w:r>
            <w:r>
              <w:rPr>
                <w:rFonts w:ascii="Consolas" w:hAnsi="Consolas"/>
                <w:color w:val="1E293B"/>
                <w:sz w:val="18"/>
              </w:rPr>
              <w:br/>
              <w:t xml:space="preserve">        return ExecutionVerdict(False, f"Rejected: Amount exceeds single transaction ceiling ({policy_max_tx} ETH).")</w:t>
            </w:r>
            <w:r>
              <w:rPr>
                <w:rFonts w:ascii="Consolas" w:hAnsi="Consolas"/>
                <w:color w:val="1E293B"/>
                <w:sz w:val="18"/>
              </w:rPr>
              <w:br/>
              <w:t xml:space="preserve">        </w:t>
            </w:r>
            <w:r>
              <w:rPr>
                <w:rFonts w:ascii="Consolas" w:hAnsi="Consolas"/>
                <w:color w:val="1E293B"/>
                <w:sz w:val="18"/>
              </w:rPr>
              <w:br/>
              <w:t xml:space="preserve">    # Phase 2: Cumulative Daily Velocity &amp; Exposure Check</w:t>
            </w:r>
            <w:r>
              <w:rPr>
                <w:rFonts w:ascii="Consolas" w:hAnsi="Consolas"/>
                <w:color w:val="1E293B"/>
                <w:sz w:val="18"/>
              </w:rPr>
              <w:br/>
              <w:t xml:space="preserve">    if (user_daily_spent + proposal_amount) &gt; policy_daily_limit:</w:t>
            </w:r>
            <w:r>
              <w:rPr>
                <w:rFonts w:ascii="Consolas" w:hAnsi="Consolas"/>
                <w:color w:val="1E293B"/>
                <w:sz w:val="18"/>
              </w:rPr>
              <w:br/>
              <w:t xml:space="preserve">        return ExecutionVerdict(False, f"Rejected: Exceeds daily cumulative velocity limit ({policy_daily_limit} ETH).")</w:t>
            </w:r>
            <w:r>
              <w:rPr>
                <w:rFonts w:ascii="Consolas" w:hAnsi="Consolas"/>
                <w:color w:val="1E293B"/>
                <w:sz w:val="18"/>
              </w:rPr>
              <w:br/>
              <w:t xml:space="preserve">        </w:t>
            </w:r>
            <w:r>
              <w:rPr>
                <w:rFonts w:ascii="Consolas" w:hAnsi="Consolas"/>
                <w:color w:val="1E293B"/>
                <w:sz w:val="18"/>
              </w:rPr>
              <w:br/>
              <w:t xml:space="preserve">    # Phase 3: Cryptographic Recipient Sanity / Whitelist Verification</w:t>
            </w:r>
            <w:r>
              <w:rPr>
                <w:rFonts w:ascii="Consolas" w:hAnsi="Consolas"/>
                <w:color w:val="1E293B"/>
                <w:sz w:val="18"/>
              </w:rPr>
              <w:br/>
              <w:t xml:space="preserve">    normalized_recipient = recipient.lower()</w:t>
            </w:r>
            <w:r>
              <w:rPr>
                <w:rFonts w:ascii="Consolas" w:hAnsi="Consolas"/>
                <w:color w:val="1E293B"/>
                <w:sz w:val="18"/>
              </w:rPr>
              <w:br/>
              <w:t xml:space="preserve">    if not allow_any and normalized_recipient not in policy_allowlist:</w:t>
            </w:r>
            <w:r>
              <w:rPr>
                <w:rFonts w:ascii="Consolas" w:hAnsi="Consolas"/>
                <w:color w:val="1E293B"/>
                <w:sz w:val="18"/>
              </w:rPr>
              <w:br/>
              <w:t xml:space="preserve">        return ExecutionVerdict(False, "Rejected: Recipient address fails cryptographic allowlist verification.")</w:t>
            </w:r>
            <w:r>
              <w:rPr>
                <w:rFonts w:ascii="Consolas" w:hAnsi="Consolas"/>
                <w:color w:val="1E293B"/>
                <w:sz w:val="18"/>
              </w:rPr>
              <w:br/>
              <w:t xml:space="preserve">        </w:t>
            </w:r>
            <w:r>
              <w:rPr>
                <w:rFonts w:ascii="Consolas" w:hAnsi="Consolas"/>
                <w:color w:val="1E293B"/>
                <w:sz w:val="18"/>
              </w:rPr>
              <w:br/>
              <w:t xml:space="preserve">    # Phase 4: State Liquidity &amp; Gas Simulation Check</w:t>
            </w:r>
            <w:r>
              <w:rPr>
                <w:rFonts w:ascii="Consolas" w:hAnsi="Consolas"/>
                <w:color w:val="1E293B"/>
                <w:sz w:val="18"/>
              </w:rPr>
              <w:br/>
              <w:t xml:space="preserve">    total_capital_required = proposal_amount + estimated_gas</w:t>
            </w:r>
            <w:r>
              <w:rPr>
                <w:rFonts w:ascii="Consolas" w:hAnsi="Consolas"/>
                <w:color w:val="1E293B"/>
                <w:sz w:val="18"/>
              </w:rPr>
              <w:br/>
              <w:t xml:space="preserve">    if user_native_balance &lt; total_capital_required:</w:t>
            </w:r>
            <w:r>
              <w:rPr>
                <w:rFonts w:ascii="Consolas" w:hAnsi="Consolas"/>
                <w:color w:val="1E293B"/>
                <w:sz w:val="18"/>
              </w:rPr>
              <w:br/>
              <w:t xml:space="preserve">        return ExecutionVerdict(False, "Rejected: Insufficient wallet liquidity to cover principal and gas overhead.")</w:t>
            </w:r>
            <w:r>
              <w:rPr>
                <w:rFonts w:ascii="Consolas" w:hAnsi="Consolas"/>
                <w:color w:val="1E293B"/>
                <w:sz w:val="18"/>
              </w:rPr>
              <w:br/>
              <w:t xml:space="preserve">        </w:t>
            </w:r>
            <w:r>
              <w:rPr>
                <w:rFonts w:ascii="Consolas" w:hAnsi="Consolas"/>
                <w:color w:val="1E293B"/>
                <w:sz w:val="18"/>
              </w:rPr>
              <w:br/>
              <w:t xml:space="preserve">    return ExecutionVerdict(True, "Approved: Payload cleared all deterministic safety bounds.")</w:t>
            </w:r>
          </w:p>
        </w:tc>
      </w:tr>
    </w:tbl>
    <w:p w14:paraId="2486497C" w14:textId="77777777" w:rsidR="00F24514" w:rsidRDefault="00F24514"/>
    <w:p w14:paraId="4EBDD863" w14:textId="77777777" w:rsidR="00F24514" w:rsidRDefault="00000000">
      <w:pPr>
        <w:spacing w:before="320"/>
      </w:pPr>
      <w:r>
        <w:rPr>
          <w:b/>
          <w:color w:val="0F172A"/>
          <w:sz w:val="28"/>
        </w:rPr>
        <w:t>4. Enterprise Security Blueprint</w:t>
      </w:r>
    </w:p>
    <w:p w14:paraId="64232C99" w14:textId="77777777" w:rsidR="00F24514" w:rsidRDefault="00000000">
      <w:r>
        <w:lastRenderedPageBreak/>
        <w:t>• Zero-Knowledge Key Isolation: The backend server infrastructure maintains an absolute zero-knowledge posture regarding user private keys. Key custody is strictly client-side via injected Web3 providers (MetaMask).</w:t>
      </w:r>
    </w:p>
    <w:p w14:paraId="3472D33B" w14:textId="77777777" w:rsidR="00F24514" w:rsidRDefault="00000000">
      <w:r>
        <w:t>• Cryptographic Challenge-Response Sessions: Eliminates traditional stateful cookie vulnerabilities by enforcing cryptographic nonces signed via Web3 wallets, generating short-lived, HMAC-SHA256 verified JWT session tokens.</w:t>
      </w:r>
    </w:p>
    <w:p w14:paraId="341E5C9F" w14:textId="77777777" w:rsidR="00F24514" w:rsidRDefault="00000000">
      <w:r>
        <w:t>• Circuit Breaker Pattern: The AI agent functions purely as an unprivileged compiler of intent. It holds zero signing authority; any deviation from pre-configured risk parameters triggers an immediate, hard-coded circuit breaker.</w:t>
      </w:r>
    </w:p>
    <w:p w14:paraId="0BD3FF9B" w14:textId="77777777" w:rsidR="00F24514" w:rsidRDefault="00000000">
      <w:r>
        <w:t>• Defense-in-Depth Transport Security: Enforces rigorous strict-transport-security headers, dynamic CORS domain mapping, and payload sanitization across all API endpoints.</w:t>
      </w:r>
    </w:p>
    <w:sectPr w:rsidR="00F2451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777623">
    <w:abstractNumId w:val="8"/>
  </w:num>
  <w:num w:numId="2" w16cid:durableId="439183462">
    <w:abstractNumId w:val="6"/>
  </w:num>
  <w:num w:numId="3" w16cid:durableId="1839349353">
    <w:abstractNumId w:val="5"/>
  </w:num>
  <w:num w:numId="4" w16cid:durableId="1568685610">
    <w:abstractNumId w:val="4"/>
  </w:num>
  <w:num w:numId="5" w16cid:durableId="1957829965">
    <w:abstractNumId w:val="7"/>
  </w:num>
  <w:num w:numId="6" w16cid:durableId="818957066">
    <w:abstractNumId w:val="3"/>
  </w:num>
  <w:num w:numId="7" w16cid:durableId="1422605183">
    <w:abstractNumId w:val="2"/>
  </w:num>
  <w:num w:numId="8" w16cid:durableId="461659931">
    <w:abstractNumId w:val="1"/>
  </w:num>
  <w:num w:numId="9" w16cid:durableId="1862281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1DB"/>
    <w:rsid w:val="00326F90"/>
    <w:rsid w:val="004E5C17"/>
    <w:rsid w:val="0078638E"/>
    <w:rsid w:val="00AA1D8D"/>
    <w:rsid w:val="00B47730"/>
    <w:rsid w:val="00CB0664"/>
    <w:rsid w:val="00F24514"/>
    <w:rsid w:val="00F920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832B0"/>
  <w14:defaultImageDpi w14:val="300"/>
  <w15:docId w15:val="{95FDE72C-E2B7-4687-AB70-AE3AAAE38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SADMAN ARIAN</dc:creator>
  <cp:keywords/>
  <dc:description>generated by python-docx</dc:description>
  <cp:lastModifiedBy>SADMAN ARIAN</cp:lastModifiedBy>
  <cp:revision>1</cp:revision>
  <dcterms:created xsi:type="dcterms:W3CDTF">2026-10-20T13:55:00Z</dcterms:created>
  <dcterms:modified xsi:type="dcterms:W3CDTF">2026-10-20T13:55:00Z</dcterms:modified>
  <cp:category/>
</cp:coreProperties>
</file>