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auto" w:line="240"/>
        <w:jc w:val="both"/>
      </w:pPr>
    </w:p>
    <w:p>
      <w:pPr>
        <w:spacing w:before="0" w:after="0" w:lineRule="auto" w:line="240"/>
        <w:jc w:val="both"/>
      </w:pPr>
    </w:p>
    <w:p>
      <w:pPr>
        <w:spacing w:before="0" w:after="80" w:lineRule="auto" w:line="360"/>
        <w:jc w:val="center"/>
      </w:pPr>
      <w:r>
        <w:rPr>
          <w:rFonts w:ascii="Times New Roman" w:hAnsi="Times New Roman" w:eastAsia="Times New Roman"/>
          <w:b/>
          <w:i w:val="0"/>
          <w:color w:val="1F4E79"/>
          <w:sz w:val="28"/>
        </w:rPr>
        <w:t>Université Abdelmalek Essaâdi</w:t>
      </w:r>
    </w:p>
    <w:p>
      <w:pPr>
        <w:spacing w:before="0" w:after="80" w:lineRule="auto" w:line="360"/>
        <w:jc w:val="center"/>
      </w:pPr>
      <w:r>
        <w:rPr>
          <w:rFonts w:ascii="Times New Roman" w:hAnsi="Times New Roman" w:eastAsia="Times New Roman"/>
          <w:b w:val="0"/>
          <w:i w:val="0"/>
          <w:sz w:val="24"/>
        </w:rPr>
        <w:t>Faculté des Sciences Juridiques, Économiques et Sociales de Tanger</w:t>
      </w:r>
    </w:p>
    <w:p>
      <w:pPr>
        <w:spacing w:before="0" w:after="80" w:lineRule="auto" w:line="360"/>
        <w:jc w:val="center"/>
      </w:pPr>
      <w:r>
        <w:rPr>
          <w:rFonts w:ascii="Times New Roman" w:hAnsi="Times New Roman" w:eastAsia="Times New Roman"/>
          <w:b w:val="0"/>
          <w:i w:val="0"/>
          <w:sz w:val="24"/>
        </w:rPr>
        <w:t>Master : IA pour l’Économie Numérique et la Gestion</w:t>
      </w:r>
    </w:p>
    <w:p>
      <w:pPr>
        <w:spacing w:before="0" w:after="360" w:lineRule="auto" w:line="360"/>
        <w:jc w:val="center"/>
      </w:pPr>
      <w:r>
        <w:rPr>
          <w:rFonts w:ascii="Times New Roman" w:hAnsi="Times New Roman" w:eastAsia="Times New Roman"/>
          <w:b w:val="0"/>
          <w:i w:val="0"/>
          <w:sz w:val="24"/>
        </w:rPr>
        <w:t>Module : Management de Projet</w:t>
      </w:r>
    </w:p>
    <w:p>
      <w:pPr>
        <w:spacing w:before="120" w:after="360" w:lineRule="auto" w:line="360"/>
        <w:jc w:val="center"/>
        <w:pBdr>
          <w:bottom w:val="single" w:sz="12" w:space="1" w:color="1F4E79"/>
        </w:pBdr>
      </w:pPr>
    </w:p>
    <w:p>
      <w:pPr>
        <w:spacing w:before="240" w:after="360" w:lineRule="auto" w:line="360"/>
        <w:jc w:val="center"/>
      </w:pPr>
      <w:r>
        <w:rPr>
          <w:rFonts w:ascii="Times New Roman" w:hAnsi="Times New Roman" w:eastAsia="Times New Roman"/>
          <w:b/>
          <w:i w:val="0"/>
          <w:sz w:val="32"/>
        </w:rPr>
        <w:t>Rapport de Management de Projet</w:t>
      </w:r>
    </w:p>
    <w:p>
      <w:pPr>
        <w:spacing w:before="120" w:after="280" w:lineRule="auto" w:line="360"/>
        <w:jc w:val="center"/>
      </w:pPr>
      <w:r>
        <w:rPr>
          <w:rFonts w:ascii="Times New Roman" w:hAnsi="Times New Roman" w:eastAsia="Times New Roman"/>
          <w:b/>
          <w:i w:val="0"/>
          <w:color w:val="1F4E79"/>
          <w:sz w:val="56"/>
        </w:rPr>
        <w:t>ReadyToGo</w:t>
      </w:r>
    </w:p>
    <w:p>
      <w:pPr>
        <w:spacing w:before="120" w:after="480" w:lineRule="auto" w:line="360"/>
        <w:jc w:val="center"/>
      </w:pPr>
      <w:r>
        <w:rPr>
          <w:rFonts w:ascii="Times New Roman" w:hAnsi="Times New Roman" w:eastAsia="Times New Roman"/>
          <w:b w:val="0"/>
          <w:i/>
          <w:sz w:val="26"/>
        </w:rPr>
        <w:t>Service intelligent de trottinettes électriques pour améliorer</w:t>
        <w:br/>
        <w:t>la mobilité urbaine à Tanger dans la perspective</w:t>
        <w:br/>
        <w:t>de la Coupe du Monde 2030</w:t>
      </w:r>
    </w:p>
    <w:p>
      <w:pPr>
        <w:spacing w:before="120" w:after="360" w:lineRule="auto" w:line="360"/>
        <w:jc w:val="center"/>
        <w:pBdr>
          <w:bottom w:val="single" w:sz="12" w:space="1" w:color="1F4E79"/>
        </w:pBdr>
      </w:pPr>
    </w:p>
    <w:p>
      <w:pPr>
        <w:spacing w:before="0" w:after="0" w:lineRule="auto" w:line="240"/>
        <w:jc w:val="both"/>
      </w:pPr>
    </w:p>
    <w:p>
      <w:pPr>
        <w:spacing w:before="240" w:after="80" w:lineRule="auto" w:line="360"/>
        <w:jc w:val="center"/>
      </w:pPr>
      <w:r>
        <w:rPr>
          <w:rFonts w:ascii="Times New Roman" w:hAnsi="Times New Roman" w:eastAsia="Times New Roman"/>
          <w:b/>
          <w:i w:val="0"/>
          <w:sz w:val="24"/>
        </w:rPr>
        <w:t>Réalisé par :</w:t>
      </w:r>
    </w:p>
    <w:p>
      <w:pPr>
        <w:spacing w:before="0" w:after="40" w:lineRule="auto" w:line="360"/>
        <w:jc w:val="center"/>
      </w:pPr>
      <w:r>
        <w:rPr>
          <w:rFonts w:ascii="Times New Roman" w:hAnsi="Times New Roman" w:eastAsia="Times New Roman"/>
          <w:b w:val="0"/>
          <w:i w:val="0"/>
          <w:sz w:val="24"/>
        </w:rPr>
        <w:t>Nom 1</w:t>
      </w:r>
    </w:p>
    <w:p>
      <w:pPr>
        <w:spacing w:before="0" w:after="40" w:lineRule="auto" w:line="360"/>
        <w:jc w:val="center"/>
      </w:pPr>
      <w:r>
        <w:rPr>
          <w:rFonts w:ascii="Times New Roman" w:hAnsi="Times New Roman" w:eastAsia="Times New Roman"/>
          <w:b w:val="0"/>
          <w:i w:val="0"/>
          <w:sz w:val="24"/>
        </w:rPr>
        <w:t>Nom 2</w:t>
      </w:r>
    </w:p>
    <w:p>
      <w:pPr>
        <w:spacing w:before="0" w:after="40" w:lineRule="auto" w:line="360"/>
        <w:jc w:val="center"/>
      </w:pPr>
      <w:r>
        <w:rPr>
          <w:rFonts w:ascii="Times New Roman" w:hAnsi="Times New Roman" w:eastAsia="Times New Roman"/>
          <w:b w:val="0"/>
          <w:i w:val="0"/>
          <w:sz w:val="24"/>
        </w:rPr>
        <w:t>Nom 3</w:t>
      </w:r>
    </w:p>
    <w:p>
      <w:pPr>
        <w:spacing w:before="0" w:after="40" w:lineRule="auto" w:line="360"/>
        <w:jc w:val="center"/>
      </w:pPr>
      <w:r>
        <w:rPr>
          <w:rFonts w:ascii="Times New Roman" w:hAnsi="Times New Roman" w:eastAsia="Times New Roman"/>
          <w:b w:val="0"/>
          <w:i w:val="0"/>
          <w:sz w:val="24"/>
        </w:rPr>
        <w:t>Nom 4</w:t>
      </w:r>
    </w:p>
    <w:p>
      <w:pPr>
        <w:spacing w:before="360" w:after="80" w:lineRule="auto" w:line="360"/>
        <w:jc w:val="center"/>
      </w:pPr>
      <w:r>
        <w:rPr>
          <w:rFonts w:ascii="Times New Roman" w:hAnsi="Times New Roman" w:eastAsia="Times New Roman"/>
          <w:b/>
          <w:i w:val="0"/>
          <w:sz w:val="24"/>
        </w:rPr>
        <w:t>Encadré par :</w:t>
      </w:r>
    </w:p>
    <w:p>
      <w:pPr>
        <w:spacing w:before="0" w:after="480" w:lineRule="auto" w:line="360"/>
        <w:jc w:val="center"/>
      </w:pPr>
      <w:r>
        <w:rPr>
          <w:rFonts w:ascii="Times New Roman" w:hAnsi="Times New Roman" w:eastAsia="Times New Roman"/>
          <w:b w:val="0"/>
          <w:i w:val="0"/>
          <w:sz w:val="24"/>
        </w:rPr>
        <w:t>Pr. EL HAJJAJI</w:t>
      </w:r>
    </w:p>
    <w:p>
      <w:pPr>
        <w:spacing w:before="240" w:after="80" w:lineRule="auto" w:line="360"/>
        <w:jc w:val="center"/>
      </w:pPr>
      <w:r>
        <w:rPr>
          <w:rFonts w:ascii="Times New Roman" w:hAnsi="Times New Roman" w:eastAsia="Times New Roman"/>
          <w:b/>
          <w:i w:val="0"/>
          <w:sz w:val="24"/>
        </w:rPr>
        <w:t>Année universitaire :</w:t>
      </w:r>
    </w:p>
    <w:p>
      <w:pPr>
        <w:spacing w:before="0" w:after="120" w:lineRule="auto" w:line="360"/>
        <w:jc w:val="center"/>
      </w:pPr>
      <w:r>
        <w:rPr>
          <w:rFonts w:ascii="Times New Roman" w:hAnsi="Times New Roman" w:eastAsia="Times New Roman"/>
          <w:b w:val="0"/>
          <w:i w:val="0"/>
          <w:sz w:val="24"/>
        </w:rPr>
        <w:t>2025 / 2026</w:t>
      </w:r>
    </w:p>
    <w:p>
      <w:pPr>
        <w:spacing w:before="360" w:after="0" w:lineRule="auto" w:line="360"/>
        <w:jc w:val="center"/>
      </w:pPr>
      <w:r>
        <w:rPr>
          <w:rFonts w:ascii="Times New Roman" w:hAnsi="Times New Roman" w:eastAsia="Times New Roman"/>
          <w:b w:val="0"/>
          <w:i/>
          <w:color w:val="888888"/>
          <w:sz w:val="18"/>
        </w:rPr>
        <w:t>[Emplacement suggéré : logo de l’Université / de la Faculté en en-tête de la page de garde]</w:t>
      </w:r>
    </w:p>
    <w:p>
      <w:r>
        <w:br w:type="page"/>
      </w:r>
    </w:p>
    <w:p>
      <w:pPr>
        <w:pStyle w:val="Heading1"/>
        <w:spacing w:before="0" w:after="240" w:lineRule="auto" w:line="360"/>
        <w:jc w:val="left"/>
      </w:pPr>
      <w:r>
        <w:rPr>
          <w:rFonts w:ascii="Times New Roman" w:hAnsi="Times New Roman" w:eastAsia="Times New Roman"/>
          <w:b/>
          <w:i w:val="0"/>
          <w:color w:val="1F4E79"/>
          <w:sz w:val="32"/>
        </w:rPr>
        <w:t>Remerciements</w:t>
      </w:r>
    </w:p>
    <w:p>
      <w:pPr>
        <w:spacing w:before="0" w:after="200" w:lineRule="auto" w:line="360"/>
        <w:ind w:firstLine="425"/>
        <w:jc w:val="both"/>
      </w:pPr>
      <w:r>
        <w:rPr>
          <w:rFonts w:ascii="Times New Roman" w:hAnsi="Times New Roman" w:eastAsia="Times New Roman"/>
          <w:b w:val="0"/>
          <w:i w:val="0"/>
          <w:sz w:val="24"/>
        </w:rPr>
        <w:t>Nous tenons à exprimer nos sincères remerciements à notre professeur encadrant, Pr. EL HAJJAJI, pour la qualité de son accompagnement, ses orientations méthodologiques et les connaissances transmises dans le cadre du module de Management de Projet.</w:t>
      </w:r>
    </w:p>
    <w:p>
      <w:pPr>
        <w:spacing w:before="0" w:after="200" w:lineRule="auto" w:line="360"/>
        <w:ind w:firstLine="425"/>
        <w:jc w:val="both"/>
      </w:pPr>
      <w:r>
        <w:rPr>
          <w:rFonts w:ascii="Times New Roman" w:hAnsi="Times New Roman" w:eastAsia="Times New Roman"/>
          <w:b w:val="0"/>
          <w:i w:val="0"/>
          <w:sz w:val="24"/>
        </w:rPr>
        <w:t>Nous remercions également l’ensemble des membres de notre équipe pour leur implication, leur esprit de collaboration et leur contribution à la construction progressive de ce projet. Ce travail nous a permis de mettre en pratique les outils fondamentaux du management de projet, notamment le cadrage, la planification, la gestion des risques, le suivi des indicateurs et la préparation des livrables.</w:t>
      </w:r>
    </w:p>
    <w:p>
      <w:pPr>
        <w:spacing w:before="0" w:after="200" w:lineRule="auto" w:line="360"/>
        <w:ind w:firstLine="425"/>
        <w:jc w:val="both"/>
      </w:pPr>
      <w:r>
        <w:rPr>
          <w:rFonts w:ascii="Times New Roman" w:hAnsi="Times New Roman" w:eastAsia="Times New Roman"/>
          <w:b w:val="0"/>
          <w:i w:val="0"/>
          <w:sz w:val="24"/>
        </w:rPr>
        <w:t>Enfin, nous remercions toutes les personnes qui ont contribué, directement ou indirectement, à enrichir notre réflexion autour des problématiques de mobilité urbaine, de développement durable et d’amélioration des services de transport à Tanger.</w:t>
      </w:r>
    </w:p>
    <w:p>
      <w:r>
        <w:br w:type="page"/>
      </w:r>
    </w:p>
    <w:p>
      <w:pPr>
        <w:pStyle w:val="Heading1"/>
        <w:spacing w:before="0" w:after="240" w:lineRule="auto" w:line="360"/>
        <w:jc w:val="left"/>
      </w:pPr>
      <w:r>
        <w:rPr>
          <w:rFonts w:ascii="Times New Roman" w:hAnsi="Times New Roman" w:eastAsia="Times New Roman"/>
          <w:b/>
          <w:i w:val="0"/>
          <w:color w:val="1F4E79"/>
          <w:sz w:val="32"/>
        </w:rPr>
        <w:t>Résumé exécutif</w:t>
      </w:r>
    </w:p>
    <w:p>
      <w:pPr>
        <w:spacing w:before="0" w:after="200" w:lineRule="auto" w:line="360"/>
        <w:ind w:firstLine="425"/>
        <w:jc w:val="both"/>
      </w:pPr>
      <w:r>
        <w:rPr>
          <w:rFonts w:ascii="Times New Roman" w:hAnsi="Times New Roman" w:eastAsia="Times New Roman"/>
          <w:b w:val="0"/>
          <w:i w:val="0"/>
          <w:sz w:val="24"/>
        </w:rPr>
        <w:t>Le présent rapport porte sur le projet ReadyToGo, un service intelligent de trottinettes électriques en libre-service destiné à améliorer la mobilité urbaine à Tanger. Le projet s’inscrit dans un contexte marqué par la croissance de la circulation urbaine, la congestion des axes principaux et les besoins futurs liés à l’accueil d’événements internationaux, notamment la Coupe du Monde 2030.</w:t>
      </w:r>
    </w:p>
    <w:p>
      <w:pPr>
        <w:spacing w:before="0" w:after="200" w:lineRule="auto" w:line="360"/>
        <w:ind w:firstLine="425"/>
        <w:jc w:val="both"/>
      </w:pPr>
      <w:r>
        <w:rPr>
          <w:rFonts w:ascii="Times New Roman" w:hAnsi="Times New Roman" w:eastAsia="Times New Roman"/>
          <w:b w:val="0"/>
          <w:i w:val="0"/>
          <w:sz w:val="24"/>
        </w:rPr>
        <w:t>ReadyToGo propose une solution de mobilité légère, flexible et accessible, permettant aux habitants, étudiants, touristes et visiteurs de se déplacer rapidement sur des trajets courts et moyens. Le service repose sur une application mobile, des trottinettes électriques géolocalisées, des zones de stationnement autorisées et un système de paiement simple.</w:t>
      </w:r>
    </w:p>
    <w:p>
      <w:pPr>
        <w:spacing w:before="0" w:after="200" w:lineRule="auto" w:line="360"/>
        <w:ind w:firstLine="425"/>
        <w:jc w:val="both"/>
      </w:pPr>
      <w:r>
        <w:rPr>
          <w:rFonts w:ascii="Times New Roman" w:hAnsi="Times New Roman" w:eastAsia="Times New Roman"/>
          <w:b w:val="0"/>
          <w:i w:val="0"/>
          <w:sz w:val="24"/>
        </w:rPr>
        <w:t>L’objectif du projet est de concevoir, tester et déployer progressivement un service de micromobilité à Tanger, en commençant par une phase pilote limitée à certaines zones stratégiques telles que la corniche, le centre-ville, la gare Tanger-Ville et les quartiers touristiques. À moyen terme, le service pourra être étendu vers l’aéroport Ibn Battouta, les zones hôtelières et le Grand Stade de Tanger.</w:t>
      </w:r>
    </w:p>
    <w:p>
      <w:pPr>
        <w:spacing w:before="0" w:after="200" w:lineRule="auto" w:line="360"/>
        <w:ind w:firstLine="425"/>
        <w:jc w:val="both"/>
      </w:pPr>
      <w:r>
        <w:rPr>
          <w:rFonts w:ascii="Times New Roman" w:hAnsi="Times New Roman" w:eastAsia="Times New Roman"/>
          <w:b w:val="0"/>
          <w:i w:val="0"/>
          <w:sz w:val="24"/>
        </w:rPr>
        <w:t>Ce rapport présente le projet selon une démarche complète de management de projet. Il traite le cadrage, les objectifs SMART, les parties prenantes, le périmètre, le cahier des charges, la méthode de gestion adoptée, la planification, le budget prévisionnel, la gestion des risques, les indicateurs de suivi, la communication, les scénarios d’usage et la clôture du projet.</w:t>
      </w:r>
    </w:p>
    <w:p>
      <w:pPr>
        <w:spacing w:before="0" w:after="200" w:lineRule="auto" w:line="360"/>
        <w:ind w:firstLine="425"/>
        <w:jc w:val="both"/>
      </w:pPr>
      <w:r>
        <w:rPr>
          <w:rFonts w:ascii="Times New Roman" w:hAnsi="Times New Roman" w:eastAsia="Times New Roman"/>
          <w:b w:val="0"/>
          <w:i w:val="0"/>
          <w:sz w:val="24"/>
        </w:rPr>
        <w:t>La méthodologie retenue est une approche hybride combinant la rigueur de la gestion classique pour le cadrage, le budget et les autorisations, avec l’agilité pour le développement de l’application mobile, les tests utilisateurs et l’amélioration continue du service.</w:t>
      </w:r>
    </w:p>
    <w:p>
      <w:r>
        <w:br w:type="page"/>
      </w:r>
    </w:p>
    <w:p>
      <w:pPr>
        <w:pStyle w:val="Heading1"/>
        <w:spacing w:before="0" w:after="240" w:lineRule="auto" w:line="360"/>
        <w:jc w:val="left"/>
      </w:pPr>
      <w:r>
        <w:rPr>
          <w:rFonts w:ascii="Times New Roman" w:hAnsi="Times New Roman" w:eastAsia="Times New Roman"/>
          <w:b/>
          <w:i w:val="0"/>
          <w:color w:val="1F4E79"/>
          <w:sz w:val="32"/>
        </w:rPr>
        <w:t>Abstract</w:t>
      </w:r>
    </w:p>
    <w:p>
      <w:pPr>
        <w:spacing w:before="0" w:after="200" w:lineRule="auto" w:line="360"/>
        <w:ind w:firstLine="425"/>
        <w:jc w:val="both"/>
      </w:pPr>
      <w:r>
        <w:rPr>
          <w:rFonts w:ascii="Times New Roman" w:hAnsi="Times New Roman" w:eastAsia="Times New Roman"/>
          <w:b w:val="0"/>
          <w:i w:val="0"/>
          <w:sz w:val="24"/>
        </w:rPr>
        <w:t>This report presents ReadyToGo, a smart electric scooter-sharing service designed to improve urban mobility in Tangier, Morocco. The project responds to increasing traffic congestion, growing mobility needs, and the city’s preparation for major international events such as the 2030 FIFA World Cup.</w:t>
      </w:r>
    </w:p>
    <w:p>
      <w:pPr>
        <w:spacing w:before="0" w:after="200" w:lineRule="auto" w:line="360"/>
        <w:ind w:firstLine="425"/>
        <w:jc w:val="both"/>
      </w:pPr>
      <w:r>
        <w:rPr>
          <w:rFonts w:ascii="Times New Roman" w:hAnsi="Times New Roman" w:eastAsia="Times New Roman"/>
          <w:b w:val="0"/>
          <w:i w:val="0"/>
          <w:sz w:val="24"/>
        </w:rPr>
        <w:t>ReadyToGo aims to provide a flexible, affordable and environmentally friendly mobility solution for residents, students, tourists and visitors. The service is based on a mobile application, GPS-enabled electric scooters, designated parking zones, digital payment and operational maintenance teams.</w:t>
      </w:r>
    </w:p>
    <w:p>
      <w:pPr>
        <w:spacing w:before="0" w:after="200" w:lineRule="auto" w:line="360"/>
        <w:ind w:firstLine="425"/>
        <w:jc w:val="both"/>
      </w:pPr>
      <w:r>
        <w:rPr>
          <w:rFonts w:ascii="Times New Roman" w:hAnsi="Times New Roman" w:eastAsia="Times New Roman"/>
          <w:b w:val="0"/>
          <w:i w:val="0"/>
          <w:sz w:val="24"/>
        </w:rPr>
        <w:t>The project will be implemented progressively, starting with a pilot phase in strategic areas such as the city center, the corniche, Tangier-Ville railway station and tourist districts. Later phases may extend the service to Ibn Battouta Airport, hotel areas and the Grand Stadium of Tangier.</w:t>
      </w:r>
    </w:p>
    <w:p>
      <w:pPr>
        <w:spacing w:before="0" w:after="200" w:lineRule="auto" w:line="360"/>
        <w:ind w:firstLine="425"/>
        <w:jc w:val="both"/>
      </w:pPr>
      <w:r>
        <w:rPr>
          <w:rFonts w:ascii="Times New Roman" w:hAnsi="Times New Roman" w:eastAsia="Times New Roman"/>
          <w:b w:val="0"/>
          <w:i w:val="0"/>
          <w:sz w:val="24"/>
        </w:rPr>
        <w:t>This report applies project management concepts including project framing, SMART objectives, stakeholder analysis, scope definition, specifications, hybrid project methodology, WBS, roadmap, Gantt planning, PERT analysis, budgeting, risk management, KPI monitoring, communication planning and project closure.</w:t>
      </w:r>
    </w:p>
    <w:p>
      <w:pPr>
        <w:spacing w:before="0" w:after="200" w:lineRule="auto" w:line="360"/>
        <w:ind w:firstLine="425"/>
        <w:jc w:val="both"/>
      </w:pPr>
      <w:r>
        <w:rPr>
          <w:rFonts w:ascii="Times New Roman" w:hAnsi="Times New Roman" w:eastAsia="Times New Roman"/>
          <w:b w:val="0"/>
          <w:i w:val="0"/>
          <w:sz w:val="24"/>
        </w:rPr>
        <w:t>The selected methodology is hybrid: a traditional approach is used for feasibility, authorizations, budgeting and governance, while an agile approach is used for the mobile application, user testing and continuous improvement.</w:t>
      </w:r>
    </w:p>
    <w:p>
      <w:r>
        <w:br w:type="page"/>
      </w:r>
    </w:p>
    <w:p>
      <w:pPr>
        <w:pStyle w:val="Heading1"/>
        <w:spacing w:before="0" w:after="240" w:lineRule="auto" w:line="360"/>
        <w:jc w:val="left"/>
      </w:pPr>
      <w:r>
        <w:rPr>
          <w:rFonts w:ascii="Times New Roman" w:hAnsi="Times New Roman" w:eastAsia="Times New Roman"/>
          <w:b/>
          <w:i w:val="0"/>
          <w:color w:val="1F4E79"/>
          <w:sz w:val="32"/>
        </w:rPr>
        <w:t>Liste des sigles et abréviations</w:t>
      </w:r>
    </w:p>
    <w:p>
      <w:pPr>
        <w:spacing w:before="0" w:after="240" w:lineRule="auto" w:line="360"/>
        <w:ind w:firstLine="0"/>
        <w:jc w:val="both"/>
      </w:pPr>
      <w:r>
        <w:rPr>
          <w:rFonts w:ascii="Times New Roman" w:hAnsi="Times New Roman" w:eastAsia="Times New Roman"/>
          <w:b w:val="0"/>
          <w:i w:val="0"/>
          <w:sz w:val="24"/>
        </w:rPr>
        <w:t>Les sigles et abréviations utilisés dans le présent rapport sont présentés ci-dessous.</w:t>
      </w:r>
    </w:p>
    <w:tbl>
      <w:tblPr>
        <w:tblStyle w:val="TableGrid"/>
        <w:tblW w:type="auto" w:w="0"/>
        <w:jc w:val="center"/>
        <w:tblLook w:firstColumn="1" w:firstRow="1" w:lastColumn="0" w:lastRow="0" w:noHBand="0" w:noVBand="1" w:val="04A0"/>
      </w:tblPr>
      <w:tblGrid>
        <w:gridCol w:w="4536"/>
        <w:gridCol w:w="4536"/>
      </w:tblGrid>
      <w:tr>
        <w:tc>
          <w:tcPr>
            <w:tcW w:type="dxa" w:w="1984"/>
            <w:shd w:fill="1F4E79" w:val="clear"/>
            <w:tcBorders>
              <w:top w:val="single" w:sz="4" w:space="0" w:color="1F4E79"/>
              <w:left w:val="single" w:sz="4" w:space="0" w:color="1F4E79"/>
              <w:bottom w:val="single" w:sz="4" w:space="0" w:color="1F4E79"/>
              <w:right w:val="single" w:sz="4" w:space="0" w:color="1F4E79"/>
            </w:tcBorders>
          </w:tcPr>
          <w:p>
            <w:pPr>
              <w:spacing w:before="0" w:after="0" w:lineRule="auto" w:line="276"/>
              <w:jc w:val="center"/>
            </w:pPr>
            <w:r>
              <w:rPr>
                <w:rFonts w:ascii="Times New Roman" w:hAnsi="Times New Roman" w:eastAsia="Times New Roman"/>
                <w:b/>
                <w:i w:val="0"/>
                <w:color w:val="FFFFFF"/>
                <w:sz w:val="22"/>
              </w:rPr>
              <w:t>Sigle</w:t>
            </w:r>
          </w:p>
        </w:tc>
        <w:tc>
          <w:tcPr>
            <w:tcW w:type="dxa" w:w="7087"/>
            <w:shd w:fill="1F4E79" w:val="clear"/>
            <w:tcBorders>
              <w:top w:val="single" w:sz="4" w:space="0" w:color="1F4E79"/>
              <w:left w:val="single" w:sz="4" w:space="0" w:color="1F4E79"/>
              <w:bottom w:val="single" w:sz="4" w:space="0" w:color="1F4E79"/>
              <w:right w:val="single" w:sz="4" w:space="0" w:color="1F4E79"/>
            </w:tcBorders>
          </w:tcPr>
          <w:p>
            <w:pPr>
              <w:spacing w:before="0" w:after="0" w:lineRule="auto" w:line="276"/>
              <w:jc w:val="center"/>
            </w:pPr>
            <w:r>
              <w:rPr>
                <w:rFonts w:ascii="Times New Roman" w:hAnsi="Times New Roman" w:eastAsia="Times New Roman"/>
                <w:b/>
                <w:i w:val="0"/>
                <w:color w:val="FFFFFF"/>
                <w:sz w:val="22"/>
              </w:rPr>
              <w:t>Signification</w:t>
            </w:r>
          </w:p>
        </w:tc>
      </w:tr>
      <w:tr>
        <w:tc>
          <w:tcPr>
            <w:tcW w:type="dxa" w:w="1984"/>
            <w:tcBorders>
              <w:top w:val="single" w:sz="4" w:space="0" w:color="1F4E79"/>
              <w:left w:val="single" w:sz="4" w:space="0" w:color="1F4E79"/>
              <w:bottom w:val="single" w:sz="4" w:space="0" w:color="1F4E79"/>
              <w:right w:val="single" w:sz="4" w:space="0" w:color="1F4E79"/>
            </w:tcBorders>
          </w:tcPr>
          <w:p>
            <w:pPr>
              <w:spacing w:before="0" w:after="0" w:lineRule="auto" w:line="276"/>
              <w:jc w:val="center"/>
            </w:pPr>
            <w:r>
              <w:rPr>
                <w:rFonts w:ascii="Times New Roman" w:hAnsi="Times New Roman" w:eastAsia="Times New Roman"/>
                <w:b/>
                <w:i w:val="0"/>
                <w:sz w:val="22"/>
              </w:rPr>
              <w:t>BRT</w:t>
            </w:r>
          </w:p>
        </w:tc>
        <w:tc>
          <w:tcPr>
            <w:tcW w:type="dxa" w:w="7087"/>
            <w:tcBorders>
              <w:top w:val="single" w:sz="4" w:space="0" w:color="1F4E79"/>
              <w:left w:val="single" w:sz="4" w:space="0" w:color="1F4E79"/>
              <w:bottom w:val="single" w:sz="4" w:space="0" w:color="1F4E79"/>
              <w:right w:val="single" w:sz="4" w:space="0" w:color="1F4E79"/>
            </w:tcBorders>
          </w:tcPr>
          <w:p>
            <w:pPr>
              <w:spacing w:before="0" w:after="0" w:lineRule="auto" w:line="276"/>
              <w:jc w:val="left"/>
            </w:pPr>
            <w:r>
              <w:rPr>
                <w:rFonts w:ascii="Times New Roman" w:hAnsi="Times New Roman" w:eastAsia="Times New Roman"/>
                <w:b w:val="0"/>
                <w:i w:val="0"/>
                <w:sz w:val="22"/>
              </w:rPr>
              <w:t>Bus Rapid Transit</w:t>
            </w:r>
          </w:p>
        </w:tc>
      </w:tr>
      <w:tr>
        <w:tc>
          <w:tcPr>
            <w:tcW w:type="dxa" w:w="1984"/>
            <w:tcBorders>
              <w:top w:val="single" w:sz="4" w:space="0" w:color="1F4E79"/>
              <w:left w:val="single" w:sz="4" w:space="0" w:color="1F4E79"/>
              <w:bottom w:val="single" w:sz="4" w:space="0" w:color="1F4E79"/>
              <w:right w:val="single" w:sz="4" w:space="0" w:color="1F4E79"/>
            </w:tcBorders>
          </w:tcPr>
          <w:p>
            <w:pPr>
              <w:spacing w:before="0" w:after="0" w:lineRule="auto" w:line="276"/>
              <w:jc w:val="center"/>
            </w:pPr>
            <w:r>
              <w:rPr>
                <w:rFonts w:ascii="Times New Roman" w:hAnsi="Times New Roman" w:eastAsia="Times New Roman"/>
                <w:b/>
                <w:i w:val="0"/>
                <w:sz w:val="22"/>
              </w:rPr>
              <w:t>CNDP</w:t>
            </w:r>
          </w:p>
        </w:tc>
        <w:tc>
          <w:tcPr>
            <w:tcW w:type="dxa" w:w="7087"/>
            <w:tcBorders>
              <w:top w:val="single" w:sz="4" w:space="0" w:color="1F4E79"/>
              <w:left w:val="single" w:sz="4" w:space="0" w:color="1F4E79"/>
              <w:bottom w:val="single" w:sz="4" w:space="0" w:color="1F4E79"/>
              <w:right w:val="single" w:sz="4" w:space="0" w:color="1F4E79"/>
            </w:tcBorders>
          </w:tcPr>
          <w:p>
            <w:pPr>
              <w:spacing w:before="0" w:after="0" w:lineRule="auto" w:line="276"/>
              <w:jc w:val="left"/>
            </w:pPr>
            <w:r>
              <w:rPr>
                <w:rFonts w:ascii="Times New Roman" w:hAnsi="Times New Roman" w:eastAsia="Times New Roman"/>
                <w:b w:val="0"/>
                <w:i w:val="0"/>
                <w:sz w:val="22"/>
              </w:rPr>
              <w:t>Commission Nationale de Contrôle de la Protection des Données à Caractère Personnel</w:t>
            </w:r>
          </w:p>
        </w:tc>
      </w:tr>
      <w:tr>
        <w:tc>
          <w:tcPr>
            <w:tcW w:type="dxa" w:w="1984"/>
            <w:tcBorders>
              <w:top w:val="single" w:sz="4" w:space="0" w:color="1F4E79"/>
              <w:left w:val="single" w:sz="4" w:space="0" w:color="1F4E79"/>
              <w:bottom w:val="single" w:sz="4" w:space="0" w:color="1F4E79"/>
              <w:right w:val="single" w:sz="4" w:space="0" w:color="1F4E79"/>
            </w:tcBorders>
          </w:tcPr>
          <w:p>
            <w:pPr>
              <w:spacing w:before="0" w:after="0" w:lineRule="auto" w:line="276"/>
              <w:jc w:val="center"/>
            </w:pPr>
            <w:r>
              <w:rPr>
                <w:rFonts w:ascii="Times New Roman" w:hAnsi="Times New Roman" w:eastAsia="Times New Roman"/>
                <w:b/>
                <w:i w:val="0"/>
                <w:sz w:val="22"/>
              </w:rPr>
              <w:t>GPS</w:t>
            </w:r>
          </w:p>
        </w:tc>
        <w:tc>
          <w:tcPr>
            <w:tcW w:type="dxa" w:w="7087"/>
            <w:tcBorders>
              <w:top w:val="single" w:sz="4" w:space="0" w:color="1F4E79"/>
              <w:left w:val="single" w:sz="4" w:space="0" w:color="1F4E79"/>
              <w:bottom w:val="single" w:sz="4" w:space="0" w:color="1F4E79"/>
              <w:right w:val="single" w:sz="4" w:space="0" w:color="1F4E79"/>
            </w:tcBorders>
          </w:tcPr>
          <w:p>
            <w:pPr>
              <w:spacing w:before="0" w:after="0" w:lineRule="auto" w:line="276"/>
              <w:jc w:val="left"/>
            </w:pPr>
            <w:r>
              <w:rPr>
                <w:rFonts w:ascii="Times New Roman" w:hAnsi="Times New Roman" w:eastAsia="Times New Roman"/>
                <w:b w:val="0"/>
                <w:i w:val="0"/>
                <w:sz w:val="22"/>
              </w:rPr>
              <w:t>Global Positioning System</w:t>
            </w:r>
          </w:p>
        </w:tc>
      </w:tr>
      <w:tr>
        <w:tc>
          <w:tcPr>
            <w:tcW w:type="dxa" w:w="1984"/>
            <w:tcBorders>
              <w:top w:val="single" w:sz="4" w:space="0" w:color="1F4E79"/>
              <w:left w:val="single" w:sz="4" w:space="0" w:color="1F4E79"/>
              <w:bottom w:val="single" w:sz="4" w:space="0" w:color="1F4E79"/>
              <w:right w:val="single" w:sz="4" w:space="0" w:color="1F4E79"/>
            </w:tcBorders>
          </w:tcPr>
          <w:p>
            <w:pPr>
              <w:spacing w:before="0" w:after="0" w:lineRule="auto" w:line="276"/>
              <w:jc w:val="center"/>
            </w:pPr>
            <w:r>
              <w:rPr>
                <w:rFonts w:ascii="Times New Roman" w:hAnsi="Times New Roman" w:eastAsia="Times New Roman"/>
                <w:b/>
                <w:i w:val="0"/>
                <w:sz w:val="22"/>
              </w:rPr>
              <w:t>IA</w:t>
            </w:r>
          </w:p>
        </w:tc>
        <w:tc>
          <w:tcPr>
            <w:tcW w:type="dxa" w:w="7087"/>
            <w:tcBorders>
              <w:top w:val="single" w:sz="4" w:space="0" w:color="1F4E79"/>
              <w:left w:val="single" w:sz="4" w:space="0" w:color="1F4E79"/>
              <w:bottom w:val="single" w:sz="4" w:space="0" w:color="1F4E79"/>
              <w:right w:val="single" w:sz="4" w:space="0" w:color="1F4E79"/>
            </w:tcBorders>
          </w:tcPr>
          <w:p>
            <w:pPr>
              <w:spacing w:before="0" w:after="0" w:lineRule="auto" w:line="276"/>
              <w:jc w:val="left"/>
            </w:pPr>
            <w:r>
              <w:rPr>
                <w:rFonts w:ascii="Times New Roman" w:hAnsi="Times New Roman" w:eastAsia="Times New Roman"/>
                <w:b w:val="0"/>
                <w:i w:val="0"/>
                <w:sz w:val="22"/>
              </w:rPr>
              <w:t>Intelligence Artificielle</w:t>
            </w:r>
          </w:p>
        </w:tc>
      </w:tr>
      <w:tr>
        <w:tc>
          <w:tcPr>
            <w:tcW w:type="dxa" w:w="1984"/>
            <w:tcBorders>
              <w:top w:val="single" w:sz="4" w:space="0" w:color="1F4E79"/>
              <w:left w:val="single" w:sz="4" w:space="0" w:color="1F4E79"/>
              <w:bottom w:val="single" w:sz="4" w:space="0" w:color="1F4E79"/>
              <w:right w:val="single" w:sz="4" w:space="0" w:color="1F4E79"/>
            </w:tcBorders>
          </w:tcPr>
          <w:p>
            <w:pPr>
              <w:spacing w:before="0" w:after="0" w:lineRule="auto" w:line="276"/>
              <w:jc w:val="center"/>
            </w:pPr>
            <w:r>
              <w:rPr>
                <w:rFonts w:ascii="Times New Roman" w:hAnsi="Times New Roman" w:eastAsia="Times New Roman"/>
                <w:b/>
                <w:i w:val="0"/>
                <w:sz w:val="22"/>
              </w:rPr>
              <w:t>KPI</w:t>
            </w:r>
          </w:p>
        </w:tc>
        <w:tc>
          <w:tcPr>
            <w:tcW w:type="dxa" w:w="7087"/>
            <w:tcBorders>
              <w:top w:val="single" w:sz="4" w:space="0" w:color="1F4E79"/>
              <w:left w:val="single" w:sz="4" w:space="0" w:color="1F4E79"/>
              <w:bottom w:val="single" w:sz="4" w:space="0" w:color="1F4E79"/>
              <w:right w:val="single" w:sz="4" w:space="0" w:color="1F4E79"/>
            </w:tcBorders>
          </w:tcPr>
          <w:p>
            <w:pPr>
              <w:spacing w:before="0" w:after="0" w:lineRule="auto" w:line="276"/>
              <w:jc w:val="left"/>
            </w:pPr>
            <w:r>
              <w:rPr>
                <w:rFonts w:ascii="Times New Roman" w:hAnsi="Times New Roman" w:eastAsia="Times New Roman"/>
                <w:b w:val="0"/>
                <w:i w:val="0"/>
                <w:sz w:val="22"/>
              </w:rPr>
              <w:t>Key Performance Indicator</w:t>
            </w:r>
          </w:p>
        </w:tc>
      </w:tr>
      <w:tr>
        <w:tc>
          <w:tcPr>
            <w:tcW w:type="dxa" w:w="1984"/>
            <w:tcBorders>
              <w:top w:val="single" w:sz="4" w:space="0" w:color="1F4E79"/>
              <w:left w:val="single" w:sz="4" w:space="0" w:color="1F4E79"/>
              <w:bottom w:val="single" w:sz="4" w:space="0" w:color="1F4E79"/>
              <w:right w:val="single" w:sz="4" w:space="0" w:color="1F4E79"/>
            </w:tcBorders>
          </w:tcPr>
          <w:p>
            <w:pPr>
              <w:spacing w:before="0" w:after="0" w:lineRule="auto" w:line="276"/>
              <w:jc w:val="center"/>
            </w:pPr>
            <w:r>
              <w:rPr>
                <w:rFonts w:ascii="Times New Roman" w:hAnsi="Times New Roman" w:eastAsia="Times New Roman"/>
                <w:b/>
                <w:i w:val="0"/>
                <w:sz w:val="22"/>
              </w:rPr>
              <w:t>MVP</w:t>
            </w:r>
          </w:p>
        </w:tc>
        <w:tc>
          <w:tcPr>
            <w:tcW w:type="dxa" w:w="7087"/>
            <w:tcBorders>
              <w:top w:val="single" w:sz="4" w:space="0" w:color="1F4E79"/>
              <w:left w:val="single" w:sz="4" w:space="0" w:color="1F4E79"/>
              <w:bottom w:val="single" w:sz="4" w:space="0" w:color="1F4E79"/>
              <w:right w:val="single" w:sz="4" w:space="0" w:color="1F4E79"/>
            </w:tcBorders>
          </w:tcPr>
          <w:p>
            <w:pPr>
              <w:spacing w:before="0" w:after="0" w:lineRule="auto" w:line="276"/>
              <w:jc w:val="left"/>
            </w:pPr>
            <w:r>
              <w:rPr>
                <w:rFonts w:ascii="Times New Roman" w:hAnsi="Times New Roman" w:eastAsia="Times New Roman"/>
                <w:b w:val="0"/>
                <w:i w:val="0"/>
                <w:sz w:val="22"/>
              </w:rPr>
              <w:t>Minimum Viable Product</w:t>
            </w:r>
          </w:p>
        </w:tc>
      </w:tr>
      <w:tr>
        <w:tc>
          <w:tcPr>
            <w:tcW w:type="dxa" w:w="1984"/>
            <w:tcBorders>
              <w:top w:val="single" w:sz="4" w:space="0" w:color="1F4E79"/>
              <w:left w:val="single" w:sz="4" w:space="0" w:color="1F4E79"/>
              <w:bottom w:val="single" w:sz="4" w:space="0" w:color="1F4E79"/>
              <w:right w:val="single" w:sz="4" w:space="0" w:color="1F4E79"/>
            </w:tcBorders>
          </w:tcPr>
          <w:p>
            <w:pPr>
              <w:spacing w:before="0" w:after="0" w:lineRule="auto" w:line="276"/>
              <w:jc w:val="center"/>
            </w:pPr>
            <w:r>
              <w:rPr>
                <w:rFonts w:ascii="Times New Roman" w:hAnsi="Times New Roman" w:eastAsia="Times New Roman"/>
                <w:b/>
                <w:i w:val="0"/>
                <w:sz w:val="22"/>
              </w:rPr>
              <w:t>PERT</w:t>
            </w:r>
          </w:p>
        </w:tc>
        <w:tc>
          <w:tcPr>
            <w:tcW w:type="dxa" w:w="7087"/>
            <w:tcBorders>
              <w:top w:val="single" w:sz="4" w:space="0" w:color="1F4E79"/>
              <w:left w:val="single" w:sz="4" w:space="0" w:color="1F4E79"/>
              <w:bottom w:val="single" w:sz="4" w:space="0" w:color="1F4E79"/>
              <w:right w:val="single" w:sz="4" w:space="0" w:color="1F4E79"/>
            </w:tcBorders>
          </w:tcPr>
          <w:p>
            <w:pPr>
              <w:spacing w:before="0" w:after="0" w:lineRule="auto" w:line="276"/>
              <w:jc w:val="left"/>
            </w:pPr>
            <w:r>
              <w:rPr>
                <w:rFonts w:ascii="Times New Roman" w:hAnsi="Times New Roman" w:eastAsia="Times New Roman"/>
                <w:b w:val="0"/>
                <w:i w:val="0"/>
                <w:sz w:val="22"/>
              </w:rPr>
              <w:t>Program Evaluation and Review Technique</w:t>
            </w:r>
          </w:p>
        </w:tc>
      </w:tr>
      <w:tr>
        <w:tc>
          <w:tcPr>
            <w:tcW w:type="dxa" w:w="1984"/>
            <w:tcBorders>
              <w:top w:val="single" w:sz="4" w:space="0" w:color="1F4E79"/>
              <w:left w:val="single" w:sz="4" w:space="0" w:color="1F4E79"/>
              <w:bottom w:val="single" w:sz="4" w:space="0" w:color="1F4E79"/>
              <w:right w:val="single" w:sz="4" w:space="0" w:color="1F4E79"/>
            </w:tcBorders>
          </w:tcPr>
          <w:p>
            <w:pPr>
              <w:spacing w:before="0" w:after="0" w:lineRule="auto" w:line="276"/>
              <w:jc w:val="center"/>
            </w:pPr>
            <w:r>
              <w:rPr>
                <w:rFonts w:ascii="Times New Roman" w:hAnsi="Times New Roman" w:eastAsia="Times New Roman"/>
                <w:b/>
                <w:i w:val="0"/>
                <w:sz w:val="22"/>
              </w:rPr>
              <w:t>RACI</w:t>
            </w:r>
          </w:p>
        </w:tc>
        <w:tc>
          <w:tcPr>
            <w:tcW w:type="dxa" w:w="7087"/>
            <w:tcBorders>
              <w:top w:val="single" w:sz="4" w:space="0" w:color="1F4E79"/>
              <w:left w:val="single" w:sz="4" w:space="0" w:color="1F4E79"/>
              <w:bottom w:val="single" w:sz="4" w:space="0" w:color="1F4E79"/>
              <w:right w:val="single" w:sz="4" w:space="0" w:color="1F4E79"/>
            </w:tcBorders>
          </w:tcPr>
          <w:p>
            <w:pPr>
              <w:spacing w:before="0" w:after="0" w:lineRule="auto" w:line="276"/>
              <w:jc w:val="left"/>
            </w:pPr>
            <w:r>
              <w:rPr>
                <w:rFonts w:ascii="Times New Roman" w:hAnsi="Times New Roman" w:eastAsia="Times New Roman"/>
                <w:b w:val="0"/>
                <w:i w:val="0"/>
                <w:sz w:val="22"/>
              </w:rPr>
              <w:t>Responsible, Accountable, Consulted, Informed</w:t>
            </w:r>
          </w:p>
        </w:tc>
      </w:tr>
      <w:tr>
        <w:tc>
          <w:tcPr>
            <w:tcW w:type="dxa" w:w="1984"/>
            <w:tcBorders>
              <w:top w:val="single" w:sz="4" w:space="0" w:color="1F4E79"/>
              <w:left w:val="single" w:sz="4" w:space="0" w:color="1F4E79"/>
              <w:bottom w:val="single" w:sz="4" w:space="0" w:color="1F4E79"/>
              <w:right w:val="single" w:sz="4" w:space="0" w:color="1F4E79"/>
            </w:tcBorders>
          </w:tcPr>
          <w:p>
            <w:pPr>
              <w:spacing w:before="0" w:after="0" w:lineRule="auto" w:line="276"/>
              <w:jc w:val="center"/>
            </w:pPr>
            <w:r>
              <w:rPr>
                <w:rFonts w:ascii="Times New Roman" w:hAnsi="Times New Roman" w:eastAsia="Times New Roman"/>
                <w:b/>
                <w:i w:val="0"/>
                <w:sz w:val="22"/>
              </w:rPr>
              <w:t>SMART</w:t>
            </w:r>
          </w:p>
        </w:tc>
        <w:tc>
          <w:tcPr>
            <w:tcW w:type="dxa" w:w="7087"/>
            <w:tcBorders>
              <w:top w:val="single" w:sz="4" w:space="0" w:color="1F4E79"/>
              <w:left w:val="single" w:sz="4" w:space="0" w:color="1F4E79"/>
              <w:bottom w:val="single" w:sz="4" w:space="0" w:color="1F4E79"/>
              <w:right w:val="single" w:sz="4" w:space="0" w:color="1F4E79"/>
            </w:tcBorders>
          </w:tcPr>
          <w:p>
            <w:pPr>
              <w:spacing w:before="0" w:after="0" w:lineRule="auto" w:line="276"/>
              <w:jc w:val="left"/>
            </w:pPr>
            <w:r>
              <w:rPr>
                <w:rFonts w:ascii="Times New Roman" w:hAnsi="Times New Roman" w:eastAsia="Times New Roman"/>
                <w:b w:val="0"/>
                <w:i w:val="0"/>
                <w:sz w:val="22"/>
              </w:rPr>
              <w:t>Spécifique, Mesurable, Atteignable, Réaliste, Temporel</w:t>
            </w:r>
          </w:p>
        </w:tc>
      </w:tr>
      <w:tr>
        <w:tc>
          <w:tcPr>
            <w:tcW w:type="dxa" w:w="1984"/>
            <w:tcBorders>
              <w:top w:val="single" w:sz="4" w:space="0" w:color="1F4E79"/>
              <w:left w:val="single" w:sz="4" w:space="0" w:color="1F4E79"/>
              <w:bottom w:val="single" w:sz="4" w:space="0" w:color="1F4E79"/>
              <w:right w:val="single" w:sz="4" w:space="0" w:color="1F4E79"/>
            </w:tcBorders>
          </w:tcPr>
          <w:p>
            <w:pPr>
              <w:spacing w:before="0" w:after="0" w:lineRule="auto" w:line="276"/>
              <w:jc w:val="center"/>
            </w:pPr>
            <w:r>
              <w:rPr>
                <w:rFonts w:ascii="Times New Roman" w:hAnsi="Times New Roman" w:eastAsia="Times New Roman"/>
                <w:b/>
                <w:i w:val="0"/>
                <w:sz w:val="22"/>
              </w:rPr>
              <w:t>WBS</w:t>
            </w:r>
          </w:p>
        </w:tc>
        <w:tc>
          <w:tcPr>
            <w:tcW w:type="dxa" w:w="7087"/>
            <w:tcBorders>
              <w:top w:val="single" w:sz="4" w:space="0" w:color="1F4E79"/>
              <w:left w:val="single" w:sz="4" w:space="0" w:color="1F4E79"/>
              <w:bottom w:val="single" w:sz="4" w:space="0" w:color="1F4E79"/>
              <w:right w:val="single" w:sz="4" w:space="0" w:color="1F4E79"/>
            </w:tcBorders>
          </w:tcPr>
          <w:p>
            <w:pPr>
              <w:spacing w:before="0" w:after="0" w:lineRule="auto" w:line="276"/>
              <w:jc w:val="left"/>
            </w:pPr>
            <w:r>
              <w:rPr>
                <w:rFonts w:ascii="Times New Roman" w:hAnsi="Times New Roman" w:eastAsia="Times New Roman"/>
                <w:b w:val="0"/>
                <w:i w:val="0"/>
                <w:sz w:val="22"/>
              </w:rPr>
              <w:t>Work Breakdown Structure</w:t>
            </w:r>
          </w:p>
        </w:tc>
      </w:tr>
    </w:tbl>
    <w:p>
      <w:pPr>
        <w:spacing w:before="160" w:after="120" w:lineRule="auto" w:line="360"/>
        <w:jc w:val="center"/>
      </w:pPr>
      <w:r>
        <w:rPr>
          <w:rFonts w:ascii="Times New Roman" w:hAnsi="Times New Roman" w:eastAsia="Times New Roman"/>
          <w:b w:val="0"/>
          <w:i/>
          <w:sz w:val="20"/>
        </w:rPr>
        <w:t>Tableau 1 — Liste des sigles et abréviations</w:t>
      </w:r>
    </w:p>
    <w:p>
      <w:r>
        <w:br w:type="page"/>
      </w:r>
    </w:p>
    <w:p>
      <w:pPr>
        <w:pStyle w:val="Heading1"/>
        <w:spacing w:before="0" w:after="240" w:lineRule="auto" w:line="360"/>
        <w:jc w:val="left"/>
      </w:pPr>
      <w:r>
        <w:rPr>
          <w:rFonts w:ascii="Times New Roman" w:hAnsi="Times New Roman" w:eastAsia="Times New Roman"/>
          <w:b/>
          <w:i w:val="0"/>
          <w:color w:val="1F4E79"/>
          <w:sz w:val="32"/>
        </w:rPr>
        <w:t>Liste des tableaux</w:t>
      </w:r>
    </w:p>
    <w:p>
      <w:pPr>
        <w:spacing w:before="0" w:after="160" w:lineRule="auto" w:line="360"/>
        <w:ind w:firstLine="0"/>
        <w:jc w:val="both"/>
      </w:pPr>
      <w:r>
        <w:rPr>
          <w:rFonts w:ascii="Times New Roman" w:hAnsi="Times New Roman" w:eastAsia="Times New Roman"/>
          <w:b w:val="0"/>
          <w:i w:val="0"/>
          <w:sz w:val="24"/>
        </w:rPr>
        <w:t>La liste des tableaux sera complétée au fur et à mesure de l’intégration des chapitres (légendes professionnelles sous chaque tableau).</w:t>
      </w:r>
    </w:p>
    <w:p>
      <w:pPr>
        <w:tabs>
          <w:tab w:pos="9071" w:val="right" w:leader="dot"/>
        </w:tabs>
        <w:spacing w:before="0" w:after="80" w:lineRule="auto" w:line="276"/>
        <w:jc w:val="both"/>
      </w:pPr>
      <w:r>
        <w:rPr>
          <w:rFonts w:ascii="Times New Roman" w:hAnsi="Times New Roman" w:eastAsia="Times New Roman"/>
          <w:b w:val="0"/>
          <w:i w:val="0"/>
          <w:sz w:val="22"/>
        </w:rPr>
        <w:t>Tableau 1 — Liste des sigles et abréviations</w:t>
      </w:r>
      <w:r>
        <w:rPr>
          <w:rFonts w:ascii="Times New Roman" w:hAnsi="Times New Roman" w:eastAsia="Times New Roman"/>
          <w:b w:val="0"/>
          <w:i w:val="0"/>
          <w:sz w:val="22"/>
        </w:rPr>
        <w:tab/>
      </w:r>
    </w:p>
    <w:p>
      <w:pPr>
        <w:spacing w:before="160" w:after="120" w:lineRule="auto" w:line="360"/>
        <w:jc w:val="both"/>
      </w:pPr>
      <w:r>
        <w:rPr>
          <w:rFonts w:ascii="Times New Roman" w:hAnsi="Times New Roman" w:eastAsia="Times New Roman"/>
          <w:b w:val="0"/>
          <w:i/>
          <w:color w:val="666666"/>
          <w:sz w:val="20"/>
        </w:rPr>
        <w:t>[Emplacement : les tableaux suivants (budget, risques, RACI, KPI, etc.) seront ajoutés lors de l’intégration des chapitres correspondants.]</w:t>
      </w:r>
    </w:p>
    <w:p>
      <w:r>
        <w:br w:type="page"/>
      </w:r>
    </w:p>
    <w:p>
      <w:pPr>
        <w:pStyle w:val="Heading1"/>
        <w:spacing w:before="0" w:after="240" w:lineRule="auto" w:line="360"/>
        <w:jc w:val="left"/>
      </w:pPr>
      <w:r>
        <w:rPr>
          <w:rFonts w:ascii="Times New Roman" w:hAnsi="Times New Roman" w:eastAsia="Times New Roman"/>
          <w:b/>
          <w:i w:val="0"/>
          <w:color w:val="1F4E79"/>
          <w:sz w:val="32"/>
        </w:rPr>
        <w:t>Liste des figures</w:t>
      </w:r>
    </w:p>
    <w:p>
      <w:pPr>
        <w:spacing w:before="0" w:after="160" w:lineRule="auto" w:line="360"/>
        <w:ind w:firstLine="0"/>
        <w:jc w:val="both"/>
      </w:pPr>
      <w:r>
        <w:rPr>
          <w:rFonts w:ascii="Times New Roman" w:hAnsi="Times New Roman" w:eastAsia="Times New Roman"/>
          <w:b w:val="0"/>
          <w:i w:val="0"/>
          <w:sz w:val="24"/>
        </w:rPr>
        <w:t>La liste des figures sera complétée au fur et à mesure de l’intégration des chapitres (légendes professionnelles sous chaque figure).</w:t>
      </w:r>
    </w:p>
    <w:p>
      <w:pPr>
        <w:spacing w:before="80" w:after="120" w:lineRule="auto" w:line="360"/>
        <w:jc w:val="both"/>
      </w:pPr>
      <w:r>
        <w:rPr>
          <w:rFonts w:ascii="Times New Roman" w:hAnsi="Times New Roman" w:eastAsia="Times New Roman"/>
          <w:b w:val="0"/>
          <w:i/>
          <w:sz w:val="24"/>
        </w:rPr>
        <w:t>Information à compléter</w:t>
      </w:r>
    </w:p>
    <w:p>
      <w:pPr>
        <w:spacing w:before="160" w:after="120" w:lineRule="auto" w:line="360"/>
        <w:jc w:val="both"/>
      </w:pPr>
      <w:r>
        <w:rPr>
          <w:rFonts w:ascii="Times New Roman" w:hAnsi="Times New Roman" w:eastAsia="Times New Roman"/>
          <w:b w:val="0"/>
          <w:i/>
          <w:color w:val="666666"/>
          <w:sz w:val="20"/>
        </w:rPr>
        <w:t>[Emplacements suggérés pour les figures à venir : logo ReadyToGo, carte des zones pilotes à Tanger, schéma du concept de service, WBS, roadmap 2026-2030, diagramme de Gantt, réseau PERT, matrice pouvoir/intérêt, matrice de criticité des risques, tableau de bord KPI.]</w:t>
      </w:r>
    </w:p>
    <w:p>
      <w:r>
        <w:br w:type="page"/>
      </w:r>
    </w:p>
    <w:p>
      <w:pPr>
        <w:pStyle w:val="Heading1"/>
        <w:spacing w:before="0" w:after="240" w:lineRule="auto" w:line="360"/>
        <w:jc w:val="left"/>
      </w:pPr>
      <w:r>
        <w:rPr>
          <w:rFonts w:ascii="Times New Roman" w:hAnsi="Times New Roman" w:eastAsia="Times New Roman"/>
          <w:b/>
          <w:i w:val="0"/>
          <w:color w:val="1F4E79"/>
          <w:sz w:val="32"/>
        </w:rPr>
        <w:t>Sommaire</w:t>
      </w:r>
    </w:p>
    <w:p>
      <w:pPr>
        <w:spacing w:before="0" w:after="200" w:lineRule="auto" w:line="360"/>
        <w:ind w:firstLine="0"/>
        <w:jc w:val="both"/>
      </w:pPr>
      <w:r>
        <w:rPr>
          <w:rFonts w:ascii="Times New Roman" w:hAnsi="Times New Roman" w:eastAsia="Times New Roman"/>
          <w:b w:val="0"/>
          <w:i/>
          <w:color w:val="666666"/>
          <w:sz w:val="20"/>
        </w:rPr>
        <w:t>Sommaire détaillé du rapport. Les numéros de page seront actualisés automatiquement dans Microsoft Word (clic droit sur le sommaire &gt; Mettre à jour les champs) une fois l’ensemble des chapitres intégré.</w:t>
      </w:r>
    </w:p>
    <w:p>
      <w:pPr>
        <w:spacing w:before="0" w:after="240" w:lineRule="auto" w:line="360"/>
        <w:jc w:val="both"/>
      </w:pPr>
      <w:r>
        <w:fldChar w:fldCharType="begin"/>
        <w:instrText xml:space="preserve"> TOC \o "1-3" \h \z \u </w:instrText>
        <w:fldChar w:fldCharType="separate"/>
      </w:r>
      <w:r>
        <w:rPr>
          <w:rFonts w:ascii="Times New Roman" w:hAnsi="Times New Roman" w:eastAsia="Times New Roman"/>
          <w:b w:val="0"/>
          <w:i/>
          <w:color w:val="666666"/>
          <w:sz w:val="22"/>
        </w:rPr>
        <w:t>[Sommaire automatique — clic droit &gt; Mettre à jour les champs dans Microsoft Word]</w:t>
      </w:r>
      <w:r>
        <w:fldChar w:fldCharType="end"/>
      </w:r>
    </w:p>
    <w:p>
      <w:pPr>
        <w:spacing w:before="120" w:after="200" w:lineRule="auto" w:line="360"/>
        <w:jc w:val="both"/>
      </w:pPr>
      <w:r>
        <w:rPr>
          <w:rFonts w:ascii="Times New Roman" w:hAnsi="Times New Roman" w:eastAsia="Times New Roman"/>
          <w:b/>
          <w:i w:val="0"/>
          <w:color w:val="1F4E79"/>
          <w:sz w:val="24"/>
        </w:rPr>
        <w:t>Structure détaillée proposée</w:t>
      </w:r>
    </w:p>
    <w:p>
      <w:pPr>
        <w:tabs>
          <w:tab w:pos="9071" w:val="right" w:leader="dot"/>
        </w:tabs>
        <w:spacing w:before="40" w:after="40" w:lineRule="auto" w:line="276"/>
        <w:ind w:left="0"/>
        <w:jc w:val="left"/>
      </w:pPr>
      <w:r>
        <w:rPr>
          <w:rFonts w:ascii="Times New Roman" w:hAnsi="Times New Roman" w:eastAsia="Times New Roman"/>
          <w:b/>
          <w:i w:val="0"/>
          <w:sz w:val="24"/>
        </w:rPr>
        <w:t>Introduction générale</w:t>
      </w:r>
      <w:r>
        <w:rPr>
          <w:rFonts w:ascii="Times New Roman" w:hAnsi="Times New Roman" w:eastAsia="Times New Roman"/>
          <w:b w:val="0"/>
          <w:i w:val="0"/>
          <w:sz w:val="24"/>
        </w:rPr>
        <w:tab/>
      </w:r>
    </w:p>
    <w:p>
      <w:pPr>
        <w:tabs>
          <w:tab w:pos="9071" w:val="right" w:leader="dot"/>
        </w:tabs>
        <w:spacing w:before="40" w:after="40" w:lineRule="auto" w:line="276"/>
        <w:ind w:left="0"/>
        <w:jc w:val="left"/>
      </w:pPr>
      <w:r>
        <w:rPr>
          <w:rFonts w:ascii="Times New Roman" w:hAnsi="Times New Roman" w:eastAsia="Times New Roman"/>
          <w:b/>
          <w:i w:val="0"/>
          <w:sz w:val="24"/>
        </w:rPr>
        <w:t>Chapitre 1 : Présentation générale du projet ReadyToGo</w:t>
      </w:r>
      <w:r>
        <w:rPr>
          <w:rFonts w:ascii="Times New Roman" w:hAnsi="Times New Roman" w:eastAsia="Times New Roman"/>
          <w:b w:val="0"/>
          <w:i w:val="0"/>
          <w:sz w:val="24"/>
        </w:rPr>
        <w:tab/>
      </w:r>
    </w:p>
    <w:p>
      <w:pPr>
        <w:tabs>
          <w:tab w:pos="9071" w:val="right" w:leader="dot"/>
        </w:tabs>
        <w:spacing w:before="40" w:after="40" w:lineRule="auto" w:line="276"/>
        <w:ind w:left="283"/>
        <w:jc w:val="left"/>
      </w:pPr>
      <w:r>
        <w:rPr>
          <w:rFonts w:ascii="Times New Roman" w:hAnsi="Times New Roman" w:eastAsia="Times New Roman"/>
          <w:b w:val="0"/>
          <w:i w:val="0"/>
          <w:sz w:val="22"/>
        </w:rPr>
        <w:t>1.1. Origine de l’idée</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1.2. Présentation du concept</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1.3. Problème de mobilité à résoudre</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1.4. Objectifs du projet</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1.5. Valeur ajoutée du service</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1.6. Identité de marque ReadyToGo</w:t>
      </w:r>
      <w:r>
        <w:rPr>
          <w:rFonts w:ascii="Times New Roman" w:hAnsi="Times New Roman" w:eastAsia="Times New Roman"/>
          <w:b w:val="0"/>
          <w:i w:val="0"/>
          <w:sz w:val="22"/>
        </w:rPr>
        <w:tab/>
      </w:r>
    </w:p>
    <w:p>
      <w:pPr>
        <w:tabs>
          <w:tab w:pos="9071" w:val="right" w:leader="dot"/>
        </w:tabs>
        <w:spacing w:before="40" w:after="40" w:lineRule="auto" w:line="276"/>
        <w:ind w:left="0"/>
        <w:jc w:val="left"/>
      </w:pPr>
      <w:r>
        <w:rPr>
          <w:rFonts w:ascii="Times New Roman" w:hAnsi="Times New Roman" w:eastAsia="Times New Roman"/>
          <w:b/>
          <w:i w:val="0"/>
          <w:sz w:val="24"/>
        </w:rPr>
        <w:t>Chapitre 2 : Cadrage du projet</w:t>
      </w:r>
      <w:r>
        <w:rPr>
          <w:rFonts w:ascii="Times New Roman" w:hAnsi="Times New Roman" w:eastAsia="Times New Roman"/>
          <w:b w:val="0"/>
          <w:i w:val="0"/>
          <w:sz w:val="24"/>
        </w:rPr>
        <w:tab/>
      </w:r>
    </w:p>
    <w:p>
      <w:pPr>
        <w:tabs>
          <w:tab w:pos="9071" w:val="right" w:leader="dot"/>
        </w:tabs>
        <w:spacing w:before="40" w:after="40" w:lineRule="auto" w:line="276"/>
        <w:ind w:left="283"/>
        <w:jc w:val="left"/>
      </w:pPr>
      <w:r>
        <w:rPr>
          <w:rFonts w:ascii="Times New Roman" w:hAnsi="Times New Roman" w:eastAsia="Times New Roman"/>
          <w:b w:val="0"/>
          <w:i w:val="0"/>
          <w:sz w:val="22"/>
        </w:rPr>
        <w:t>2.1. Note de cadrage</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2.2. Problématique</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2.3. Objectifs SMART</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2.4. Périmètre du projet</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2.5. Hors périmètre</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2.6. Contraintes principales</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2.7. Livrables attendus</w:t>
      </w:r>
      <w:r>
        <w:rPr>
          <w:rFonts w:ascii="Times New Roman" w:hAnsi="Times New Roman" w:eastAsia="Times New Roman"/>
          <w:b w:val="0"/>
          <w:i w:val="0"/>
          <w:sz w:val="22"/>
        </w:rPr>
        <w:tab/>
      </w:r>
    </w:p>
    <w:p>
      <w:pPr>
        <w:tabs>
          <w:tab w:pos="9071" w:val="right" w:leader="dot"/>
        </w:tabs>
        <w:spacing w:before="40" w:after="40" w:lineRule="auto" w:line="276"/>
        <w:ind w:left="0"/>
        <w:jc w:val="left"/>
      </w:pPr>
      <w:r>
        <w:rPr>
          <w:rFonts w:ascii="Times New Roman" w:hAnsi="Times New Roman" w:eastAsia="Times New Roman"/>
          <w:b/>
          <w:i w:val="0"/>
          <w:sz w:val="24"/>
        </w:rPr>
        <w:t>Chapitre 3 : Étude du contexte et faisabilité</w:t>
      </w:r>
      <w:r>
        <w:rPr>
          <w:rFonts w:ascii="Times New Roman" w:hAnsi="Times New Roman" w:eastAsia="Times New Roman"/>
          <w:b w:val="0"/>
          <w:i w:val="0"/>
          <w:sz w:val="24"/>
        </w:rPr>
        <w:tab/>
      </w:r>
    </w:p>
    <w:p>
      <w:pPr>
        <w:tabs>
          <w:tab w:pos="9071" w:val="right" w:leader="dot"/>
        </w:tabs>
        <w:spacing w:before="40" w:after="40" w:lineRule="auto" w:line="276"/>
        <w:ind w:left="283"/>
        <w:jc w:val="left"/>
      </w:pPr>
      <w:r>
        <w:rPr>
          <w:rFonts w:ascii="Times New Roman" w:hAnsi="Times New Roman" w:eastAsia="Times New Roman"/>
          <w:b w:val="0"/>
          <w:i w:val="0"/>
          <w:sz w:val="22"/>
        </w:rPr>
        <w:t>3.1. Mobilité urbaine à Tanger</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3.2. Enjeux liés à la Coupe du Monde 2030</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3.3. Analyse des alternatives de transport</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3.4. Faisabilité technique</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3.5. Faisabilité économique</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3.6. Faisabilité juridique et réglementaire</w:t>
      </w:r>
      <w:r>
        <w:rPr>
          <w:rFonts w:ascii="Times New Roman" w:hAnsi="Times New Roman" w:eastAsia="Times New Roman"/>
          <w:b w:val="0"/>
          <w:i w:val="0"/>
          <w:sz w:val="22"/>
        </w:rPr>
        <w:tab/>
      </w:r>
    </w:p>
    <w:p>
      <w:pPr>
        <w:tabs>
          <w:tab w:pos="9071" w:val="right" w:leader="dot"/>
        </w:tabs>
        <w:spacing w:before="40" w:after="40" w:lineRule="auto" w:line="276"/>
        <w:ind w:left="0"/>
        <w:jc w:val="left"/>
      </w:pPr>
      <w:r>
        <w:rPr>
          <w:rFonts w:ascii="Times New Roman" w:hAnsi="Times New Roman" w:eastAsia="Times New Roman"/>
          <w:b/>
          <w:i w:val="0"/>
          <w:sz w:val="24"/>
        </w:rPr>
        <w:t>Chapitre 4 : Parties prenantes et gouvernance</w:t>
      </w:r>
      <w:r>
        <w:rPr>
          <w:rFonts w:ascii="Times New Roman" w:hAnsi="Times New Roman" w:eastAsia="Times New Roman"/>
          <w:b w:val="0"/>
          <w:i w:val="0"/>
          <w:sz w:val="24"/>
        </w:rPr>
        <w:tab/>
      </w:r>
    </w:p>
    <w:p>
      <w:pPr>
        <w:tabs>
          <w:tab w:pos="9071" w:val="right" w:leader="dot"/>
        </w:tabs>
        <w:spacing w:before="40" w:after="40" w:lineRule="auto" w:line="276"/>
        <w:ind w:left="283"/>
        <w:jc w:val="left"/>
      </w:pPr>
      <w:r>
        <w:rPr>
          <w:rFonts w:ascii="Times New Roman" w:hAnsi="Times New Roman" w:eastAsia="Times New Roman"/>
          <w:b w:val="0"/>
          <w:i w:val="0"/>
          <w:sz w:val="22"/>
        </w:rPr>
        <w:t>4.1. Identification des parties prenantes</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4.2. Analyse des attentes</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4.3. Matrice pouvoir / intérêt</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4.4. Matrice RACI</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4.5. Organisation de l’équipe projet</w:t>
      </w:r>
      <w:r>
        <w:rPr>
          <w:rFonts w:ascii="Times New Roman" w:hAnsi="Times New Roman" w:eastAsia="Times New Roman"/>
          <w:b w:val="0"/>
          <w:i w:val="0"/>
          <w:sz w:val="22"/>
        </w:rPr>
        <w:tab/>
      </w:r>
    </w:p>
    <w:p>
      <w:pPr>
        <w:tabs>
          <w:tab w:pos="9071" w:val="right" w:leader="dot"/>
        </w:tabs>
        <w:spacing w:before="40" w:after="40" w:lineRule="auto" w:line="276"/>
        <w:ind w:left="0"/>
        <w:jc w:val="left"/>
      </w:pPr>
      <w:r>
        <w:rPr>
          <w:rFonts w:ascii="Times New Roman" w:hAnsi="Times New Roman" w:eastAsia="Times New Roman"/>
          <w:b/>
          <w:i w:val="0"/>
          <w:sz w:val="24"/>
        </w:rPr>
        <w:t>Chapitre 5 : Méthodologie de management du projet</w:t>
      </w:r>
      <w:r>
        <w:rPr>
          <w:rFonts w:ascii="Times New Roman" w:hAnsi="Times New Roman" w:eastAsia="Times New Roman"/>
          <w:b w:val="0"/>
          <w:i w:val="0"/>
          <w:sz w:val="24"/>
        </w:rPr>
        <w:tab/>
      </w:r>
    </w:p>
    <w:p>
      <w:pPr>
        <w:tabs>
          <w:tab w:pos="9071" w:val="right" w:leader="dot"/>
        </w:tabs>
        <w:spacing w:before="40" w:after="40" w:lineRule="auto" w:line="276"/>
        <w:ind w:left="283"/>
        <w:jc w:val="left"/>
      </w:pPr>
      <w:r>
        <w:rPr>
          <w:rFonts w:ascii="Times New Roman" w:hAnsi="Times New Roman" w:eastAsia="Times New Roman"/>
          <w:b w:val="0"/>
          <w:i w:val="0"/>
          <w:sz w:val="22"/>
        </w:rPr>
        <w:t>5.1. Comparaison classique / agile</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5.2. Justification du choix hybride</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5.3. Phase classique du projet</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5.4. Phase agile du projet</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5.5. Organisation des sprints</w:t>
      </w:r>
      <w:r>
        <w:rPr>
          <w:rFonts w:ascii="Times New Roman" w:hAnsi="Times New Roman" w:eastAsia="Times New Roman"/>
          <w:b w:val="0"/>
          <w:i w:val="0"/>
          <w:sz w:val="22"/>
        </w:rPr>
        <w:tab/>
      </w:r>
    </w:p>
    <w:p>
      <w:pPr>
        <w:tabs>
          <w:tab w:pos="9071" w:val="right" w:leader="dot"/>
        </w:tabs>
        <w:spacing w:before="40" w:after="40" w:lineRule="auto" w:line="276"/>
        <w:ind w:left="0"/>
        <w:jc w:val="left"/>
      </w:pPr>
      <w:r>
        <w:rPr>
          <w:rFonts w:ascii="Times New Roman" w:hAnsi="Times New Roman" w:eastAsia="Times New Roman"/>
          <w:b/>
          <w:i w:val="0"/>
          <w:sz w:val="24"/>
        </w:rPr>
        <w:t>Chapitre 6 : Planification du projet</w:t>
      </w:r>
      <w:r>
        <w:rPr>
          <w:rFonts w:ascii="Times New Roman" w:hAnsi="Times New Roman" w:eastAsia="Times New Roman"/>
          <w:b w:val="0"/>
          <w:i w:val="0"/>
          <w:sz w:val="24"/>
        </w:rPr>
        <w:tab/>
      </w:r>
    </w:p>
    <w:p>
      <w:pPr>
        <w:tabs>
          <w:tab w:pos="9071" w:val="right" w:leader="dot"/>
        </w:tabs>
        <w:spacing w:before="40" w:after="40" w:lineRule="auto" w:line="276"/>
        <w:ind w:left="283"/>
        <w:jc w:val="left"/>
      </w:pPr>
      <w:r>
        <w:rPr>
          <w:rFonts w:ascii="Times New Roman" w:hAnsi="Times New Roman" w:eastAsia="Times New Roman"/>
          <w:b w:val="0"/>
          <w:i w:val="0"/>
          <w:sz w:val="22"/>
        </w:rPr>
        <w:t>6.1. Work Breakdown Structure</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6.2. Roadmap 2026-2030</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6.3. Jalons et livrables</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6.4. Diagramme de Gantt</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6.5. Réseau PERT</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6.6. Chemin critique</w:t>
      </w:r>
      <w:r>
        <w:rPr>
          <w:rFonts w:ascii="Times New Roman" w:hAnsi="Times New Roman" w:eastAsia="Times New Roman"/>
          <w:b w:val="0"/>
          <w:i w:val="0"/>
          <w:sz w:val="22"/>
        </w:rPr>
        <w:tab/>
      </w:r>
    </w:p>
    <w:p>
      <w:pPr>
        <w:tabs>
          <w:tab w:pos="9071" w:val="right" w:leader="dot"/>
        </w:tabs>
        <w:spacing w:before="40" w:after="40" w:lineRule="auto" w:line="276"/>
        <w:ind w:left="0"/>
        <w:jc w:val="left"/>
      </w:pPr>
      <w:r>
        <w:rPr>
          <w:rFonts w:ascii="Times New Roman" w:hAnsi="Times New Roman" w:eastAsia="Times New Roman"/>
          <w:b/>
          <w:i w:val="0"/>
          <w:sz w:val="24"/>
        </w:rPr>
        <w:t>Chapitre 7 : Budget et ressources</w:t>
      </w:r>
      <w:r>
        <w:rPr>
          <w:rFonts w:ascii="Times New Roman" w:hAnsi="Times New Roman" w:eastAsia="Times New Roman"/>
          <w:b w:val="0"/>
          <w:i w:val="0"/>
          <w:sz w:val="24"/>
        </w:rPr>
        <w:tab/>
      </w:r>
    </w:p>
    <w:p>
      <w:pPr>
        <w:tabs>
          <w:tab w:pos="9071" w:val="right" w:leader="dot"/>
        </w:tabs>
        <w:spacing w:before="40" w:after="40" w:lineRule="auto" w:line="276"/>
        <w:ind w:left="283"/>
        <w:jc w:val="left"/>
      </w:pPr>
      <w:r>
        <w:rPr>
          <w:rFonts w:ascii="Times New Roman" w:hAnsi="Times New Roman" w:eastAsia="Times New Roman"/>
          <w:b w:val="0"/>
          <w:i w:val="0"/>
          <w:sz w:val="22"/>
        </w:rPr>
        <w:t>7.1. Hypothèses budgétaires</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7.2. Coût des trottinettes</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7.3. Coût des bornes</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7.4. Coût de l’application mobile</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7.5. Ressources humaines</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7.6. Budget global prévisionnel</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7.7. Plan de charge</w:t>
      </w:r>
      <w:r>
        <w:rPr>
          <w:rFonts w:ascii="Times New Roman" w:hAnsi="Times New Roman" w:eastAsia="Times New Roman"/>
          <w:b w:val="0"/>
          <w:i w:val="0"/>
          <w:sz w:val="22"/>
        </w:rPr>
        <w:tab/>
      </w:r>
    </w:p>
    <w:p>
      <w:pPr>
        <w:tabs>
          <w:tab w:pos="9071" w:val="right" w:leader="dot"/>
        </w:tabs>
        <w:spacing w:before="40" w:after="40" w:lineRule="auto" w:line="276"/>
        <w:ind w:left="0"/>
        <w:jc w:val="left"/>
      </w:pPr>
      <w:r>
        <w:rPr>
          <w:rFonts w:ascii="Times New Roman" w:hAnsi="Times New Roman" w:eastAsia="Times New Roman"/>
          <w:b/>
          <w:i w:val="0"/>
          <w:sz w:val="24"/>
        </w:rPr>
        <w:t>Chapitre 8 : Gestion des risques</w:t>
      </w:r>
      <w:r>
        <w:rPr>
          <w:rFonts w:ascii="Times New Roman" w:hAnsi="Times New Roman" w:eastAsia="Times New Roman"/>
          <w:b w:val="0"/>
          <w:i w:val="0"/>
          <w:sz w:val="24"/>
        </w:rPr>
        <w:tab/>
      </w:r>
    </w:p>
    <w:p>
      <w:pPr>
        <w:tabs>
          <w:tab w:pos="9071" w:val="right" w:leader="dot"/>
        </w:tabs>
        <w:spacing w:before="40" w:after="40" w:lineRule="auto" w:line="276"/>
        <w:ind w:left="283"/>
        <w:jc w:val="left"/>
      </w:pPr>
      <w:r>
        <w:rPr>
          <w:rFonts w:ascii="Times New Roman" w:hAnsi="Times New Roman" w:eastAsia="Times New Roman"/>
          <w:b w:val="0"/>
          <w:i w:val="0"/>
          <w:sz w:val="22"/>
        </w:rPr>
        <w:t>8.1. Identification des risques</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8.2. Analyse probabilité / impact</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8.3. Registre des risques</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8.4. Matrice de criticité</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8.5. Plans d’action</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8.6. Suivi des risques</w:t>
      </w:r>
      <w:r>
        <w:rPr>
          <w:rFonts w:ascii="Times New Roman" w:hAnsi="Times New Roman" w:eastAsia="Times New Roman"/>
          <w:b w:val="0"/>
          <w:i w:val="0"/>
          <w:sz w:val="22"/>
        </w:rPr>
        <w:tab/>
      </w:r>
    </w:p>
    <w:p>
      <w:pPr>
        <w:tabs>
          <w:tab w:pos="9071" w:val="right" w:leader="dot"/>
        </w:tabs>
        <w:spacing w:before="40" w:after="40" w:lineRule="auto" w:line="276"/>
        <w:ind w:left="0"/>
        <w:jc w:val="left"/>
      </w:pPr>
      <w:r>
        <w:rPr>
          <w:rFonts w:ascii="Times New Roman" w:hAnsi="Times New Roman" w:eastAsia="Times New Roman"/>
          <w:b/>
          <w:i w:val="0"/>
          <w:sz w:val="24"/>
        </w:rPr>
        <w:t>Chapitre 9 : Suivi, contrôle et indicateurs KPI</w:t>
      </w:r>
      <w:r>
        <w:rPr>
          <w:rFonts w:ascii="Times New Roman" w:hAnsi="Times New Roman" w:eastAsia="Times New Roman"/>
          <w:b w:val="0"/>
          <w:i w:val="0"/>
          <w:sz w:val="24"/>
        </w:rPr>
        <w:tab/>
      </w:r>
    </w:p>
    <w:p>
      <w:pPr>
        <w:tabs>
          <w:tab w:pos="9071" w:val="right" w:leader="dot"/>
        </w:tabs>
        <w:spacing w:before="40" w:after="40" w:lineRule="auto" w:line="276"/>
        <w:ind w:left="283"/>
        <w:jc w:val="left"/>
      </w:pPr>
      <w:r>
        <w:rPr>
          <w:rFonts w:ascii="Times New Roman" w:hAnsi="Times New Roman" w:eastAsia="Times New Roman"/>
          <w:b w:val="0"/>
          <w:i w:val="0"/>
          <w:sz w:val="22"/>
        </w:rPr>
        <w:t>9.1. Objectifs du suivi</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9.2. KPI techniques</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9.3. KPI financiers</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9.4. KPI opérationnels</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9.5. KPI satisfaction utilisateur</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9.6. Tableau de bord projet</w:t>
      </w:r>
      <w:r>
        <w:rPr>
          <w:rFonts w:ascii="Times New Roman" w:hAnsi="Times New Roman" w:eastAsia="Times New Roman"/>
          <w:b w:val="0"/>
          <w:i w:val="0"/>
          <w:sz w:val="22"/>
        </w:rPr>
        <w:tab/>
      </w:r>
    </w:p>
    <w:p>
      <w:pPr>
        <w:tabs>
          <w:tab w:pos="9071" w:val="right" w:leader="dot"/>
        </w:tabs>
        <w:spacing w:before="40" w:after="40" w:lineRule="auto" w:line="276"/>
        <w:ind w:left="0"/>
        <w:jc w:val="left"/>
      </w:pPr>
      <w:r>
        <w:rPr>
          <w:rFonts w:ascii="Times New Roman" w:hAnsi="Times New Roman" w:eastAsia="Times New Roman"/>
          <w:b/>
          <w:i w:val="0"/>
          <w:sz w:val="24"/>
        </w:rPr>
        <w:t>Chapitre 10 : Communication et conduite du changement</w:t>
      </w:r>
      <w:r>
        <w:rPr>
          <w:rFonts w:ascii="Times New Roman" w:hAnsi="Times New Roman" w:eastAsia="Times New Roman"/>
          <w:b w:val="0"/>
          <w:i w:val="0"/>
          <w:sz w:val="24"/>
        </w:rPr>
        <w:tab/>
      </w:r>
    </w:p>
    <w:p>
      <w:pPr>
        <w:tabs>
          <w:tab w:pos="9071" w:val="right" w:leader="dot"/>
        </w:tabs>
        <w:spacing w:before="40" w:after="40" w:lineRule="auto" w:line="276"/>
        <w:ind w:left="283"/>
        <w:jc w:val="left"/>
      </w:pPr>
      <w:r>
        <w:rPr>
          <w:rFonts w:ascii="Times New Roman" w:hAnsi="Times New Roman" w:eastAsia="Times New Roman"/>
          <w:b w:val="0"/>
          <w:i w:val="0"/>
          <w:sz w:val="22"/>
        </w:rPr>
        <w:t>10.1. Plan de communication</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10.2. Communication interne</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10.3. Communication avec les partenaires</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10.4. Sensibilisation des utilisateurs</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10.5. Adoption du service</w:t>
      </w:r>
      <w:r>
        <w:rPr>
          <w:rFonts w:ascii="Times New Roman" w:hAnsi="Times New Roman" w:eastAsia="Times New Roman"/>
          <w:b w:val="0"/>
          <w:i w:val="0"/>
          <w:sz w:val="22"/>
        </w:rPr>
        <w:tab/>
      </w:r>
    </w:p>
    <w:p>
      <w:pPr>
        <w:tabs>
          <w:tab w:pos="9071" w:val="right" w:leader="dot"/>
        </w:tabs>
        <w:spacing w:before="40" w:after="40" w:lineRule="auto" w:line="276"/>
        <w:ind w:left="0"/>
        <w:jc w:val="left"/>
      </w:pPr>
      <w:r>
        <w:rPr>
          <w:rFonts w:ascii="Times New Roman" w:hAnsi="Times New Roman" w:eastAsia="Times New Roman"/>
          <w:b/>
          <w:i w:val="0"/>
          <w:sz w:val="24"/>
        </w:rPr>
        <w:t>Chapitre 11 : Scénarios réalistes d’utilisation</w:t>
      </w:r>
      <w:r>
        <w:rPr>
          <w:rFonts w:ascii="Times New Roman" w:hAnsi="Times New Roman" w:eastAsia="Times New Roman"/>
          <w:b w:val="0"/>
          <w:i w:val="0"/>
          <w:sz w:val="24"/>
        </w:rPr>
        <w:tab/>
      </w:r>
    </w:p>
    <w:p>
      <w:pPr>
        <w:tabs>
          <w:tab w:pos="9071" w:val="right" w:leader="dot"/>
        </w:tabs>
        <w:spacing w:before="40" w:after="40" w:lineRule="auto" w:line="276"/>
        <w:ind w:left="283"/>
        <w:jc w:val="left"/>
      </w:pPr>
      <w:r>
        <w:rPr>
          <w:rFonts w:ascii="Times New Roman" w:hAnsi="Times New Roman" w:eastAsia="Times New Roman"/>
          <w:b w:val="0"/>
          <w:i w:val="0"/>
          <w:sz w:val="22"/>
        </w:rPr>
        <w:t>11.1. Scénario étudiant</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11.2. Scénario habitant</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11.3. Scénario touriste</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11.4. Scénario jour de match</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11.5. Scénario maintenance</w:t>
      </w:r>
      <w:r>
        <w:rPr>
          <w:rFonts w:ascii="Times New Roman" w:hAnsi="Times New Roman" w:eastAsia="Times New Roman"/>
          <w:b w:val="0"/>
          <w:i w:val="0"/>
          <w:sz w:val="22"/>
        </w:rPr>
        <w:tab/>
      </w:r>
    </w:p>
    <w:p>
      <w:pPr>
        <w:tabs>
          <w:tab w:pos="9071" w:val="right" w:leader="dot"/>
        </w:tabs>
        <w:spacing w:before="40" w:after="40" w:lineRule="auto" w:line="276"/>
        <w:ind w:left="0"/>
        <w:jc w:val="left"/>
      </w:pPr>
      <w:r>
        <w:rPr>
          <w:rFonts w:ascii="Times New Roman" w:hAnsi="Times New Roman" w:eastAsia="Times New Roman"/>
          <w:b/>
          <w:i w:val="0"/>
          <w:sz w:val="24"/>
        </w:rPr>
        <w:t>Chapitre 12 : Livraison, clôture et perspectives</w:t>
      </w:r>
      <w:r>
        <w:rPr>
          <w:rFonts w:ascii="Times New Roman" w:hAnsi="Times New Roman" w:eastAsia="Times New Roman"/>
          <w:b w:val="0"/>
          <w:i w:val="0"/>
          <w:sz w:val="24"/>
        </w:rPr>
        <w:tab/>
      </w:r>
    </w:p>
    <w:p>
      <w:pPr>
        <w:tabs>
          <w:tab w:pos="9071" w:val="right" w:leader="dot"/>
        </w:tabs>
        <w:spacing w:before="40" w:after="40" w:lineRule="auto" w:line="276"/>
        <w:ind w:left="283"/>
        <w:jc w:val="left"/>
      </w:pPr>
      <w:r>
        <w:rPr>
          <w:rFonts w:ascii="Times New Roman" w:hAnsi="Times New Roman" w:eastAsia="Times New Roman"/>
          <w:b w:val="0"/>
          <w:i w:val="0"/>
          <w:sz w:val="22"/>
        </w:rPr>
        <w:t>12.1. Livrables finaux</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12.2. Recette du projet</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12.3. Bilan prévisionnel</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12.4. Limites du projet</w:t>
      </w:r>
      <w:r>
        <w:rPr>
          <w:rFonts w:ascii="Times New Roman" w:hAnsi="Times New Roman" w:eastAsia="Times New Roman"/>
          <w:b w:val="0"/>
          <w:i w:val="0"/>
          <w:sz w:val="22"/>
        </w:rPr>
        <w:tab/>
      </w:r>
    </w:p>
    <w:p>
      <w:pPr>
        <w:tabs>
          <w:tab w:pos="9071" w:val="right" w:leader="dot"/>
        </w:tabs>
        <w:spacing w:before="40" w:after="40" w:lineRule="auto" w:line="276"/>
        <w:ind w:left="283"/>
        <w:jc w:val="left"/>
      </w:pPr>
      <w:r>
        <w:rPr>
          <w:rFonts w:ascii="Times New Roman" w:hAnsi="Times New Roman" w:eastAsia="Times New Roman"/>
          <w:b w:val="0"/>
          <w:i w:val="0"/>
          <w:sz w:val="22"/>
        </w:rPr>
        <w:t>12.5. Perspectives d’évolution</w:t>
      </w:r>
      <w:r>
        <w:rPr>
          <w:rFonts w:ascii="Times New Roman" w:hAnsi="Times New Roman" w:eastAsia="Times New Roman"/>
          <w:b w:val="0"/>
          <w:i w:val="0"/>
          <w:sz w:val="22"/>
        </w:rPr>
        <w:tab/>
      </w:r>
    </w:p>
    <w:p>
      <w:pPr>
        <w:tabs>
          <w:tab w:pos="9071" w:val="right" w:leader="dot"/>
        </w:tabs>
        <w:spacing w:before="40" w:after="40" w:lineRule="auto" w:line="276"/>
        <w:ind w:left="0"/>
        <w:jc w:val="left"/>
      </w:pPr>
      <w:r>
        <w:rPr>
          <w:rFonts w:ascii="Times New Roman" w:hAnsi="Times New Roman" w:eastAsia="Times New Roman"/>
          <w:b/>
          <w:i w:val="0"/>
          <w:sz w:val="24"/>
        </w:rPr>
        <w:t>Conclusion générale</w:t>
      </w:r>
      <w:r>
        <w:rPr>
          <w:rFonts w:ascii="Times New Roman" w:hAnsi="Times New Roman" w:eastAsia="Times New Roman"/>
          <w:b w:val="0"/>
          <w:i w:val="0"/>
          <w:sz w:val="24"/>
        </w:rPr>
        <w:tab/>
      </w:r>
    </w:p>
    <w:p>
      <w:pPr>
        <w:tabs>
          <w:tab w:pos="9071" w:val="right" w:leader="dot"/>
        </w:tabs>
        <w:spacing w:before="40" w:after="40" w:lineRule="auto" w:line="276"/>
        <w:ind w:left="0"/>
        <w:jc w:val="left"/>
      </w:pPr>
      <w:r>
        <w:rPr>
          <w:rFonts w:ascii="Times New Roman" w:hAnsi="Times New Roman" w:eastAsia="Times New Roman"/>
          <w:b/>
          <w:i w:val="0"/>
          <w:sz w:val="24"/>
        </w:rPr>
        <w:t>Bibliographie</w:t>
      </w:r>
      <w:r>
        <w:rPr>
          <w:rFonts w:ascii="Times New Roman" w:hAnsi="Times New Roman" w:eastAsia="Times New Roman"/>
          <w:b w:val="0"/>
          <w:i w:val="0"/>
          <w:sz w:val="24"/>
        </w:rPr>
        <w:tab/>
      </w:r>
    </w:p>
    <w:p>
      <w:pPr>
        <w:tabs>
          <w:tab w:pos="9071" w:val="right" w:leader="dot"/>
        </w:tabs>
        <w:spacing w:before="40" w:after="40" w:lineRule="auto" w:line="276"/>
        <w:ind w:left="0"/>
        <w:jc w:val="left"/>
      </w:pPr>
      <w:r>
        <w:rPr>
          <w:rFonts w:ascii="Times New Roman" w:hAnsi="Times New Roman" w:eastAsia="Times New Roman"/>
          <w:b/>
          <w:i w:val="0"/>
          <w:sz w:val="24"/>
        </w:rPr>
        <w:t>Annexes</w:t>
      </w:r>
      <w:r>
        <w:rPr>
          <w:rFonts w:ascii="Times New Roman" w:hAnsi="Times New Roman" w:eastAsia="Times New Roman"/>
          <w:b w:val="0"/>
          <w:i w:val="0"/>
          <w:sz w:val="24"/>
        </w:rPr>
        <w:tab/>
      </w:r>
    </w:p>
    <w:p>
      <w:r>
        <w:br w:type="page"/>
      </w:r>
    </w:p>
    <w:p>
      <w:pPr>
        <w:pStyle w:val="Heading1"/>
      </w:pPr>
      <w:r>
        <w:rPr>
          <w:rFonts w:ascii="Times New Roman" w:hAnsi="Times New Roman" w:eastAsia="Times New Roman"/>
          <w:b/>
          <w:i w:val="0"/>
          <w:color w:val="1F4E79"/>
          <w:sz w:val="32"/>
        </w:rPr>
        <w:t>Introduction générale</w:t>
      </w:r>
    </w:p>
    <w:p>
      <w:pPr>
        <w:spacing w:before="0" w:after="120" w:lineRule="auto" w:line="360"/>
        <w:ind w:firstLine="0"/>
        <w:jc w:val="both"/>
      </w:pPr>
      <w:r>
        <w:rPr>
          <w:rFonts w:ascii="Times New Roman" w:hAnsi="Times New Roman" w:eastAsia="Times New Roman"/>
          <w:b w:val="0"/>
          <w:i/>
          <w:sz w:val="24"/>
        </w:rPr>
        <w:t>Information à compléter</w:t>
      </w:r>
    </w:p>
    <w:p>
      <w:pPr>
        <w:spacing w:before="240" w:after="120" w:lineRule="auto" w:line="360"/>
        <w:jc w:val="both"/>
      </w:pPr>
      <w:r>
        <w:rPr>
          <w:rFonts w:ascii="Times New Roman" w:hAnsi="Times New Roman" w:eastAsia="Times New Roman"/>
          <w:b w:val="0"/>
          <w:i/>
          <w:color w:val="666666"/>
          <w:sz w:val="20"/>
        </w:rPr>
        <w:t>[Le corps du rapport (introduction et chapitres) sera intégré progressivement au fur et à mesure de la réception du contenu validé, page par page.]</w:t>
      </w:r>
    </w:p>
    <w:sectPr w:rsidR="00FC693F" w:rsidRPr="0006063C" w:rsidSect="00034616">
      <w:footerReference w:type="default" r:id="rId9"/>
      <w:footerReference w:type="first" r:id="rId10"/>
      <w:pgSz w:w="11906" w:h="16838"/>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Rule="auto" w:line="240"/>
      <w:jc w:val="center"/>
    </w:pPr>
    <w:r>
      <w:rPr>
        <w:rFonts w:ascii="Times New Roman" w:hAnsi="Times New Roman" w:eastAsia="Times New Roman"/>
        <w:b w:val="0"/>
        <w:i w:val="0"/>
        <w:sz w:val="22"/>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lineRule="auto" w:line="36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60" w:lineRule="auto" w:line="360"/>
      <w:outlineLvl w:val="1"/>
    </w:pPr>
    <w:rPr>
      <w:rFonts w:asciiTheme="majorHAnsi" w:eastAsiaTheme="majorEastAsia" w:hAnsiTheme="majorHAnsi" w:cstheme="majorBidi" w:ascii="Times New Roman" w:hAnsi="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40" w:after="160" w:lineRule="auto" w:line="360"/>
      <w:outlineLvl w:val="2"/>
    </w:pPr>
    <w:rPr>
      <w:rFonts w:asciiTheme="majorHAnsi" w:eastAsiaTheme="majorEastAsia" w:hAnsiTheme="majorHAnsi" w:cstheme="majorBidi" w:ascii="Times New Roman" w:hAnsi="Times New Roman" w:eastAsia="Times New Roman"/>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