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Proposta de Projeto de Pesquisa: Efeito do Gradiente de Multimorbidade na Obtenção Incompleta de Medicamentos Prescritos na PNS 2019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Proposta Inicial de Título do Artigo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Título Sugerido:</w:t>
      </w:r>
      <w:r w:rsidDel="00000000" w:rsidR="00000000" w:rsidRPr="00000000">
        <w:rPr>
          <w:rtl w:val="0"/>
        </w:rPr>
        <w:t xml:space="preserve"> Efeito do gradiente de multimorbidade na obtenção incompleta de medicamentos prescritos no Brasil: Análise da Pesquisa Nacional de Saúde 2019 [cite: 5].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Pergunta de Pesquisa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Entre adultos e idosos brasileiros atendidos nos serviços de saúde e que receberam prescrição médica, o aumento do número de doenças crônicas (complexidade da multimorbidade) está associado a uma maior chance de obtenção incompleta dos medicamentos prescritos, independentemente do setor de atendimento (SUS vs. Privado) e do nível socioeconômico? [cite: 5]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Objetivo Geral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Investigar o impacto do gradiente de complexidade da multimorbidade na obtenção incompleta de medicamentos receitados entre adultos e idosos atendidos nos serviços de saúde no Brasil, avaliando a independência dessa relação frente aos fatores socioeconômicos e ao setor de atendimento (SUS vs. Privado), com dados da PNS 2019 [cite: 5].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rtl w:val="0"/>
        </w:rPr>
        <w:t xml:space="preserve">Estimar a prevalência de obtenção incompleta de medicamentos prescritos entre indivíduos com multimorbidade no Brasil [cite: 5].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Analisar a associação dose-resposta entre o acúmulo de doenças crônicas não transmissíveis (2, 3, 4, 5+ DCNTs) e a inconclusão do acesso à receita recente [cite: 5].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Verificar o papel moderador do setor de atendimento (SUS vs. Privado/Plano de Saúde) na relação entre a complexidade da multimorbidade e a obtenção de medicamentos [cite: 5].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Avaliar o efeito de proteção exercido pelo diagnóstico de doenças contempladas no Programa Farmácia Popular do Brasil (hipertensão, diabetes e asma) no acesso completo ao tratamento [cite: 5].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Definição Metodológica das Variáveis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Eixo / Papel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Variável PNS 2019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Descrição Operacional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Categorização no Modelo Metodológico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População Elegível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N001 &amp; N013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Indivíduos (≥ 18 anos) atendidos nos serviços de saúde nas últimas 2 semanas e que receberam prescrição de medicamentos [cite: 5].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Filtro de inclusão: N001 = 1 (Atendido) AND N013 = 1 (Recebeu receita) [cite: 5].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Desfecho Principal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N015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Sucesso na obtenção total dos medicamentos prescritos na receita médica recente [cite: 5].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Binário: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- 0 = Obtenção Completa (Conseguiu todos)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- 1 = Obtenção Incompleta (Alguns ou nenhum) [cite: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Exposição Principal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J / Q (DCNT)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Diagnóstico médico autorreferido de até 12 doenças crônicas não transmissíveis [cite: 5].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Ordinal (Gradiente):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- 2 Doenças (Categoria de Referência)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- 3 Doenças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- 4 Doenças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- 5 ou mais Doenças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Análise de Sensibilidade: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Variável contínua (2-12) [cite: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 de Serviço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N003 &amp; I001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Setor do local de atendimento recente e cobertura privada [cite: 5].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Setor de Atendimento (SUS vs. Privado/Plano)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Posse de Plano de Saúde (Sim / Não) [cite: 5]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 Clínico (PFPB)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J001, J014, J023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Presença de diagnóstico de Hipertensão, Diabetes ou Asma [cite: 5].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Binário: Possui doença coberta pelo Programa Farmácia Popular do Brasil (Sim / Não) [cite: 5].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 Sociodemográfico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C006, C008, VDF004, C009, Região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Fatores de confundimento demográficos e econômicos [cite: 5].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Sexo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- Faixa Etária (≥ 18 anos)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Renda per capita (Quintis)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Cor/Raça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Região Geográfica [cite: 5]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Modelo Estatístico Detalhado em Etapas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Todas as análises devem incorporar obrigatoriamente a estrutura amostracional complexa da PNS 2019 (pesos, estratos e UPAs), utilizando bibliotecas apropriadas (pacote </w:t>
      </w:r>
      <w:r w:rsidDel="00000000" w:rsidR="00000000" w:rsidRPr="00000000">
        <w:rPr>
          <w:i w:val="1"/>
          <w:iCs w:val="1"/>
          <w:rtl w:val="0"/>
        </w:rPr>
        <w:t xml:space="preserve">survey</w:t>
      </w:r>
      <w:r w:rsidDel="00000000" w:rsidR="00000000" w:rsidRPr="00000000">
        <w:rPr>
          <w:rtl w:val="0"/>
        </w:rPr>
        <w:t xml:space="preserve"> no R ou comandos </w:t>
      </w:r>
      <w:r w:rsidDel="00000000" w:rsidR="00000000" w:rsidRPr="00000000">
        <w:rPr>
          <w:i w:val="1"/>
          <w:iCs w:val="1"/>
          <w:rtl w:val="0"/>
        </w:rPr>
        <w:t xml:space="preserve">svy</w:t>
      </w:r>
      <w:r w:rsidDel="00000000" w:rsidR="00000000" w:rsidRPr="00000000">
        <w:rPr>
          <w:rtl w:val="0"/>
        </w:rPr>
        <w:t xml:space="preserve"> no Stata).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1: Análise Descritiva Ponderada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Calcular as frequências absolutas amostracionais e as proporções ponderadas (com IC 95%) para a população elegível, estratificando pelas categorias do gradiente de multimorbidade e pelo desfecho de obtenção de medicamentos [cite: 5].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2: Análise Bivariada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Avaliar a associação bruta entre a exposição (gradiente de multimorbidade), as covariáveis e a obtenção incompleta de medicamentos [cite: 5]. Utilizar o teste do qui-quadrado de Rao-Scott para comparações de proporções em dados de amostras complexas. Estimar Razões de Prevalência brutas (RP bruta) com IC 95%.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3: Modelagem Multivariada (Regressão de Poisson Robusta)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Dado que o desfecho é frequente (&gt; 10%), utilizar a </w:t>
      </w:r>
      <w:r w:rsidDel="00000000" w:rsidR="00000000" w:rsidRPr="00000000">
        <w:rPr>
          <w:b w:val="1"/>
          <w:bCs w:val="1"/>
          <w:rtl w:val="0"/>
        </w:rPr>
        <w:t xml:space="preserve">Regressão de Poisson com Variância Robusta</w:t>
      </w:r>
      <w:r w:rsidDel="00000000" w:rsidR="00000000" w:rsidRPr="00000000">
        <w:rPr>
          <w:rtl w:val="0"/>
        </w:rPr>
        <w:t xml:space="preserve"> para amostras complexas para obter Razões de Prevalência Ajustadas (RPa) sem superestimação do risco. A inclusão das variáveis seguirá blocos hierarquizados [cite: 5]: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1 (Exposição + Sociodemográfico):</w:t>
      </w:r>
      <w:r w:rsidDel="00000000" w:rsidR="00000000" w:rsidRPr="00000000">
        <w:rPr>
          <w:rtl w:val="0"/>
        </w:rPr>
        <w:t xml:space="preserve"> Gradiente de multimorbidade ajustado por sexo, idade, renda (quintis), cor/raça e região [cite: 5].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2 (+ Assistencial):</w:t>
      </w:r>
      <w:r w:rsidDel="00000000" w:rsidR="00000000" w:rsidRPr="00000000">
        <w:rPr>
          <w:rtl w:val="0"/>
        </w:rPr>
        <w:t xml:space="preserve"> Adição do setor de atendimento (SUS vs. Privado) e posse de plano de saúde ao Bloco 1 [cite: 5].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3 (+ Clínico / PFPB - Modelo Final):</w:t>
      </w:r>
      <w:r w:rsidDel="00000000" w:rsidR="00000000" w:rsidRPr="00000000">
        <w:rPr>
          <w:rtl w:val="0"/>
        </w:rPr>
        <w:t xml:space="preserve"> Inclusão da variável de cobertura pelo Programa Farmácia Popular do Brasil (hipertensão, diabetes, asma) ao Bloco 2 para obter a RPa final [cite: 5].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Etapa 4: Análise de Subgrupo / Modificação de Efeito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Re-executar a modelagem estratificada por Setor de Atendimento (SUS vs. Setor Privado) para testar se a vulnerabilidade conferida pelo acúmulo de DCNTs é amplificada na rede pública de saúde [cite: 5]. Realizar teste de interação estatística entre o gradiente de multimorbidade e o setor de atendimento.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Estatísticas a Serem Apresentadas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Frequências e Estimativas Populacionais:</w:t>
      </w:r>
      <w:r w:rsidDel="00000000" w:rsidR="00000000" w:rsidRPr="00000000">
        <w:rPr>
          <w:rtl w:val="0"/>
        </w:rPr>
        <w:t xml:space="preserve"> Frequência absoluta ($n$), percentual ponderado (%) e Intervalos de Confiança de 95% (IC 95%).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Medidas de Efeito Epidemiológico:</w:t>
      </w:r>
      <w:r w:rsidDel="00000000" w:rsidR="00000000" w:rsidRPr="00000000">
        <w:rPr>
          <w:rtl w:val="0"/>
        </w:rPr>
        <w:t xml:space="preserve"> Razões de Prevalência brutas (RP) e ajustadas (RPa) provenientes do modelo de Poisson com variância robusta, acompanhadas de seus IC 95% e valores-$p$.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Testes de Hipótese:</w:t>
      </w:r>
      <w:r w:rsidDel="00000000" w:rsidR="00000000" w:rsidRPr="00000000">
        <w:rPr>
          <w:rtl w:val="0"/>
        </w:rPr>
        <w:t xml:space="preserve"> Teste do Qui-quadrado de Rao-Scott adaptado para amostragem complexa.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Métricas de Ajuste e Diagnóstico do Modelo:</w:t>
      </w:r>
      <w:r w:rsidDel="00000000" w:rsidR="00000000" w:rsidRPr="00000000">
        <w:rPr>
          <w:rtl w:val="0"/>
        </w:rPr>
        <w:t xml:space="preserve"> Estatística Wald e testes de desvio/ajuste de modelos complexos.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7. Tarefas dos Alunos e Identificação da Literatura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Roteiro de Tarefas Científicas dos Alunos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Download e Filtragem dos Microdados: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Baixar a base da PNS 2019 (IBGE), aplicar o filtro de elegibilidade (atendidos nas últimas 2 semanas com prescrição recente: N001=1 e N013=1) e delimitar indivíduos com multimorbidade (≥ 2 DCNTs) [cite: 5].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Declaração do Plano Amostral e Variáveis:</w:t>
      </w:r>
      <w:r w:rsidDel="00000000" w:rsidR="00000000" w:rsidRPr="00000000">
        <w:rPr>
          <w:rtl w:val="0"/>
        </w:rPr>
        <w:t xml:space="preserve"> Configurar a amostragem complexa (pesos e UPAs) e construir as variáveis do estudo (gradiente de DCNTs e desfecho binário) [cite: 5].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Execução dos Modelos de Poisson:</w:t>
      </w:r>
      <w:r w:rsidDel="00000000" w:rsidR="00000000" w:rsidRPr="00000000">
        <w:rPr>
          <w:rtl w:val="0"/>
        </w:rPr>
        <w:t xml:space="preserve"> Rodar as análises descritivas, bivariadas e os modelos de Poisson com variância robusta hierarquizados e estratificados por setor público/privado [cite: 5].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Redação e Formatação Científica:</w:t>
      </w:r>
      <w:r w:rsidDel="00000000" w:rsidR="00000000" w:rsidRPr="00000000">
        <w:rPr>
          <w:rtl w:val="0"/>
        </w:rPr>
        <w:t xml:space="preserve"> Redigir o artigo seguindo o checklist STROBE para estudos observacionais transversais [cite: 5].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Estratégia para Identificação dos 10 Artigos Mais Próximos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Para estruturar a busca bibliográfica nas bases PubMed, Scopus e Web of Science, utilizar a estratégia de busca (</w:t>
      </w:r>
      <w:r w:rsidDel="00000000" w:rsidR="00000000" w:rsidRPr="00000000">
        <w:rPr>
          <w:i w:val="1"/>
          <w:iCs w:val="1"/>
          <w:rtl w:val="0"/>
        </w:rPr>
        <w:t xml:space="preserve">search string</w:t>
      </w:r>
      <w:r w:rsidDel="00000000" w:rsidR="00000000" w:rsidRPr="00000000">
        <w:rPr>
          <w:rtl w:val="0"/>
        </w:rPr>
        <w:t xml:space="preserve">) abaixo: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("Multimorbidity"[Mesh] OR "chronic disease" OR "multiple chronic conditions") AND ("Medication Adherence"[Mesh] OR "prescriptions" OR "medication access" OR "incomplete access" OR "drug prescriptions") AND ("Health Services Accessibility"[Mesh] OR "PNS" OR "National Health Survey" OR "Brazil")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Seleção dos 10 Artigos:</w:t>
      </w:r>
      <w:r w:rsidDel="00000000" w:rsidR="00000000" w:rsidRPr="00000000">
        <w:rPr>
          <w:rtl w:val="0"/>
        </w:rPr>
        <w:t xml:space="preserve"> Estudos nacionais e internacionais que investiguem o impacto do acúmulo de multimorbidades na adesão ou obtenção de medicamentos, pesquisas que utilizem a PNS (2013/2019) para avaliar acesso a medicamentos e artigos sobre o impacto do Programa Farmácia Popular no acesso farmacêutico [cite: 5].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Diretrizes de Discussão e Blindagem Contra Revisores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Para assegurar o aceite em periódicos epidemiológicos de referência (ex.: </w:t>
      </w:r>
      <w:r w:rsidDel="00000000" w:rsidR="00000000" w:rsidRPr="00000000">
        <w:rPr>
          <w:i w:val="1"/>
          <w:iCs w:val="1"/>
          <w:rtl w:val="0"/>
        </w:rPr>
        <w:t xml:space="preserve">Cadernos de Saúde Pública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Revista de Saúde Pública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RBE</w:t>
      </w:r>
      <w:r w:rsidDel="00000000" w:rsidR="00000000" w:rsidRPr="00000000">
        <w:rPr>
          <w:rtl w:val="0"/>
        </w:rPr>
        <w:t xml:space="preserve">), a discussão deve abordar preventivamente pontos vulneráveis [cite: 5]: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Tática de Blindagem (Justificativa da Lacuna Científica):</w:t>
      </w:r>
      <w:r w:rsidDel="00000000" w:rsidR="00000000" w:rsidRPr="00000000">
        <w:rPr>
          <w:rtl w:val="0"/>
        </w:rPr>
        <w:t xml:space="preserve"> Argumentar que, embora a literatura demonstre um alto acesso geral a medicamentos no Brasil, nenhum estudo nacional de grande porte havia investigado o impacto do </w:t>
      </w:r>
      <w:r w:rsidDel="00000000" w:rsidR="00000000" w:rsidRPr="00000000">
        <w:rPr>
          <w:i w:val="1"/>
          <w:iCs w:val="1"/>
          <w:rtl w:val="0"/>
        </w:rPr>
        <w:t xml:space="preserve">gradiente contínuo de complexidade da doença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i w:val="1"/>
          <w:iCs w:val="1"/>
          <w:rtl w:val="0"/>
        </w:rPr>
        <w:t xml:space="preserve">incompletude da receita recente</w:t>
      </w:r>
      <w:r w:rsidDel="00000000" w:rsidR="00000000" w:rsidRPr="00000000">
        <w:rPr>
          <w:rtl w:val="0"/>
        </w:rPr>
        <w:t xml:space="preserve"> [cite: 5].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Superação da Causalidade Reversa:</w:t>
      </w:r>
      <w:r w:rsidDel="00000000" w:rsidR="00000000" w:rsidRPr="00000000">
        <w:rPr>
          <w:rtl w:val="0"/>
        </w:rPr>
        <w:t xml:space="preserve"> Destacar que o recorte temporal rigoroso (prescrição recebida nas últimas 2 semanas em atendimento de saúde) reduz o risco de viés de memória e temporalidade em relação à presença de doenças crônicas pré-existentes [cite: 5].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Destaque para o Setor Público vs. Privado:</w:t>
      </w:r>
      <w:r w:rsidDel="00000000" w:rsidR="00000000" w:rsidRPr="00000000">
        <w:rPr>
          <w:rtl w:val="0"/>
        </w:rPr>
        <w:t xml:space="preserve"> Discutir como a fragilidade no abastecimento público do SUS impõe uma "penalidade dupla" aos pacientes com multimorbidade grave, que dependem do sistema público mas não conseguem obter 100% dos medicamentos prescritos em uma única consulta [cite: 5].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Estratégias para Alta Citação do Artigo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Alinhamento com a Agenda Global da OMS para Multimorbidade:</w:t>
      </w:r>
      <w:r w:rsidDel="00000000" w:rsidR="00000000" w:rsidRPr="00000000">
        <w:rPr>
          <w:rtl w:val="0"/>
        </w:rPr>
        <w:t xml:space="preserve"> Contextualizar a complexidade clínica e a polifarmácia como prioridades globais de saúde pública para a redução de custos e hospitalizações evitáveis.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Transparência e Reprodutibilidade:</w:t>
      </w:r>
      <w:r w:rsidDel="00000000" w:rsidR="00000000" w:rsidRPr="00000000">
        <w:rPr>
          <w:rtl w:val="0"/>
        </w:rPr>
        <w:t xml:space="preserve"> Publicar o artigo em Acesso Aberto (Open Access) e disponibilizar os scripts estatísticos (R/Stata) de limpeza e modelagem em plataformas como GitHub ou Zenodo.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Elaboração de Resumos Gráficos (Visual Abstracts):</w:t>
      </w:r>
      <w:r w:rsidDel="00000000" w:rsidR="00000000" w:rsidRPr="00000000">
        <w:rPr>
          <w:rtl w:val="0"/>
        </w:rPr>
        <w:t xml:space="preserve"> Produzir gráficos visuais evidenciando a queda percentual na obtenção completa de medicamentos à medida que o número de DCNTs aumenta (2 vs. 5+ doenças) para divulgação em mídias científicas.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Recomendações Práticas de Gestão Farmacêutica:</w:t>
      </w:r>
      <w:r w:rsidDel="00000000" w:rsidR="00000000" w:rsidRPr="00000000">
        <w:rPr>
          <w:rtl w:val="0"/>
        </w:rPr>
        <w:t xml:space="preserve"> Propor a criação de protocolos de "dispensação integrada de receitas complexas" no SUS para evitar a desistência do tratamento em pacientes polimedicados.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6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