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Proposta de Projeto de Pesquisa: Atributos de Longitudinalidade da APS e Adesão ao Tratamento da Hipertensão na PNS 2019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Proposta Inicial de Título do Artigo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Título Sugerido:</w:t>
      </w:r>
      <w:r w:rsidDel="00000000" w:rsidR="00000000" w:rsidRPr="00000000">
        <w:rPr>
          <w:rtl w:val="0"/>
        </w:rPr>
        <w:t xml:space="preserve"> Associação entre os atributos de longitudinalidade da Atenção Primária à Saúde e a adesão ao tratamento medicamentoso da hipertensão arterial no Brasil: PNS 2019 [cite: 7].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Pergunta de Pesquisa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Em adultos brasileiros com hipertensão arterial que possuem local habitual de atendimento de Atenção Primária à Saúde (APS), um maior grau de longitudinalidade e vínculo com a equipe de saúde está associado a maiores taxas de uso regular e obtenção completa de medicamentos anti-hipertensivos? [cite: 7]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/>
      </w:pPr>
      <w:r w:rsidDel="00000000" w:rsidR="00000000" w:rsidRPr="00000000">
        <w:rPr>
          <w:rtl w:val="0"/>
        </w:rPr>
        <w:t xml:space="preserve">3. Objetivos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Objetivo Geral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Analisar a associação entre o Escore de Longitudinalidade e Vínculo na Atenção Primária à Saúde e a adesão ao tratamento farmacológico (uso regular e obtenção completa de medicamentos) em adultos brasileiros hipertensos atendidos na APS, utilizando os dados da PNS 2019 [cite: 7].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rtl w:val="0"/>
        </w:rPr>
        <w:t xml:space="preserve">Mapear a prevalência de alta e baixa longitudinalidade da APS entre adultos hipertensos usuários do sistema de saúde [cite: 7].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Estimar a taxa de adesão ao tratamento (uso regular de anti-hipertensivos) e a obtenção completa de medicamentos prescritos [cite: 7].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Avaliar a associação independente do Escore de Longitudinalidade com a adesão medicamentosa, ajustando por variáveis sociodemográficas, assistenciais e pela severidade/danos em órgãos-alvo [cite: 7].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Verificar o papel do cadastro na Estratégia Saúde da Família (ESF) e da posse de plano de saúde privado como moderadores da longitudinalidade do cuidado [cite: 7].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Definição Metodológica das Variáveis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Eixo / Papel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Variável PNS 2019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Descrição Operacional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Categorização no Modelo Metodológico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População Elegível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Q002a &amp; Q003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Adultos (≥ 18 anos) com hipertensão autorreferida e com local habitual de atendimento na APS (Posto/Centro de Saúde/UBS) [cite: 7].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Filtro de inclusão: Q002a = 1 AND Q003 ∈ (1, 2) [cite: 7].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Desfecho Principal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Q00601 &amp; Q00602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Uso de medicamentos para hipertensão nas últimas 2 semanas e obtenção dos medicamentos [cite: 7].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Desfecho 1: Uso regular de anti-hipertensivos (Sim / Não)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Desfecho 2: Obtenção completa (Conseguiu todos vs. Incompleto/Nenhum) [cite: 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Exposição Principal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H (H020 - H024)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longitudinalidade da APS (mesmo médico, conhecimento do histórico, facilidade de agendamento, escuta atenta e orientação contínua) [cite: 7].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Escore de Longitudinalidade (0 a 4 pontos):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Baixa Longitudinalidade / Vínculo Fraco (0 a 2 pontos)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Alta Longitudinalidade / Vínculo Forte (3 a 4 pontos) [cite: 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Confundidor Clínico / Indicação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Q00201 / Módulo J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Gravidade/severidade clínica e presença de Lesão em Órgão-Alvo (histórico de AVC, Infarto ou Doença Renal Crônica) [cite: 7].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Presença de Lesão em Órgão-Alvo / Comorbidades Graves (Sim / Não) [cite: 7].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Ajuste de Serviço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I001 &amp; H008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Cobertura por plano de saúde privado e cadastro familiar na equipe de Saúde da Família [cite: 7].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Cobertura por Plano de Saúde (Sim / Não)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Cadastrado na ESF (Sim / Não) [cite: 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Ajuste Sociodemográfico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C006, C008, VDF004, Região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Fatores sociodemográficos e de renda [cite: 7].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Sexo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Faixa Etária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Escolaridade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Renda per capita (Quintis)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Região Geográfica [cite: 7]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Modelo Estatístico Detalhado em Etapas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Considerando o plano amostral complexo da PNS 2019, todas as análises estatísticas serão efetuadas incorporando estratos, Unidades Primárias de Amostragem (UPAs) e pesos de amostragem (utilizando o pacote </w:t>
      </w:r>
      <w:r w:rsidDel="00000000" w:rsidR="00000000" w:rsidRPr="00000000">
        <w:rPr>
          <w:i w:val="1"/>
          <w:iCs w:val="1"/>
          <w:rtl w:val="0"/>
        </w:rPr>
        <w:t xml:space="preserve">survey</w:t>
      </w:r>
      <w:r w:rsidDel="00000000" w:rsidR="00000000" w:rsidRPr="00000000">
        <w:rPr>
          <w:rtl w:val="0"/>
        </w:rPr>
        <w:t xml:space="preserve"> no R ou comandos </w:t>
      </w:r>
      <w:r w:rsidDel="00000000" w:rsidR="00000000" w:rsidRPr="00000000">
        <w:rPr>
          <w:i w:val="1"/>
          <w:iCs w:val="1"/>
          <w:rtl w:val="0"/>
        </w:rPr>
        <w:t xml:space="preserve">svy</w:t>
      </w:r>
      <w:r w:rsidDel="00000000" w:rsidR="00000000" w:rsidRPr="00000000">
        <w:rPr>
          <w:rtl w:val="0"/>
        </w:rPr>
        <w:t xml:space="preserve"> no Stata) [cite: 7].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Etapa 1: Análise Descritiva e Construção do Escore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Extrair os itens H020 a H024 do Módulo H da PNS 2019 para quantificar a pontuação de longitudinalidade [cite: 7]. Apresentar as frequências absolutas e relativas ponderadas (com IC 95%) das características sociodemográficas, clínicas e assistenciais na população de hipertensos usuários da APS [cite: 7].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Etapa 2: Análise Bivariada Ponderada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Avaliar a associação não ajustada entre as variáveis independentes (especialmente o Escore de Longitudinalidade) e os desfechos de adesão/obtenção medicamentosa [cite: 7]. Utilizar o teste do qui-quadrado de Rao-Scott para amostragem complexa e calcular as Razões de Prevalência brutas (RP bruta) com IC 95%.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Etapa 3: Modelagem Multivariada (Regressão de Poisson com Variância Robusta)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Como o uso regular e a obtenção de medicamentos para hipertensão apresentam prevalência elevada (&gt; 10%), será aplicada a </w:t>
      </w:r>
      <w:r w:rsidDel="00000000" w:rsidR="00000000" w:rsidRPr="00000000">
        <w:rPr>
          <w:b w:val="1"/>
          <w:bCs w:val="1"/>
          <w:rtl w:val="0"/>
        </w:rPr>
        <w:t xml:space="preserve">Regressão de Poisson com Variância Robusta para Amostras Complexas</w:t>
      </w:r>
      <w:r w:rsidDel="00000000" w:rsidR="00000000" w:rsidRPr="00000000">
        <w:rPr>
          <w:rtl w:val="0"/>
        </w:rPr>
        <w:t xml:space="preserve"> a fim de evitar a superestimação do efeito conferida pela Razão de Chances (OR) [cite: 7]. A modelagem será conduzida em blocos hierárquicos [cite: 7]: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Bloco 1 (Sociodemográfico):</w:t>
      </w:r>
      <w:r w:rsidDel="00000000" w:rsidR="00000000" w:rsidRPr="00000000">
        <w:rPr>
          <w:rtl w:val="0"/>
        </w:rPr>
        <w:t xml:space="preserve"> Ajuste pelas variáveis de sexo, faixa etária, escolaridade, renda (quintis) e região [cite: 7].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Bloco 2 (Clínico e Severidade):</w:t>
      </w:r>
      <w:r w:rsidDel="00000000" w:rsidR="00000000" w:rsidRPr="00000000">
        <w:rPr>
          <w:rtl w:val="0"/>
        </w:rPr>
        <w:t xml:space="preserve"> Adição da presença de Lesão em Órgão-Alvo / complicações (AVC, infarto, insuficiência renal) para controlar o confundimento por indicação [cite: 7].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Bloco 3 (Assistencial e Exposição Principal - Modelo Final):</w:t>
      </w:r>
      <w:r w:rsidDel="00000000" w:rsidR="00000000" w:rsidRPr="00000000">
        <w:rPr>
          <w:rtl w:val="0"/>
        </w:rPr>
        <w:t xml:space="preserve"> Inclusão do cadastro na ESF, plano de saúde e Escore de Longitudinalidade da APS (Baixa vs. Alta) para estimar a Razão de Prevalência Ajustada (RPa) final [cite: 7].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Etapa 4: Análise de Sensibilidade e Modificação de Efeito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Testar termos de interação estatística entre o Escore de Longitudinalidade e o cadastro na ESF (H008) para identificar se a Estratégia Saúde da Família potencializa os benefícios do vínculo clínico no manejo farmacológico. Avaliar a qualidade e estabilidade dos modelos via estatística de Wald.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Estatísticas a Serem Apresentadas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Frequências Amostrais e Estimativas Populacionais:</w:t>
      </w:r>
      <w:r w:rsidDel="00000000" w:rsidR="00000000" w:rsidRPr="00000000">
        <w:rPr>
          <w:rtl w:val="0"/>
        </w:rPr>
        <w:t xml:space="preserve"> Frequência absoluta ($n$), percentual ponderado (%) e Intervalos de Confiança de 95% (IC 95%).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Medidas de Efeito Epidemiológico:</w:t>
      </w:r>
      <w:r w:rsidDel="00000000" w:rsidR="00000000" w:rsidRPr="00000000">
        <w:rPr>
          <w:rtl w:val="0"/>
        </w:rPr>
        <w:t xml:space="preserve"> Razões de Prevalência brutas (RP) e ajustadas (RPa) derivadas da Regressão de Poisson com variância robusta, acompanhadas de seus IC 95% e valores-$p$.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Testes de Associação:</w:t>
      </w:r>
      <w:r w:rsidDel="00000000" w:rsidR="00000000" w:rsidRPr="00000000">
        <w:rPr>
          <w:rtl w:val="0"/>
        </w:rPr>
        <w:t xml:space="preserve"> Teste do Qui-quadrado de Rao-Scott adaptado para amostragem probabilística complexa.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Métricas de Ajuste dos Modelos:</w:t>
      </w:r>
      <w:r w:rsidDel="00000000" w:rsidR="00000000" w:rsidRPr="00000000">
        <w:rPr>
          <w:rtl w:val="0"/>
        </w:rPr>
        <w:t xml:space="preserve"> Estatística de Wald para significância dos blocos e testes de estabilidade dos coeficientes.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7. Tarefas dos Alunos e Identificação da Literatura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Roteiro de Tarefas Científicas dos Alunos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Processamento dos Microdados e Construção do Escore: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Baixar a base da PNS 2019 (IBGE), filtrar adultos hipertensos que consultam na APS (Q002a=1 e Q003 ∈ {1,2}), extrair os itens H020-H024 e somar a pontuação de longitudinalidade (0 a 4) [cite: 7].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Tratamento do Confundimento por Severidade:</w:t>
      </w:r>
      <w:r w:rsidDel="00000000" w:rsidR="00000000" w:rsidRPr="00000000">
        <w:rPr>
          <w:rtl w:val="0"/>
        </w:rPr>
        <w:t xml:space="preserve"> Criar a variável de Lesão em Órgão-Alvo (presença de AVC, infarto, IRC) para blindar a análise contra causalidade reversa [cite: 7].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Análise Estatística Ponderada:</w:t>
      </w:r>
      <w:r w:rsidDel="00000000" w:rsidR="00000000" w:rsidRPr="00000000">
        <w:rPr>
          <w:rtl w:val="0"/>
        </w:rPr>
        <w:t xml:space="preserve"> Configurar a amostragem complexa (svydesign) e executar as análises descritivas, testes de Rao-Scott e regressões de Poisson robustas [cite: 7].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Redação Científica:</w:t>
      </w:r>
      <w:r w:rsidDel="00000000" w:rsidR="00000000" w:rsidRPr="00000000">
        <w:rPr>
          <w:rtl w:val="0"/>
        </w:rPr>
        <w:t xml:space="preserve"> Estruturar o manuscrito em estrita conformidade com a diretriz STROBE para estudos observacionais.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Estratégia para Identificação dos 10 Artigos Mais Próximos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Para otimizar a busca bibliográfica nas bases PubMed, Scopus e Web of Science, utilizar a seguinte combinação de termos (</w:t>
      </w:r>
      <w:r w:rsidDel="00000000" w:rsidR="00000000" w:rsidRPr="00000000">
        <w:rPr>
          <w:i w:val="1"/>
          <w:iCs w:val="1"/>
          <w:rtl w:val="0"/>
        </w:rPr>
        <w:t xml:space="preserve">search string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edf2f7" w:val="clear"/>
          <w:rtl w:val="0"/>
        </w:rPr>
        <w:t xml:space="preserve">("Primary Health Care"[Mesh] OR "longitudinality" OR "continuity of care" OR "Family Health Strategy") AND ("Hypertension"[Mesh] OR "antihypertensive agents" OR "medication adherence") AND ("Health Services Accessibility"[Mesh] OR "PNS" OR "National Health Survey" OR "Brazil")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Seleção dos 10 Artigos:</w:t>
      </w:r>
      <w:r w:rsidDel="00000000" w:rsidR="00000000" w:rsidRPr="00000000">
        <w:rPr>
          <w:rtl w:val="0"/>
        </w:rPr>
        <w:t xml:space="preserve"> Estudos que empreguem ferramentas de avaliação da APS (como PCATool ou Módulo H da PNS), pesquisas sobre adesão farmacológica na hipertensão arterial no SUS e investigações do impacto da Estratégia Saúde da Família na gestão de condições crônicas [cite: 7].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Diretrizes de Discussão e Blindagem Contra Revisores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Para assegurar uma recepção favorável em periódicos de prestígio em saúde coletiva (ex.: </w:t>
      </w:r>
      <w:r w:rsidDel="00000000" w:rsidR="00000000" w:rsidRPr="00000000">
        <w:rPr>
          <w:i w:val="1"/>
          <w:iCs w:val="1"/>
          <w:rtl w:val="0"/>
        </w:rPr>
        <w:t xml:space="preserve">Cadernos de Saúde Pública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Revista de Saúde Pública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Ciência &amp; Saúde Coletiva</w:t>
      </w:r>
      <w:r w:rsidDel="00000000" w:rsidR="00000000" w:rsidRPr="00000000">
        <w:rPr>
          <w:rtl w:val="0"/>
        </w:rPr>
        <w:t xml:space="preserve">) [cite: 7]: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Tática de Blindagem (Superação da Variável Quantitativa Apenas):</w:t>
      </w:r>
      <w:r w:rsidDel="00000000" w:rsidR="00000000" w:rsidRPr="00000000">
        <w:rPr>
          <w:rtl w:val="0"/>
        </w:rPr>
        <w:t xml:space="preserve"> Argumentar no texto que o estudo inova ao ir além da mensuração puramente quantitativa do acesso ("teve consulta no ano") para focar no </w:t>
      </w:r>
      <w:r w:rsidDel="00000000" w:rsidR="00000000" w:rsidRPr="00000000">
        <w:rPr>
          <w:i w:val="1"/>
          <w:iCs w:val="1"/>
          <w:rtl w:val="0"/>
        </w:rPr>
        <w:t xml:space="preserve">construto de qualidade da atenção</w:t>
      </w:r>
      <w:r w:rsidDel="00000000" w:rsidR="00000000" w:rsidRPr="00000000">
        <w:rPr>
          <w:rtl w:val="0"/>
        </w:rPr>
        <w:t xml:space="preserve"> (longitudinalidade e vínculo) [cite: 7].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Controle de Causalidade Reversa e Confundimento por Indicação:</w:t>
      </w:r>
      <w:r w:rsidDel="00000000" w:rsidR="00000000" w:rsidRPr="00000000">
        <w:rPr>
          <w:rtl w:val="0"/>
        </w:rPr>
        <w:t xml:space="preserve"> Discutir explicitamente que o ajuste pela presença de lesões em órgãos-alvo (AVC/Infarto) previne que pacientes mais graves (com maior uso de medicamentos) distorçam a associação entre o vínculo da APS e a adesão [cite: 7].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Destaque do Papel da Estratégia Saúde da Família:</w:t>
      </w:r>
      <w:r w:rsidDel="00000000" w:rsidR="00000000" w:rsidRPr="00000000">
        <w:rPr>
          <w:rtl w:val="0"/>
        </w:rPr>
        <w:t xml:space="preserve"> Discutir como o modelo da ESF é estruturalmente desenhado para favorecer a longitudinalidade, demonstrando que o vínculo com o mesmo profissional/equipe é a chave funcional para aumentar a adesão terapêutica contínua [cite: 7].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Estratégias para Alta Citação do Artigo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Conexão com Políticas de Fortalecimento da Atenção Primária:</w:t>
      </w:r>
      <w:r w:rsidDel="00000000" w:rsidR="00000000" w:rsidRPr="00000000">
        <w:rPr>
          <w:rtl w:val="0"/>
        </w:rPr>
        <w:t xml:space="preserve"> Relacionar os resultados com os debates de financiamento e valorização da APS no Sistema Único de Saúde (SUS), oferecendo subsídios empíricos para gestores públicos.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Ciência Aberta e Reprodutibilidade:</w:t>
      </w:r>
      <w:r w:rsidDel="00000000" w:rsidR="00000000" w:rsidRPr="00000000">
        <w:rPr>
          <w:rtl w:val="0"/>
        </w:rPr>
        <w:t xml:space="preserve"> Publicar o artigo sob licença de Acesso Aberto (Open Access) e disponibilizar os scripts estatísticos (R/Stata) de construção do escore de longitudinalidade em repositórios abertos (GitHub, Zenodo).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Resumos Gráficos (Visual Abstracts):</w:t>
      </w:r>
      <w:r w:rsidDel="00000000" w:rsidR="00000000" w:rsidRPr="00000000">
        <w:rPr>
          <w:rtl w:val="0"/>
        </w:rPr>
        <w:t xml:space="preserve"> Criar infográficos destacando o aumento percentual na adesão ao tratamento entre pacientes com alta vs. baixa longitudinalidade na APS para ampla disseminação acadêmica.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Alineamento com Recomendações Internacionais de Saúde Global:</w:t>
      </w:r>
      <w:r w:rsidDel="00000000" w:rsidR="00000000" w:rsidRPr="00000000">
        <w:rPr>
          <w:rtl w:val="0"/>
        </w:rPr>
        <w:t xml:space="preserve"> Destacar que o fortalecimento da longitudinalidade da APS atende às diretrizes da Organização Mundial da Saúde (OMS) para o controle sustentável de DCNTs em países de média renda.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Rule="auto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0" w:before="360" w:lineRule="auto"/>
    </w:pPr>
    <w:rPr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