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B3A5C"/>
          <w:sz w:val="36"/>
          <w:szCs w:val="36"/>
        </w:rPr>
        <w:t xml:space="preserve">DIGITAL SAT READING &amp; WRITING</w:t>
      </w:r>
    </w:p>
    <w:p>
      <w:pPr>
        <w:spacing w:after="100"/>
        <w:jc w:val="center"/>
      </w:pPr>
      <w:r>
        <w:rPr>
          <w:rFonts w:ascii="Calibri" w:cs="Calibri" w:eastAsia="Calibri" w:hAnsi="Calibri"/>
          <w:b/>
          <w:bCs/>
          <w:color w:val="2E74B5"/>
          <w:sz w:val="30"/>
          <w:szCs w:val="30"/>
        </w:rPr>
        <w:t xml:space="preserve">Evidence — Support / Weaken</w:t>
      </w:r>
    </w:p>
    <w:p>
      <w:pPr>
        <w:spacing w:after="60"/>
        <w:jc w:val="center"/>
      </w:pPr>
      <w:r>
        <w:rPr>
          <w:rFonts w:ascii="Calibri" w:cs="Calibri" w:eastAsia="Calibri" w:hAnsi="Calibri"/>
          <w:color w:val="2E74B5"/>
          <w:sz w:val="26"/>
          <w:szCs w:val="26"/>
        </w:rPr>
        <w:t xml:space="preserve">50 Practice Questions</w:t>
      </w:r>
    </w:p>
    <w:p>
      <w:pPr>
        <w:spacing w:after="300"/>
        <w:jc w:val="center"/>
      </w:pPr>
      <w:r>
        <w:rPr>
          <w:rFonts w:ascii="Calibri" w:cs="Calibri" w:eastAsia="Calibri" w:hAnsi="Calibri"/>
          <w:b/>
          <w:bCs/>
          <w:color w:val="C00000"/>
          <w:sz w:val="24"/>
          <w:szCs w:val="24"/>
        </w:rPr>
        <w:t xml:space="preserve">DOC 1 — QUESTIONS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Marine biologist Priya Naidu conducted a study examining coral bleaching events in the Andaman Sea. Naidu observed that certain coral species near volcanic vents, which are naturally exposed to slightly acidified water, showed greater resilience during thermal stress events compared to corals of the same species living farther from the vents. Naidu hypothesized that long-term exposure to mildly acidified conditions may enable some corals to develop a tolerance that also helps them withstand temperature increases.</w:t>
      </w:r>
    </w:p>
    <w:p>
      <w:pPr>
        <w:spacing w:after="120" w:before="120"/>
      </w:pPr>
      <w:r>
        <w:rPr>
          <w:rFonts w:ascii="Calibri" w:cs="Calibri" w:eastAsia="Calibri" w:hAnsi="Calibri"/>
          <w:b/>
          <w:bCs/>
          <w:sz w:val="22"/>
          <w:szCs w:val="22"/>
        </w:rPr>
        <w:t xml:space="preserve">Which finding, if true, would most directly support Naidu's hypothesis?</w:t>
      </w:r>
    </w:p>
    <w:p>
      <w:pPr>
        <w:spacing w:after="60"/>
        <w:ind w:left="480"/>
      </w:pPr>
      <w:r>
        <w:rPr>
          <w:rFonts w:ascii="Calibri" w:cs="Calibri" w:eastAsia="Calibri" w:hAnsi="Calibri"/>
          <w:sz w:val="22"/>
          <w:szCs w:val="22"/>
        </w:rPr>
        <w:t xml:space="preserve">A) The water temperature near volcanic vents remained consistently lower than the temperature in surrounding areas throughout the study period.</w:t>
      </w:r>
    </w:p>
    <w:p>
      <w:pPr>
        <w:spacing w:after="60"/>
        <w:ind w:left="480"/>
      </w:pPr>
      <w:r>
        <w:rPr>
          <w:rFonts w:ascii="Calibri" w:cs="Calibri" w:eastAsia="Calibri" w:hAnsi="Calibri"/>
          <w:sz w:val="22"/>
          <w:szCs w:val="22"/>
        </w:rPr>
        <w:t xml:space="preserve">B) Several coral species not found near volcanic vents also demonstrated resilience during thermal stress events in the Andaman Sea.</w:t>
      </w:r>
    </w:p>
    <w:p>
      <w:pPr>
        <w:spacing w:after="60"/>
        <w:ind w:left="480"/>
      </w:pPr>
      <w:r>
        <w:rPr>
          <w:rFonts w:ascii="Calibri" w:cs="Calibri" w:eastAsia="Calibri" w:hAnsi="Calibri"/>
          <w:sz w:val="22"/>
          <w:szCs w:val="22"/>
        </w:rPr>
        <w:t xml:space="preserve">C) Corals near volcanic vents were found to host a distinct variety of symbiotic algae that is more heat-resistant than the algae found in corals farther from the vents.</w:t>
      </w:r>
    </w:p>
    <w:p>
      <w:pPr>
        <w:spacing w:after="60"/>
        <w:ind w:left="480"/>
      </w:pPr>
      <w:r>
        <w:rPr>
          <w:rFonts w:ascii="Calibri" w:cs="Calibri" w:eastAsia="Calibri" w:hAnsi="Calibri"/>
          <w:sz w:val="22"/>
          <w:szCs w:val="22"/>
        </w:rPr>
        <w:t xml:space="preserve">D) Corals living near volcanic vents exhibited genetic markers associated with enhanced cellular stress responses, and these markers were absent in corals of the same species living in non-acidified waters.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Social Science  |  Support</w:t>
      </w:r>
    </w:p>
    <w:p>
      <w:pPr>
        <w:spacing w:after="120"/>
        <w:ind w:left="360"/>
      </w:pPr>
      <w:r>
        <w:rPr>
          <w:rFonts w:ascii="Calibri" w:cs="Calibri" w:eastAsia="Calibri" w:hAnsi="Calibri"/>
          <w:sz w:val="22"/>
          <w:szCs w:val="22"/>
        </w:rPr>
        <w:t xml:space="preserve">Economist Darren Whitfield studied wage patterns across twelve metropolitan areas in a developing nation from 2010 to 2020. Whitfield found that cities that had invested heavily in public transit infrastructure during the early part of the decade experienced a narrowing of income inequality by 2020, as measured by the Gini coefficient, compared to cities that had not made such investments. Whitfield proposed that improved public transit access enabled lower-income workers to reach higher-paying jobs that were previously inaccessible due to commuting constraints.</w:t>
      </w:r>
    </w:p>
    <w:p>
      <w:pPr>
        <w:spacing w:after="120" w:before="120"/>
      </w:pPr>
      <w:r>
        <w:rPr>
          <w:rFonts w:ascii="Calibri" w:cs="Calibri" w:eastAsia="Calibri" w:hAnsi="Calibri"/>
          <w:b/>
          <w:bCs/>
          <w:sz w:val="22"/>
          <w:szCs w:val="22"/>
        </w:rPr>
        <w:t xml:space="preserve">Which finding, if true, would most directly support Whitfield's proposed explanation?</w:t>
      </w:r>
    </w:p>
    <w:p>
      <w:pPr>
        <w:spacing w:after="60"/>
        <w:ind w:left="480"/>
      </w:pPr>
      <w:r>
        <w:rPr>
          <w:rFonts w:ascii="Calibri" w:cs="Calibri" w:eastAsia="Calibri" w:hAnsi="Calibri"/>
          <w:sz w:val="22"/>
          <w:szCs w:val="22"/>
        </w:rPr>
        <w:t xml:space="preserve">A) In cities with improved transit, the average commute time for workers in the lowest income quartile decreased by 35%, and these workers' wages grew at twice the rate of comparable workers in cities without transit improvements.</w:t>
      </w:r>
    </w:p>
    <w:p>
      <w:pPr>
        <w:spacing w:after="60"/>
        <w:ind w:left="480"/>
      </w:pPr>
      <w:r>
        <w:rPr>
          <w:rFonts w:ascii="Calibri" w:cs="Calibri" w:eastAsia="Calibri" w:hAnsi="Calibri"/>
          <w:sz w:val="22"/>
          <w:szCs w:val="22"/>
        </w:rPr>
        <w:t xml:space="preserve">B) Workers in the highest income quartile in transit-invested cities showed no significant change in their commuting patterns between 2010 and 2020.</w:t>
      </w:r>
    </w:p>
    <w:p>
      <w:pPr>
        <w:spacing w:after="60"/>
        <w:ind w:left="480"/>
      </w:pPr>
      <w:r>
        <w:rPr>
          <w:rFonts w:ascii="Calibri" w:cs="Calibri" w:eastAsia="Calibri" w:hAnsi="Calibri"/>
          <w:sz w:val="22"/>
          <w:szCs w:val="22"/>
        </w:rPr>
        <w:t xml:space="preserve">C) Cities that invested in public transit also invested in public education, leading to a more skilled workforce overall.</w:t>
      </w:r>
    </w:p>
    <w:p>
      <w:pPr>
        <w:spacing w:after="60"/>
        <w:ind w:left="480"/>
      </w:pPr>
      <w:r>
        <w:rPr>
          <w:rFonts w:ascii="Calibri" w:cs="Calibri" w:eastAsia="Calibri" w:hAnsi="Calibri"/>
          <w:sz w:val="22"/>
          <w:szCs w:val="22"/>
        </w:rPr>
        <w:t xml:space="preserve">D) The Gini coefficient in cities without transit investment remained stable rather than increasing during the same period.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Paleontologist Marcus Reeves analyzed fossilized pollen grains found in sedimentary layers at the Thornfield Basin in central Australia. Reeves noted that pollen from flowering plants first appears in a sedimentary layer dated to approximately 115 million years ago, replacing the conifer-dominated pollen record of earlier layers. Because flowering plants require insect pollinators to reproduce efficiently, Reeves concluded that a diverse insect pollinator community must have already been established in the Thornfield Basin region by 115 million years ago.</w:t>
      </w:r>
    </w:p>
    <w:p>
      <w:pPr>
        <w:spacing w:after="120" w:before="120"/>
      </w:pPr>
      <w:r>
        <w:rPr>
          <w:rFonts w:ascii="Calibri" w:cs="Calibri" w:eastAsia="Calibri" w:hAnsi="Calibri"/>
          <w:b/>
          <w:bCs/>
          <w:sz w:val="22"/>
          <w:szCs w:val="22"/>
        </w:rPr>
        <w:t xml:space="preserve">Which finding, if true, would most directly weaken Reeves's conclusion?</w:t>
      </w:r>
    </w:p>
    <w:p>
      <w:pPr>
        <w:spacing w:after="60"/>
        <w:ind w:left="480"/>
      </w:pPr>
      <w:r>
        <w:rPr>
          <w:rFonts w:ascii="Calibri" w:cs="Calibri" w:eastAsia="Calibri" w:hAnsi="Calibri"/>
          <w:sz w:val="22"/>
          <w:szCs w:val="22"/>
        </w:rPr>
        <w:t xml:space="preserve">A) Fossilized insect specimens found in the same sedimentary layer as the flowering plant pollen were exclusively predatory species with no known pollination behaviors.</w:t>
      </w:r>
    </w:p>
    <w:p>
      <w:pPr>
        <w:spacing w:after="60"/>
        <w:ind w:left="480"/>
      </w:pPr>
      <w:r>
        <w:rPr>
          <w:rFonts w:ascii="Calibri" w:cs="Calibri" w:eastAsia="Calibri" w:hAnsi="Calibri"/>
          <w:sz w:val="22"/>
          <w:szCs w:val="22"/>
        </w:rPr>
        <w:t xml:space="preserve">B) Several modern flowering plant families are known to reproduce through wind pollination without relying on insect pollinators.</w:t>
      </w:r>
    </w:p>
    <w:p>
      <w:pPr>
        <w:spacing w:after="60"/>
        <w:ind w:left="480"/>
      </w:pPr>
      <w:r>
        <w:rPr>
          <w:rFonts w:ascii="Calibri" w:cs="Calibri" w:eastAsia="Calibri" w:hAnsi="Calibri"/>
          <w:sz w:val="22"/>
          <w:szCs w:val="22"/>
        </w:rPr>
        <w:t xml:space="preserve">C) The sedimentary layer containing the flowering plant pollen also contained fossilized fern spores, indicating that ferns coexisted with the flowering plants.</w:t>
      </w:r>
    </w:p>
    <w:p>
      <w:pPr>
        <w:spacing w:after="60"/>
        <w:ind w:left="480"/>
      </w:pPr>
      <w:r>
        <w:rPr>
          <w:rFonts w:ascii="Calibri" w:cs="Calibri" w:eastAsia="Calibri" w:hAnsi="Calibri"/>
          <w:sz w:val="22"/>
          <w:szCs w:val="22"/>
        </w:rPr>
        <w:t xml:space="preserve">D) Flowering plant pollen from the same geological period has been found at other sites in Australia, some of which are hundreds of miles from the Thornfield Basin.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History  |  Support</w:t>
      </w:r>
    </w:p>
    <w:p>
      <w:pPr>
        <w:spacing w:after="120"/>
        <w:ind w:left="360"/>
      </w:pPr>
      <w:r>
        <w:rPr>
          <w:rFonts w:ascii="Calibri" w:cs="Calibri" w:eastAsia="Calibri" w:hAnsi="Calibri"/>
          <w:sz w:val="22"/>
          <w:szCs w:val="22"/>
        </w:rPr>
        <w:t xml:space="preserve">Historian Elena Cabrera examined records from the colonial-era port city of San Venturo, which operated as a major trading hub from the sixteenth through eighteenth centuries. Cabrera found that merchant ledgers from the 1720s frequently listed goods such as Chinese porcelain, Indian textiles, and West African gold alongside locally produced sugar and tobacco. Cabrera argues that San Venturo served as a convergence point for global trade networks during this period.</w:t>
      </w:r>
    </w:p>
    <w:p>
      <w:pPr>
        <w:spacing w:after="120" w:before="120"/>
      </w:pPr>
      <w:r>
        <w:rPr>
          <w:rFonts w:ascii="Calibri" w:cs="Calibri" w:eastAsia="Calibri" w:hAnsi="Calibri"/>
          <w:b/>
          <w:bCs/>
          <w:sz w:val="22"/>
          <w:szCs w:val="22"/>
        </w:rPr>
        <w:t xml:space="preserve">Which finding, if true, would most directly support Cabrera's argument?</w:t>
      </w:r>
    </w:p>
    <w:p>
      <w:pPr>
        <w:spacing w:after="60"/>
        <w:ind w:left="480"/>
      </w:pPr>
      <w:r>
        <w:rPr>
          <w:rFonts w:ascii="Calibri" w:cs="Calibri" w:eastAsia="Calibri" w:hAnsi="Calibri"/>
          <w:sz w:val="22"/>
          <w:szCs w:val="22"/>
        </w:rPr>
        <w:t xml:space="preserve">A) The merchant ledgers were written in three different European languages, suggesting that multiple colonial powers used the port.</w:t>
      </w:r>
    </w:p>
    <w:p>
      <w:pPr>
        <w:spacing w:after="60"/>
        <w:ind w:left="480"/>
      </w:pPr>
      <w:r>
        <w:rPr>
          <w:rFonts w:ascii="Calibri" w:cs="Calibri" w:eastAsia="Calibri" w:hAnsi="Calibri"/>
          <w:sz w:val="22"/>
          <w:szCs w:val="22"/>
        </w:rPr>
        <w:t xml:space="preserve">B) Sugar and tobacco were the two most valuable exports from the region during the 1720s.</w:t>
      </w:r>
    </w:p>
    <w:p>
      <w:pPr>
        <w:spacing w:after="60"/>
        <w:ind w:left="480"/>
      </w:pPr>
      <w:r>
        <w:rPr>
          <w:rFonts w:ascii="Calibri" w:cs="Calibri" w:eastAsia="Calibri" w:hAnsi="Calibri"/>
          <w:sz w:val="22"/>
          <w:szCs w:val="22"/>
        </w:rPr>
        <w:t xml:space="preserve">C) Archaeological excavations in San Venturo have uncovered residential artifacts from Chinese, Indian, and West African cultural traditions alongside European goods.</w:t>
      </w:r>
    </w:p>
    <w:p>
      <w:pPr>
        <w:spacing w:after="60"/>
        <w:ind w:left="480"/>
      </w:pPr>
      <w:r>
        <w:rPr>
          <w:rFonts w:ascii="Calibri" w:cs="Calibri" w:eastAsia="Calibri" w:hAnsi="Calibri"/>
          <w:sz w:val="22"/>
          <w:szCs w:val="22"/>
        </w:rPr>
        <w:t xml:space="preserve">D) San Venturo's population declined sharply in the late eighteenth century due to the rise of competing ports.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Q5.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Neuroscientist Kenji Yamamoto conducted a study in which participants were shown images of faces while undergoing functional magnetic resonance imaging (fMRI). Yamamoto observed that when participants viewed faces they rated as trustworthy, a region of the brain called the ventral striatum showed increased activity. Because the ventral striatum is associated with reward processing, Yamamoto concluded that perceiving someone as trustworthy triggers a reward response in the brain.</w:t>
      </w:r>
    </w:p>
    <w:p>
      <w:pPr>
        <w:spacing w:after="120" w:before="120"/>
      </w:pPr>
      <w:r>
        <w:rPr>
          <w:rFonts w:ascii="Calibri" w:cs="Calibri" w:eastAsia="Calibri" w:hAnsi="Calibri"/>
          <w:b/>
          <w:bCs/>
          <w:sz w:val="22"/>
          <w:szCs w:val="22"/>
        </w:rPr>
        <w:t xml:space="preserve">Which finding, if true, would most directly weaken Yamamoto's conclusion?</w:t>
      </w:r>
    </w:p>
    <w:p>
      <w:pPr>
        <w:spacing w:after="60"/>
        <w:ind w:left="480"/>
      </w:pPr>
      <w:r>
        <w:rPr>
          <w:rFonts w:ascii="Calibri" w:cs="Calibri" w:eastAsia="Calibri" w:hAnsi="Calibri"/>
          <w:sz w:val="22"/>
          <w:szCs w:val="22"/>
        </w:rPr>
        <w:t xml:space="preserve">A) A follow-up study found that the ventral striatum did not show increased activity when participants read written descriptions of trustworthy individuals.</w:t>
      </w:r>
    </w:p>
    <w:p>
      <w:pPr>
        <w:spacing w:after="60"/>
        <w:ind w:left="480"/>
      </w:pPr>
      <w:r>
        <w:rPr>
          <w:rFonts w:ascii="Calibri" w:cs="Calibri" w:eastAsia="Calibri" w:hAnsi="Calibri"/>
          <w:sz w:val="22"/>
          <w:szCs w:val="22"/>
        </w:rPr>
        <w:t xml:space="preserve">B) Participants' ratings of trustworthiness were consistent across two separate testing sessions conducted one week apart.</w:t>
      </w:r>
    </w:p>
    <w:p>
      <w:pPr>
        <w:spacing w:after="60"/>
        <w:ind w:left="480"/>
      </w:pPr>
      <w:r>
        <w:rPr>
          <w:rFonts w:ascii="Calibri" w:cs="Calibri" w:eastAsia="Calibri" w:hAnsi="Calibri"/>
          <w:sz w:val="22"/>
          <w:szCs w:val="22"/>
        </w:rPr>
        <w:t xml:space="preserve">C) Participants who reported higher levels of general anxiety showed less ventral striatum activity when viewing all faces, including those rated as trustworthy.</w:t>
      </w:r>
    </w:p>
    <w:p>
      <w:pPr>
        <w:spacing w:after="60"/>
        <w:ind w:left="480"/>
      </w:pPr>
      <w:r>
        <w:rPr>
          <w:rFonts w:ascii="Calibri" w:cs="Calibri" w:eastAsia="Calibri" w:hAnsi="Calibri"/>
          <w:sz w:val="22"/>
          <w:szCs w:val="22"/>
        </w:rPr>
        <w:t xml:space="preserve">D) The ventral striatum also shows increased activity when participants view faces they rate as physically attractive, regardless of perceived trustworthiness.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Q6.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Social Science  |  Support</w:t>
      </w:r>
    </w:p>
    <w:p>
      <w:pPr>
        <w:spacing w:after="120"/>
        <w:ind w:left="360"/>
      </w:pPr>
      <w:r>
        <w:rPr>
          <w:rFonts w:ascii="Calibri" w:cs="Calibri" w:eastAsia="Calibri" w:hAnsi="Calibri"/>
          <w:sz w:val="22"/>
          <w:szCs w:val="22"/>
        </w:rPr>
        <w:t xml:space="preserve">Political scientist Amara Osei studied voter turnout patterns in a West African nation that transitioned from paper ballots to electronic voting machines in selected districts between 2014 and 2022. Osei found that districts using electronic machines saw a 12% increase in voter turnout compared to districts that retained paper ballots. Osei hypothesized that the electronic machines reduced perceived barriers to voting for citizens with limited literacy, since the machines displayed candidate photographs and party symbols rather than requiring voters to read names on a ballot.</w:t>
      </w:r>
    </w:p>
    <w:p>
      <w:pPr>
        <w:spacing w:after="120" w:before="120"/>
      </w:pPr>
      <w:r>
        <w:rPr>
          <w:rFonts w:ascii="Calibri" w:cs="Calibri" w:eastAsia="Calibri" w:hAnsi="Calibri"/>
          <w:b/>
          <w:bCs/>
          <w:sz w:val="22"/>
          <w:szCs w:val="22"/>
        </w:rPr>
        <w:t xml:space="preserve">Which finding, if true, would most directly support Osei's hypothesis?</w:t>
      </w:r>
    </w:p>
    <w:p>
      <w:pPr>
        <w:spacing w:after="60"/>
        <w:ind w:left="480"/>
      </w:pPr>
      <w:r>
        <w:rPr>
          <w:rFonts w:ascii="Calibri" w:cs="Calibri" w:eastAsia="Calibri" w:hAnsi="Calibri"/>
          <w:sz w:val="22"/>
          <w:szCs w:val="22"/>
        </w:rPr>
        <w:t xml:space="preserve">A) The increase in voter turnout in electronic-voting districts was concentrated in rural areas where adult literacy rates were below 40%, while turnout in urban areas of the same districts remained largely unchanged.</w:t>
      </w:r>
    </w:p>
    <w:p>
      <w:pPr>
        <w:spacing w:after="60"/>
        <w:ind w:left="480"/>
      </w:pPr>
      <w:r>
        <w:rPr>
          <w:rFonts w:ascii="Calibri" w:cs="Calibri" w:eastAsia="Calibri" w:hAnsi="Calibri"/>
          <w:sz w:val="22"/>
          <w:szCs w:val="22"/>
        </w:rPr>
        <w:t xml:space="preserve">B) Districts that switched to electronic voting also extended polling hours and increased the number of polling stations during the same period.</w:t>
      </w:r>
    </w:p>
    <w:p>
      <w:pPr>
        <w:spacing w:after="60"/>
        <w:ind w:left="480"/>
      </w:pPr>
      <w:r>
        <w:rPr>
          <w:rFonts w:ascii="Calibri" w:cs="Calibri" w:eastAsia="Calibri" w:hAnsi="Calibri"/>
          <w:sz w:val="22"/>
          <w:szCs w:val="22"/>
        </w:rPr>
        <w:t xml:space="preserve">C) Voter turnout in paper-ballot districts also increased, though by only 3%, during the same period.</w:t>
      </w:r>
    </w:p>
    <w:p>
      <w:pPr>
        <w:spacing w:after="60"/>
        <w:ind w:left="480"/>
      </w:pPr>
      <w:r>
        <w:rPr>
          <w:rFonts w:ascii="Calibri" w:cs="Calibri" w:eastAsia="Calibri" w:hAnsi="Calibri"/>
          <w:sz w:val="22"/>
          <w:szCs w:val="22"/>
        </w:rPr>
        <w:t xml:space="preserve">D) A nationwide survey conducted in 2020 found that a majority of citizens expressed trust in the accuracy of electronic voting machines.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Q7.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Literature  |  Support</w:t>
      </w:r>
    </w:p>
    <w:p>
      <w:pPr>
        <w:spacing w:after="120"/>
        <w:ind w:left="360"/>
      </w:pPr>
      <w:r>
        <w:rPr>
          <w:rFonts w:ascii="Calibri" w:cs="Calibri" w:eastAsia="Calibri" w:hAnsi="Calibri"/>
          <w:sz w:val="22"/>
          <w:szCs w:val="22"/>
        </w:rPr>
        <w:t xml:space="preserve">Literary scholar Vanessa Okoro analyzed the novels of early twentieth-century Caribbean writer Clement St. Pierre. Okoro noted that St. Pierre consistently wrote dialogue in Creole patois while composing his narration in formal Standard English. Some critics have dismissed this as stylistic inconsistency, but Okoro argues that the deliberate contrast between narrative and dialogue registers was an intentional artistic strategy designed to highlight the cultural tensions between colonial authority and indigenous identity in St. Pierre's work.</w:t>
      </w:r>
    </w:p>
    <w:p>
      <w:pPr>
        <w:spacing w:after="120" w:before="120"/>
      </w:pPr>
      <w:r>
        <w:rPr>
          <w:rFonts w:ascii="Calibri" w:cs="Calibri" w:eastAsia="Calibri" w:hAnsi="Calibri"/>
          <w:b/>
          <w:bCs/>
          <w:sz w:val="22"/>
          <w:szCs w:val="22"/>
        </w:rPr>
        <w:t xml:space="preserve">Which finding, if true, would most directly support Okoro's argument?</w:t>
      </w:r>
    </w:p>
    <w:p>
      <w:pPr>
        <w:spacing w:after="60"/>
        <w:ind w:left="480"/>
      </w:pPr>
      <w:r>
        <w:rPr>
          <w:rFonts w:ascii="Calibri" w:cs="Calibri" w:eastAsia="Calibri" w:hAnsi="Calibri"/>
          <w:sz w:val="22"/>
          <w:szCs w:val="22"/>
        </w:rPr>
        <w:t xml:space="preserve">A) St. Pierre's novels were more commercially successful among Caribbean readers than among European readers.</w:t>
      </w:r>
    </w:p>
    <w:p>
      <w:pPr>
        <w:spacing w:after="60"/>
        <w:ind w:left="480"/>
      </w:pPr>
      <w:r>
        <w:rPr>
          <w:rFonts w:ascii="Calibri" w:cs="Calibri" w:eastAsia="Calibri" w:hAnsi="Calibri"/>
          <w:sz w:val="22"/>
          <w:szCs w:val="22"/>
        </w:rPr>
        <w:t xml:space="preserve">B) Letters from St. Pierre to his publisher reveal that the author insisted on preserving the Creole dialogue against his editor's repeated requests to standardize it into formal English.</w:t>
      </w:r>
    </w:p>
    <w:p>
      <w:pPr>
        <w:spacing w:after="60"/>
        <w:ind w:left="480"/>
      </w:pPr>
      <w:r>
        <w:rPr>
          <w:rFonts w:ascii="Calibri" w:cs="Calibri" w:eastAsia="Calibri" w:hAnsi="Calibri"/>
          <w:sz w:val="22"/>
          <w:szCs w:val="22"/>
        </w:rPr>
        <w:t xml:space="preserve">C) The Creole patois used in St. Pierre's dialogue is linguistically consistent with the dialect spoken in the region where the novels are set.</w:t>
      </w:r>
    </w:p>
    <w:p>
      <w:pPr>
        <w:spacing w:after="60"/>
        <w:ind w:left="480"/>
      </w:pPr>
      <w:r>
        <w:rPr>
          <w:rFonts w:ascii="Calibri" w:cs="Calibri" w:eastAsia="Calibri" w:hAnsi="Calibri"/>
          <w:sz w:val="22"/>
          <w:szCs w:val="22"/>
        </w:rPr>
        <w:t xml:space="preserve">D) Several other Caribbean writers of the same era also incorporated Creole dialect in their novels.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Q8.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History  |  Weaken</w:t>
      </w:r>
    </w:p>
    <w:p>
      <w:pPr>
        <w:spacing w:after="120"/>
        <w:ind w:left="360"/>
      </w:pPr>
      <w:r>
        <w:rPr>
          <w:rFonts w:ascii="Calibri" w:cs="Calibri" w:eastAsia="Calibri" w:hAnsi="Calibri"/>
          <w:sz w:val="22"/>
          <w:szCs w:val="22"/>
        </w:rPr>
        <w:t xml:space="preserve">Art historian Luisa Ferreira examined a collection of ceramic vessels excavated from a burial site in the Arequipa region of Peru, dating to approximately 600 CE. Ferreira noted that several vessels bore decorative motifs—specifically, interlocking wave patterns and stylized condor imagery—that are characteristic of the Huari culture, whose political center was located over 500 kilometers to the north. Ferreira concluded that the Huari exerted direct political control over the Arequipa region by 600 CE, using these artistic motifs as evidence of imperial administration.</w:t>
      </w:r>
    </w:p>
    <w:p>
      <w:pPr>
        <w:spacing w:after="120" w:before="120"/>
      </w:pPr>
      <w:r>
        <w:rPr>
          <w:rFonts w:ascii="Calibri" w:cs="Calibri" w:eastAsia="Calibri" w:hAnsi="Calibri"/>
          <w:b/>
          <w:bCs/>
          <w:sz w:val="22"/>
          <w:szCs w:val="22"/>
        </w:rPr>
        <w:t xml:space="preserve">Which finding, if true, would most directly weaken Ferreira's conclusion?</w:t>
      </w:r>
    </w:p>
    <w:p>
      <w:pPr>
        <w:spacing w:after="60"/>
        <w:ind w:left="480"/>
      </w:pPr>
      <w:r>
        <w:rPr>
          <w:rFonts w:ascii="Calibri" w:cs="Calibri" w:eastAsia="Calibri" w:hAnsi="Calibri"/>
          <w:sz w:val="22"/>
          <w:szCs w:val="22"/>
        </w:rPr>
        <w:t xml:space="preserve">A) Archaeological evidence shows that obsidian, a commonly traded volcanic glass, was present at the burial site.</w:t>
      </w:r>
    </w:p>
    <w:p>
      <w:pPr>
        <w:spacing w:after="60"/>
        <w:ind w:left="480"/>
      </w:pPr>
      <w:r>
        <w:rPr>
          <w:rFonts w:ascii="Calibri" w:cs="Calibri" w:eastAsia="Calibri" w:hAnsi="Calibri"/>
          <w:sz w:val="22"/>
          <w:szCs w:val="22"/>
        </w:rPr>
        <w:t xml:space="preserve">B) The ceramic vessels found at the burial site were of lower quality than Huari ceramics found at the political center.</w:t>
      </w:r>
    </w:p>
    <w:p>
      <w:pPr>
        <w:spacing w:after="60"/>
        <w:ind w:left="480"/>
      </w:pPr>
      <w:r>
        <w:rPr>
          <w:rFonts w:ascii="Calibri" w:cs="Calibri" w:eastAsia="Calibri" w:hAnsi="Calibri"/>
          <w:sz w:val="22"/>
          <w:szCs w:val="22"/>
        </w:rPr>
        <w:t xml:space="preserve">C) Similar interlocking wave patterns have been found on ceramics from multiple Andean cultures that had no known political ties to the Huari.</w:t>
      </w:r>
    </w:p>
    <w:p>
      <w:pPr>
        <w:spacing w:after="60"/>
        <w:ind w:left="480"/>
      </w:pPr>
      <w:r>
        <w:rPr>
          <w:rFonts w:ascii="Calibri" w:cs="Calibri" w:eastAsia="Calibri" w:hAnsi="Calibri"/>
          <w:sz w:val="22"/>
          <w:szCs w:val="22"/>
        </w:rPr>
        <w:t xml:space="preserve">D) Written records from the Huari culture reference administrative outposts in regions south of their political center.</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Q9.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Microbiologist Fatima al-Rashid studied the gut microbiomes of two groups of laboratory mice. One group was raised in a standard laboratory environment, while the other was raised in an enriched environment with more space, novel objects, and social interaction opportunities. After twelve weeks, al-Rashid found that mice in the enriched environment had significantly greater microbial diversity in their digestive tracts. Al-Rashid proposed that the enriched environment stimulated greater exploratory behavior, leading the mice to encounter and ingest a wider variety of microorganisms from their surroundings, thereby increasing gut microbial diversity.</w:t>
      </w:r>
    </w:p>
    <w:p>
      <w:pPr>
        <w:spacing w:after="120" w:before="120"/>
      </w:pPr>
      <w:r>
        <w:rPr>
          <w:rFonts w:ascii="Calibri" w:cs="Calibri" w:eastAsia="Calibri" w:hAnsi="Calibri"/>
          <w:b/>
          <w:bCs/>
          <w:sz w:val="22"/>
          <w:szCs w:val="22"/>
        </w:rPr>
        <w:t xml:space="preserve">Which statement, if true, would most strongly support al-Rashid's proposed explanation?</w:t>
      </w:r>
    </w:p>
    <w:p>
      <w:pPr>
        <w:spacing w:after="60"/>
        <w:ind w:left="480"/>
      </w:pPr>
      <w:r>
        <w:rPr>
          <w:rFonts w:ascii="Calibri" w:cs="Calibri" w:eastAsia="Calibri" w:hAnsi="Calibri"/>
          <w:sz w:val="22"/>
          <w:szCs w:val="22"/>
        </w:rPr>
        <w:t xml:space="preserve">A) Mice in the enriched environment consumed 15% more food per day than mice in the standard environment, and both groups were fed the same diet.</w:t>
      </w:r>
    </w:p>
    <w:p>
      <w:pPr>
        <w:spacing w:after="60"/>
        <w:ind w:left="480"/>
      </w:pPr>
      <w:r>
        <w:rPr>
          <w:rFonts w:ascii="Calibri" w:cs="Calibri" w:eastAsia="Calibri" w:hAnsi="Calibri"/>
          <w:sz w:val="22"/>
          <w:szCs w:val="22"/>
        </w:rPr>
        <w:t xml:space="preserve">B) Prior research has shown that increased social interaction among mice can reduce stress hormones, which in turn may affect digestive processes.</w:t>
      </w:r>
    </w:p>
    <w:p>
      <w:pPr>
        <w:spacing w:after="60"/>
        <w:ind w:left="480"/>
      </w:pPr>
      <w:r>
        <w:rPr>
          <w:rFonts w:ascii="Calibri" w:cs="Calibri" w:eastAsia="Calibri" w:hAnsi="Calibri"/>
          <w:sz w:val="22"/>
          <w:szCs w:val="22"/>
        </w:rPr>
        <w:t xml:space="preserve">C) The standard laboratory mice showed a slight decrease in gut microbial diversity over the twelve-week period compared to their baseline measurements.</w:t>
      </w:r>
    </w:p>
    <w:p>
      <w:pPr>
        <w:spacing w:after="60"/>
        <w:ind w:left="480"/>
      </w:pPr>
      <w:r>
        <w:rPr>
          <w:rFonts w:ascii="Calibri" w:cs="Calibri" w:eastAsia="Calibri" w:hAnsi="Calibri"/>
          <w:sz w:val="22"/>
          <w:szCs w:val="22"/>
        </w:rPr>
        <w:t xml:space="preserve">D) Mice in the enriched environment spent three times as many hours exploring novel objects and different areas of their enclosures compared to mice in the standard environment, and many of the additional microbial species found in enriched-environment mice were also detected on surfaces within their enclosures.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Q10.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Sociologist Raymond Dupont surveyed residents of a mid-sized city and found that neighborhoods with more public parks had lower rates of reported loneliness among residents. Dupont concluded that access to public parks reduces loneliness by providing spaces where residents can form social connections with their neighbors.</w:t>
      </w:r>
    </w:p>
    <w:p>
      <w:pPr>
        <w:spacing w:after="120" w:before="120"/>
      </w:pPr>
      <w:r>
        <w:rPr>
          <w:rFonts w:ascii="Calibri" w:cs="Calibri" w:eastAsia="Calibri" w:hAnsi="Calibri"/>
          <w:b/>
          <w:bCs/>
          <w:sz w:val="22"/>
          <w:szCs w:val="22"/>
        </w:rPr>
        <w:t xml:space="preserve">Which finding, if true, would most directly weaken Dupont's conclusion?</w:t>
      </w:r>
    </w:p>
    <w:p>
      <w:pPr>
        <w:spacing w:after="60"/>
        <w:ind w:left="480"/>
      </w:pPr>
      <w:r>
        <w:rPr>
          <w:rFonts w:ascii="Calibri" w:cs="Calibri" w:eastAsia="Calibri" w:hAnsi="Calibri"/>
          <w:sz w:val="22"/>
          <w:szCs w:val="22"/>
        </w:rPr>
        <w:t xml:space="preserve">A) The neighborhoods with more parks were also wealthier, with higher rates of homeownership and more community organizations, compared to neighborhoods with fewer parks.</w:t>
      </w:r>
    </w:p>
    <w:p>
      <w:pPr>
        <w:spacing w:after="60"/>
        <w:ind w:left="480"/>
      </w:pPr>
      <w:r>
        <w:rPr>
          <w:rFonts w:ascii="Calibri" w:cs="Calibri" w:eastAsia="Calibri" w:hAnsi="Calibri"/>
          <w:sz w:val="22"/>
          <w:szCs w:val="22"/>
        </w:rPr>
        <w:t xml:space="preserve">B) Loneliness rates in the city overall had decreased over the past decade, regardless of neighborhood characteristics.</w:t>
      </w:r>
    </w:p>
    <w:p>
      <w:pPr>
        <w:spacing w:after="60"/>
        <w:ind w:left="480"/>
      </w:pPr>
      <w:r>
        <w:rPr>
          <w:rFonts w:ascii="Calibri" w:cs="Calibri" w:eastAsia="Calibri" w:hAnsi="Calibri"/>
          <w:sz w:val="22"/>
          <w:szCs w:val="22"/>
        </w:rPr>
        <w:t xml:space="preserve">C) Several of the parks in the study were small pocket parks with limited seating and few amenities.</w:t>
      </w:r>
    </w:p>
    <w:p>
      <w:pPr>
        <w:spacing w:after="60"/>
        <w:ind w:left="480"/>
      </w:pPr>
      <w:r>
        <w:rPr>
          <w:rFonts w:ascii="Calibri" w:cs="Calibri" w:eastAsia="Calibri" w:hAnsi="Calibri"/>
          <w:sz w:val="22"/>
          <w:szCs w:val="22"/>
        </w:rPr>
        <w:t xml:space="preserve">D) A majority of park visitors surveyed reported that they typically visited parks alone rather than with friends or family.</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Q11.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Arts  |  Support</w:t>
      </w:r>
    </w:p>
    <w:p>
      <w:pPr>
        <w:spacing w:after="120"/>
        <w:ind w:left="360"/>
      </w:pPr>
      <w:r>
        <w:rPr>
          <w:rFonts w:ascii="Calibri" w:cs="Calibri" w:eastAsia="Calibri" w:hAnsi="Calibri"/>
          <w:sz w:val="22"/>
          <w:szCs w:val="22"/>
        </w:rPr>
        <w:t xml:space="preserve">Art historian Jerome Batiste studied the later paintings of twentieth-century Trinidadian artist Marguerite Leclerc. Batiste noted that around 1965, Leclerc abruptly shifted from vibrant, multicolored canvases to a stark monochromatic palette using only shades of gray. While some critics have attributed this shift to financial constraints limiting her access to pigments, Batiste argues that the change was philosophically motivated — Leclerc's personal journals from the period reveal her growing interest in existentialist thought, and Batiste contends that the monochromatic palette was her visual expression of existentialism's emphasis on the starkness of human experience.</w:t>
      </w:r>
    </w:p>
    <w:p>
      <w:pPr>
        <w:spacing w:after="120" w:before="120"/>
      </w:pPr>
      <w:r>
        <w:rPr>
          <w:rFonts w:ascii="Calibri" w:cs="Calibri" w:eastAsia="Calibri" w:hAnsi="Calibri"/>
          <w:b/>
          <w:bCs/>
          <w:sz w:val="22"/>
          <w:szCs w:val="22"/>
        </w:rPr>
        <w:t xml:space="preserve">Which finding, if true, would most directly support Batiste's argument over the financial-constraints explanation?</w:t>
      </w:r>
    </w:p>
    <w:p>
      <w:pPr>
        <w:spacing w:after="60"/>
        <w:ind w:left="480"/>
      </w:pPr>
      <w:r>
        <w:rPr>
          <w:rFonts w:ascii="Calibri" w:cs="Calibri" w:eastAsia="Calibri" w:hAnsi="Calibri"/>
          <w:sz w:val="22"/>
          <w:szCs w:val="22"/>
        </w:rPr>
        <w:t xml:space="preserve">A) Leclerc had studied briefly in Paris in the 1950s, where she was exposed to various European art movements.</w:t>
      </w:r>
    </w:p>
    <w:p>
      <w:pPr>
        <w:spacing w:after="60"/>
        <w:ind w:left="480"/>
      </w:pPr>
      <w:r>
        <w:rPr>
          <w:rFonts w:ascii="Calibri" w:cs="Calibri" w:eastAsia="Calibri" w:hAnsi="Calibri"/>
          <w:sz w:val="22"/>
          <w:szCs w:val="22"/>
        </w:rPr>
        <w:t xml:space="preserve">B) Financial records from Leclerc's gallery show that her paintings sold at higher prices after the shift to monochrome than before, and she continued to purchase full-spectrum pigments throughout the 1960s and 1970s.</w:t>
      </w:r>
    </w:p>
    <w:p>
      <w:pPr>
        <w:spacing w:after="60"/>
        <w:ind w:left="480"/>
      </w:pPr>
      <w:r>
        <w:rPr>
          <w:rFonts w:ascii="Calibri" w:cs="Calibri" w:eastAsia="Calibri" w:hAnsi="Calibri"/>
          <w:sz w:val="22"/>
          <w:szCs w:val="22"/>
        </w:rPr>
        <w:t xml:space="preserve">C) Several of Leclerc's contemporaries in Trinidad also shifted to darker palettes during the 1960s.</w:t>
      </w:r>
    </w:p>
    <w:p>
      <w:pPr>
        <w:spacing w:after="60"/>
        <w:ind w:left="480"/>
      </w:pPr>
      <w:r>
        <w:rPr>
          <w:rFonts w:ascii="Calibri" w:cs="Calibri" w:eastAsia="Calibri" w:hAnsi="Calibri"/>
          <w:sz w:val="22"/>
          <w:szCs w:val="22"/>
        </w:rPr>
        <w:t xml:space="preserve">D) Art critics at the time generally praised Leclerc's monochromatic works as among her strongest compositions.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Q12.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Education researcher Tomoko Ishikawa analyzed standardized test scores from 200 schools across a large school district over a five-year period. Ishikawa found that schools which had adopted a "flipped classroom" model—in which students watch recorded lectures at home and complete practice exercises during class time—showed an average improvement of 8 percentile points on standardized assessments compared to schools that maintained traditional instruction. Ishikawa concluded that the flipped classroom model is more effective than traditional instruction at improving student academic performance.</w:t>
      </w:r>
    </w:p>
    <w:p>
      <w:pPr>
        <w:spacing w:after="120" w:before="120"/>
      </w:pPr>
      <w:r>
        <w:rPr>
          <w:rFonts w:ascii="Calibri" w:cs="Calibri" w:eastAsia="Calibri" w:hAnsi="Calibri"/>
          <w:b/>
          <w:bCs/>
          <w:sz w:val="22"/>
          <w:szCs w:val="22"/>
        </w:rPr>
        <w:t xml:space="preserve">Which finding, if true, would most directly weaken Ishikawa's conclusion?</w:t>
      </w:r>
    </w:p>
    <w:p>
      <w:pPr>
        <w:spacing w:after="60"/>
        <w:ind w:left="480"/>
      </w:pPr>
      <w:r>
        <w:rPr>
          <w:rFonts w:ascii="Calibri" w:cs="Calibri" w:eastAsia="Calibri" w:hAnsi="Calibri"/>
          <w:sz w:val="22"/>
          <w:szCs w:val="22"/>
        </w:rPr>
        <w:t xml:space="preserve">A) Teachers at schools using the flipped classroom model reported spending more time preparing lessons than teachers at traditional-instruction schools.</w:t>
      </w:r>
    </w:p>
    <w:p>
      <w:pPr>
        <w:spacing w:after="60"/>
        <w:ind w:left="480"/>
      </w:pPr>
      <w:r>
        <w:rPr>
          <w:rFonts w:ascii="Calibri" w:cs="Calibri" w:eastAsia="Calibri" w:hAnsi="Calibri"/>
          <w:sz w:val="22"/>
          <w:szCs w:val="22"/>
        </w:rPr>
        <w:t xml:space="preserve">B) The flipped classroom model was first developed in the early 2000s and has since been adopted by school districts in numerous countries.</w:t>
      </w:r>
    </w:p>
    <w:p>
      <w:pPr>
        <w:spacing w:after="60"/>
        <w:ind w:left="480"/>
      </w:pPr>
      <w:r>
        <w:rPr>
          <w:rFonts w:ascii="Calibri" w:cs="Calibri" w:eastAsia="Calibri" w:hAnsi="Calibri"/>
          <w:sz w:val="22"/>
          <w:szCs w:val="22"/>
        </w:rPr>
        <w:t xml:space="preserve">C) Schools that adopted the flipped classroom model had, on average, per-student technology budgets that were 40% higher than those of schools that maintained traditional instruction, and the additional funding was also used to hire supplementary tutoring staff.</w:t>
      </w:r>
    </w:p>
    <w:p>
      <w:pPr>
        <w:spacing w:after="60"/>
        <w:ind w:left="480"/>
      </w:pPr>
      <w:r>
        <w:rPr>
          <w:rFonts w:ascii="Calibri" w:cs="Calibri" w:eastAsia="Calibri" w:hAnsi="Calibri"/>
          <w:sz w:val="22"/>
          <w:szCs w:val="22"/>
        </w:rPr>
        <w:t xml:space="preserve">D) Students at schools using the flipped classroom model showed improvement on standardized assessments in both mathematics and reading.</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Q13.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History  |  Weaken</w:t>
      </w:r>
    </w:p>
    <w:p>
      <w:pPr>
        <w:spacing w:after="120"/>
        <w:ind w:left="360"/>
      </w:pPr>
      <w:r>
        <w:rPr>
          <w:rFonts w:ascii="Calibri" w:cs="Calibri" w:eastAsia="Calibri" w:hAnsi="Calibri"/>
          <w:sz w:val="22"/>
          <w:szCs w:val="22"/>
        </w:rPr>
        <w:t xml:space="preserve">Archaeologist Samuel Okafor discovered a series of iron tools at a dig site in the Nigerian savanna, dated to approximately 900 BCE. Okafor noted that the tools' composition and forging techniques closely resembled those used by ironworkers in the Nile Valley around the same period. Okafor concluded that ironworking knowledge was transmitted from the Nile Valley to West Africa through direct contact between the two regions.</w:t>
      </w:r>
    </w:p>
    <w:p>
      <w:pPr>
        <w:spacing w:after="120" w:before="120"/>
      </w:pPr>
      <w:r>
        <w:rPr>
          <w:rFonts w:ascii="Calibri" w:cs="Calibri" w:eastAsia="Calibri" w:hAnsi="Calibri"/>
          <w:b/>
          <w:bCs/>
          <w:sz w:val="22"/>
          <w:szCs w:val="22"/>
        </w:rPr>
        <w:t xml:space="preserve">Which finding, if true, would most directly weaken the conclusion presented in the text?</w:t>
      </w:r>
    </w:p>
    <w:p>
      <w:pPr>
        <w:spacing w:after="60"/>
        <w:ind w:left="480"/>
      </w:pPr>
      <w:r>
        <w:rPr>
          <w:rFonts w:ascii="Calibri" w:cs="Calibri" w:eastAsia="Calibri" w:hAnsi="Calibri"/>
          <w:sz w:val="22"/>
          <w:szCs w:val="22"/>
        </w:rPr>
        <w:t xml:space="preserve">A) The Nile Valley ironworking tradition continued to develop in sophistication after 900 BCE.</w:t>
      </w:r>
    </w:p>
    <w:p>
      <w:pPr>
        <w:spacing w:after="60"/>
        <w:ind w:left="480"/>
      </w:pPr>
      <w:r>
        <w:rPr>
          <w:rFonts w:ascii="Calibri" w:cs="Calibri" w:eastAsia="Calibri" w:hAnsi="Calibri"/>
          <w:sz w:val="22"/>
          <w:szCs w:val="22"/>
        </w:rPr>
        <w:t xml:space="preserve">B) Okafor's dig site also contained copper artifacts that predated the iron tools by several centuries.</w:t>
      </w:r>
    </w:p>
    <w:p>
      <w:pPr>
        <w:spacing w:after="60"/>
        <w:ind w:left="480"/>
      </w:pPr>
      <w:r>
        <w:rPr>
          <w:rFonts w:ascii="Calibri" w:cs="Calibri" w:eastAsia="Calibri" w:hAnsi="Calibri"/>
          <w:sz w:val="22"/>
          <w:szCs w:val="22"/>
        </w:rPr>
        <w:t xml:space="preserve">C) Iron ore deposits were abundant in both the Nigerian savanna and the Nile Valley during this period.</w:t>
      </w:r>
    </w:p>
    <w:p>
      <w:pPr>
        <w:spacing w:after="60"/>
        <w:ind w:left="480"/>
      </w:pPr>
      <w:r>
        <w:rPr>
          <w:rFonts w:ascii="Calibri" w:cs="Calibri" w:eastAsia="Calibri" w:hAnsi="Calibri"/>
          <w:sz w:val="22"/>
          <w:szCs w:val="22"/>
        </w:rPr>
        <w:t xml:space="preserve">D) Analysis of iron tools from several intermediate regions between the Nile Valley and the Nigerian savanna showed no evidence of similar forging techniques during the same period.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Q14.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Ecologist Javier Morales studied the nesting behaviors of a species of tropical bird in a Costa Rican rainforest. Morales observed that these birds consistently built their nests near colonies of aggressive stinging ants. While other researchers had proposed that this nesting pattern was coincidental due to shared habitat preferences, Morales argued that the birds intentionally select nest sites near ant colonies because the ants deter predatory snakes that would otherwise consume the birds' eggs.</w:t>
      </w:r>
    </w:p>
    <w:p>
      <w:pPr>
        <w:spacing w:after="120" w:before="120"/>
      </w:pPr>
      <w:r>
        <w:rPr>
          <w:rFonts w:ascii="Calibri" w:cs="Calibri" w:eastAsia="Calibri" w:hAnsi="Calibri"/>
          <w:b/>
          <w:bCs/>
          <w:sz w:val="22"/>
          <w:szCs w:val="22"/>
        </w:rPr>
        <w:t xml:space="preserve">Which finding from the field study, if true, would most directly support Morales's argument over the alternative explanation?</w:t>
      </w:r>
    </w:p>
    <w:p>
      <w:pPr>
        <w:spacing w:after="60"/>
        <w:ind w:left="480"/>
      </w:pPr>
      <w:r>
        <w:rPr>
          <w:rFonts w:ascii="Calibri" w:cs="Calibri" w:eastAsia="Calibri" w:hAnsi="Calibri"/>
          <w:sz w:val="22"/>
          <w:szCs w:val="22"/>
        </w:rPr>
        <w:t xml:space="preserve">A) In experimental trials where ant colonies near bird nests were removed, snake predation on eggs increased by 70% compared to control nests where ant colonies remained intact.</w:t>
      </w:r>
    </w:p>
    <w:p>
      <w:pPr>
        <w:spacing w:after="60"/>
        <w:ind w:left="480"/>
      </w:pPr>
      <w:r>
        <w:rPr>
          <w:rFonts w:ascii="Calibri" w:cs="Calibri" w:eastAsia="Calibri" w:hAnsi="Calibri"/>
          <w:sz w:val="22"/>
          <w:szCs w:val="22"/>
        </w:rPr>
        <w:t xml:space="preserve">B) Predatory snakes were found throughout the rainforest at roughly equal densities, regardless of the presence of ant colonies.</w:t>
      </w:r>
    </w:p>
    <w:p>
      <w:pPr>
        <w:spacing w:after="60"/>
        <w:ind w:left="480"/>
      </w:pPr>
      <w:r>
        <w:rPr>
          <w:rFonts w:ascii="Calibri" w:cs="Calibri" w:eastAsia="Calibri" w:hAnsi="Calibri"/>
          <w:sz w:val="22"/>
          <w:szCs w:val="22"/>
        </w:rPr>
        <w:t xml:space="preserve">C) The species of stinging ant most commonly found near the birds' nests is one of the most abundant ant species in the Costa Rican rainforest.</w:t>
      </w:r>
    </w:p>
    <w:p>
      <w:pPr>
        <w:spacing w:after="60"/>
        <w:ind w:left="480"/>
      </w:pPr>
      <w:r>
        <w:rPr>
          <w:rFonts w:ascii="Calibri" w:cs="Calibri" w:eastAsia="Calibri" w:hAnsi="Calibri"/>
          <w:sz w:val="22"/>
          <w:szCs w:val="22"/>
        </w:rPr>
        <w:t xml:space="preserve">D) The tropical birds in the study were observed feeding on insects other than the ants near their nests.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Q15.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Psychologist Lena Bergström conducted a longitudinal study tracking 500 children from ages 3 to 18. Bergström found that children who participated in structured music lessons before age 7 scored, on average, 15% higher on measures of executive function at age 18 compared to children who did not receive music training. Bergström concluded that early music training enhances the development of executive function skills, which include planning, working memory, and cognitive flexibility.</w:t>
      </w:r>
    </w:p>
    <w:p>
      <w:pPr>
        <w:spacing w:after="120" w:before="120"/>
      </w:pPr>
      <w:r>
        <w:rPr>
          <w:rFonts w:ascii="Calibri" w:cs="Calibri" w:eastAsia="Calibri" w:hAnsi="Calibri"/>
          <w:b/>
          <w:bCs/>
          <w:sz w:val="22"/>
          <w:szCs w:val="22"/>
        </w:rPr>
        <w:t xml:space="preserve">Which statement, if true, would most directly weaken Bergström's conclusion?</w:t>
      </w:r>
    </w:p>
    <w:p>
      <w:pPr>
        <w:spacing w:after="60"/>
        <w:ind w:left="480"/>
      </w:pPr>
      <w:r>
        <w:rPr>
          <w:rFonts w:ascii="Calibri" w:cs="Calibri" w:eastAsia="Calibri" w:hAnsi="Calibri"/>
          <w:sz w:val="22"/>
          <w:szCs w:val="22"/>
        </w:rPr>
        <w:t xml:space="preserve">A) Among children who began music lessons before age 7, those who continued lessons through age 18 scored higher on executive function measures than those who discontinued lessons before age 12.</w:t>
      </w:r>
    </w:p>
    <w:p>
      <w:pPr>
        <w:spacing w:after="60"/>
        <w:ind w:left="480"/>
      </w:pPr>
      <w:r>
        <w:rPr>
          <w:rFonts w:ascii="Calibri" w:cs="Calibri" w:eastAsia="Calibri" w:hAnsi="Calibri"/>
          <w:sz w:val="22"/>
          <w:szCs w:val="22"/>
        </w:rPr>
        <w:t xml:space="preserve">B) Children whose parents enrolled them in music lessons before age 7 had parents who, on average, also engaged in significantly more cognitively stimulating activities at home—such as reading, puzzles, and educational games—than the parents of children without music training.</w:t>
      </w:r>
    </w:p>
    <w:p>
      <w:pPr>
        <w:spacing w:after="60"/>
        <w:ind w:left="480"/>
      </w:pPr>
      <w:r>
        <w:rPr>
          <w:rFonts w:ascii="Calibri" w:cs="Calibri" w:eastAsia="Calibri" w:hAnsi="Calibri"/>
          <w:sz w:val="22"/>
          <w:szCs w:val="22"/>
        </w:rPr>
        <w:t xml:space="preserve">C) Executive function skills have been shown to be moderately heritable, with genetic factors accounting for approximately 40% of variation among individuals.</w:t>
      </w:r>
    </w:p>
    <w:p>
      <w:pPr>
        <w:spacing w:after="60"/>
        <w:ind w:left="480"/>
      </w:pPr>
      <w:r>
        <w:rPr>
          <w:rFonts w:ascii="Calibri" w:cs="Calibri" w:eastAsia="Calibri" w:hAnsi="Calibri"/>
          <w:sz w:val="22"/>
          <w:szCs w:val="22"/>
        </w:rPr>
        <w:t xml:space="preserve">D) Children who participated in structured sports training before age 7 did not show the same improvement in executive function scores at age 18.</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Q16.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Literature  |  Support</w:t>
      </w:r>
    </w:p>
    <w:p>
      <w:pPr>
        <w:spacing w:after="120"/>
        <w:ind w:left="360"/>
      </w:pPr>
      <w:r>
        <w:rPr>
          <w:rFonts w:ascii="Calibri" w:cs="Calibri" w:eastAsia="Calibri" w:hAnsi="Calibri"/>
          <w:sz w:val="22"/>
          <w:szCs w:val="22"/>
        </w:rPr>
        <w:t xml:space="preserve">Literary critic Adama Diallo studied the poetry of mid-twentieth-century Senegalese writer Ousmane Sow. Diallo noted that Sow's poems frequently employ images of baobab trees, seasonal rivers, and harmattan winds — natural elements specific to the West African Sahel. Diallo argues that Sow used these landscape elements not merely as decoration but as central metaphors for resilience, impermanence, and endurance in postcolonial African life.</w:t>
      </w:r>
    </w:p>
    <w:p>
      <w:pPr>
        <w:spacing w:after="120" w:before="120"/>
      </w:pPr>
      <w:r>
        <w:rPr>
          <w:rFonts w:ascii="Calibri" w:cs="Calibri" w:eastAsia="Calibri" w:hAnsi="Calibri"/>
          <w:b/>
          <w:bCs/>
          <w:sz w:val="22"/>
          <w:szCs w:val="22"/>
        </w:rPr>
        <w:t xml:space="preserve">Which finding, if true, would most directly support Diallo's argument?</w:t>
      </w:r>
    </w:p>
    <w:p>
      <w:pPr>
        <w:spacing w:after="60"/>
        <w:ind w:left="480"/>
      </w:pPr>
      <w:r>
        <w:rPr>
          <w:rFonts w:ascii="Calibri" w:cs="Calibri" w:eastAsia="Calibri" w:hAnsi="Calibri"/>
          <w:sz w:val="22"/>
          <w:szCs w:val="22"/>
        </w:rPr>
        <w:t xml:space="preserve">A) Sow's poetry was more widely studied in African universities than in European ones during his lifetime.</w:t>
      </w:r>
    </w:p>
    <w:p>
      <w:pPr>
        <w:spacing w:after="60"/>
        <w:ind w:left="480"/>
      </w:pPr>
      <w:r>
        <w:rPr>
          <w:rFonts w:ascii="Calibri" w:cs="Calibri" w:eastAsia="Calibri" w:hAnsi="Calibri"/>
          <w:sz w:val="22"/>
          <w:szCs w:val="22"/>
        </w:rPr>
        <w:t xml:space="preserve">B) The Sahel region experienced significant environmental changes during the mid-twentieth century, including prolonged droughts.</w:t>
      </w:r>
    </w:p>
    <w:p>
      <w:pPr>
        <w:spacing w:after="60"/>
        <w:ind w:left="480"/>
      </w:pPr>
      <w:r>
        <w:rPr>
          <w:rFonts w:ascii="Calibri" w:cs="Calibri" w:eastAsia="Calibri" w:hAnsi="Calibri"/>
          <w:sz w:val="22"/>
          <w:szCs w:val="22"/>
        </w:rPr>
        <w:t xml:space="preserve">C) In a published interview, Sow stated that each natural image in his poetry was carefully chosen to represent a specific aspect of the human condition under colonialism and its aftermath, and he described the baobab as his symbol for cultural survival.</w:t>
      </w:r>
    </w:p>
    <w:p>
      <w:pPr>
        <w:spacing w:after="60"/>
        <w:ind w:left="480"/>
      </w:pPr>
      <w:r>
        <w:rPr>
          <w:rFonts w:ascii="Calibri" w:cs="Calibri" w:eastAsia="Calibri" w:hAnsi="Calibri"/>
          <w:sz w:val="22"/>
          <w:szCs w:val="22"/>
        </w:rPr>
        <w:t xml:space="preserve">D) Several other Senegalese poets of the same era also used images of West African landscapes in their work.</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Q17.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Social Science  |  Support</w:t>
      </w:r>
    </w:p>
    <w:p>
      <w:pPr>
        <w:spacing w:after="120"/>
        <w:ind w:left="360"/>
      </w:pPr>
      <w:r>
        <w:rPr>
          <w:rFonts w:ascii="Calibri" w:cs="Calibri" w:eastAsia="Calibri" w:hAnsi="Calibri"/>
          <w:sz w:val="22"/>
          <w:szCs w:val="22"/>
        </w:rPr>
        <w:t xml:space="preserve">Linguist Daniela Costa studied the adoption of loanwords in a rural community in the Brazilian interior. Costa found that younger speakers (ages 15–25) used English-derived loanwords at three times the rate of older speakers (ages 55–65) in informal conversation. Costa proposed that increased access to social media platforms, which are predominantly English-language in their interface and trending content, has driven the higher rate of English loanword adoption among younger speakers.</w:t>
      </w:r>
    </w:p>
    <w:p>
      <w:pPr>
        <w:spacing w:after="120" w:before="120"/>
      </w:pPr>
      <w:r>
        <w:rPr>
          <w:rFonts w:ascii="Calibri" w:cs="Calibri" w:eastAsia="Calibri" w:hAnsi="Calibri"/>
          <w:b/>
          <w:bCs/>
          <w:sz w:val="22"/>
          <w:szCs w:val="22"/>
        </w:rPr>
        <w:t xml:space="preserve">Which finding, if true, would most directly support Costa's proposed explanation?</w:t>
      </w:r>
    </w:p>
    <w:p>
      <w:pPr>
        <w:spacing w:after="60"/>
        <w:ind w:left="480"/>
      </w:pPr>
      <w:r>
        <w:rPr>
          <w:rFonts w:ascii="Calibri" w:cs="Calibri" w:eastAsia="Calibri" w:hAnsi="Calibri"/>
          <w:sz w:val="22"/>
          <w:szCs w:val="22"/>
        </w:rPr>
        <w:t xml:space="preserve">A) Older speakers in the community had lower overall rates of internet access compared to younger speakers.</w:t>
      </w:r>
    </w:p>
    <w:p>
      <w:pPr>
        <w:spacing w:after="60"/>
        <w:ind w:left="480"/>
      </w:pPr>
      <w:r>
        <w:rPr>
          <w:rFonts w:ascii="Calibri" w:cs="Calibri" w:eastAsia="Calibri" w:hAnsi="Calibri"/>
          <w:sz w:val="22"/>
          <w:szCs w:val="22"/>
        </w:rPr>
        <w:t xml:space="preserve">B) Younger speakers in urban areas of Brazil used English loanwords at even higher rates than younger speakers in the rural community Costa studied.</w:t>
      </w:r>
    </w:p>
    <w:p>
      <w:pPr>
        <w:spacing w:after="60"/>
        <w:ind w:left="480"/>
      </w:pPr>
      <w:r>
        <w:rPr>
          <w:rFonts w:ascii="Calibri" w:cs="Calibri" w:eastAsia="Calibri" w:hAnsi="Calibri"/>
          <w:sz w:val="22"/>
          <w:szCs w:val="22"/>
        </w:rPr>
        <w:t xml:space="preserve">C) The English loanwords most frequently used by younger speakers were related to technology, food, and entertainment.</w:t>
      </w:r>
    </w:p>
    <w:p>
      <w:pPr>
        <w:spacing w:after="60"/>
        <w:ind w:left="480"/>
      </w:pPr>
      <w:r>
        <w:rPr>
          <w:rFonts w:ascii="Calibri" w:cs="Calibri" w:eastAsia="Calibri" w:hAnsi="Calibri"/>
          <w:sz w:val="22"/>
          <w:szCs w:val="22"/>
        </w:rPr>
        <w:t xml:space="preserve">D) Among speakers ages 15–25, those who reported using social media for more than three hours daily used English loanwords at significantly higher rates than those who reported using social media for less than one hour daily.</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Q18.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Astrophysicist Chen Wei analyzed spectroscopic data from a distant star system designated KR-7741. Chen observed periodic dimming events in the star's light output that occurred at regular 14-day intervals. Chen proposed that these dimming events are caused by a large, rocky exoplanet orbiting the star with a 14-day orbital period, passing between the star and Earth's line of sight during each orbit. Chen further argued that the depth and duration of the dimming events indicate the planet is approximately 1.5 times the diameter of Earth.</w:t>
      </w:r>
    </w:p>
    <w:p>
      <w:pPr>
        <w:spacing w:after="120" w:before="120"/>
      </w:pPr>
      <w:r>
        <w:rPr>
          <w:rFonts w:ascii="Calibri" w:cs="Calibri" w:eastAsia="Calibri" w:hAnsi="Calibri"/>
          <w:b/>
          <w:bCs/>
          <w:sz w:val="22"/>
          <w:szCs w:val="22"/>
        </w:rPr>
        <w:t xml:space="preserve">Which finding, if true, would most directly weaken Chen's proposal?</w:t>
      </w:r>
    </w:p>
    <w:p>
      <w:pPr>
        <w:spacing w:after="60"/>
        <w:ind w:left="480"/>
      </w:pPr>
      <w:r>
        <w:rPr>
          <w:rFonts w:ascii="Calibri" w:cs="Calibri" w:eastAsia="Calibri" w:hAnsi="Calibri"/>
          <w:sz w:val="22"/>
          <w:szCs w:val="22"/>
        </w:rPr>
        <w:t xml:space="preserve">A) Follow-up spectroscopic analysis revealed that the dimming events are accompanied by slight shifts in the star's spectral emission lines, suggesting that the star itself undergoes periodic pulsations.</w:t>
      </w:r>
    </w:p>
    <w:p>
      <w:pPr>
        <w:spacing w:after="60"/>
        <w:ind w:left="480"/>
      </w:pPr>
      <w:r>
        <w:rPr>
          <w:rFonts w:ascii="Calibri" w:cs="Calibri" w:eastAsia="Calibri" w:hAnsi="Calibri"/>
          <w:sz w:val="22"/>
          <w:szCs w:val="22"/>
        </w:rPr>
        <w:t xml:space="preserve">B) Other stars of similar size and temperature to KR-7741 have been found to host rocky exoplanets with orbital periods ranging from 10 to 20 days.</w:t>
      </w:r>
    </w:p>
    <w:p>
      <w:pPr>
        <w:spacing w:after="60"/>
        <w:ind w:left="480"/>
      </w:pPr>
      <w:r>
        <w:rPr>
          <w:rFonts w:ascii="Calibri" w:cs="Calibri" w:eastAsia="Calibri" w:hAnsi="Calibri"/>
          <w:sz w:val="22"/>
          <w:szCs w:val="22"/>
        </w:rPr>
        <w:t xml:space="preserve">C) The dimming events observed in KR-7741 are slightly asymmetric, with the dimming occurring more gradually at the beginning than at the end.</w:t>
      </w:r>
    </w:p>
    <w:p>
      <w:pPr>
        <w:spacing w:after="60"/>
        <w:ind w:left="480"/>
      </w:pPr>
      <w:r>
        <w:rPr>
          <w:rFonts w:ascii="Calibri" w:cs="Calibri" w:eastAsia="Calibri" w:hAnsi="Calibri"/>
          <w:sz w:val="22"/>
          <w:szCs w:val="22"/>
        </w:rPr>
        <w:t xml:space="preserve">D) Radial velocity measurements of the star show a gravitational wobble consistent with the presence of a planetary companion.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Q19.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Social Science  |  Support</w:t>
      </w:r>
    </w:p>
    <w:p>
      <w:pPr>
        <w:spacing w:after="120"/>
        <w:ind w:left="360"/>
      </w:pPr>
      <w:r>
        <w:rPr>
          <w:rFonts w:ascii="Calibri" w:cs="Calibri" w:eastAsia="Calibri" w:hAnsi="Calibri"/>
          <w:sz w:val="22"/>
          <w:szCs w:val="22"/>
        </w:rPr>
        <w:t xml:space="preserve">Nutritionist Aisha Obi conducted a study examining breakfast habits and academic performance among university students. Obi found that students who reported eating breakfast daily had grade point averages (GPAs) that were 0.3 points higher, on average, than students who reported skipping breakfast. Obi concluded that eating breakfast improves cognitive function and thereby enhances academic performance.</w:t>
      </w:r>
    </w:p>
    <w:p>
      <w:pPr>
        <w:spacing w:after="120" w:before="120"/>
      </w:pPr>
      <w:r>
        <w:rPr>
          <w:rFonts w:ascii="Calibri" w:cs="Calibri" w:eastAsia="Calibri" w:hAnsi="Calibri"/>
          <w:b/>
          <w:bCs/>
          <w:sz w:val="22"/>
          <w:szCs w:val="22"/>
        </w:rPr>
        <w:t xml:space="preserve">Which finding, if true, would most directly support Obi's conclusion?</w:t>
      </w:r>
    </w:p>
    <w:p>
      <w:pPr>
        <w:spacing w:after="60"/>
        <w:ind w:left="480"/>
      </w:pPr>
      <w:r>
        <w:rPr>
          <w:rFonts w:ascii="Calibri" w:cs="Calibri" w:eastAsia="Calibri" w:hAnsi="Calibri"/>
          <w:sz w:val="22"/>
          <w:szCs w:val="22"/>
        </w:rPr>
        <w:t xml:space="preserve">A) The students who reported eating breakfast came from a variety of academic disciplines and year levels.</w:t>
      </w:r>
    </w:p>
    <w:p>
      <w:pPr>
        <w:spacing w:after="60"/>
        <w:ind w:left="480"/>
      </w:pPr>
      <w:r>
        <w:rPr>
          <w:rFonts w:ascii="Calibri" w:cs="Calibri" w:eastAsia="Calibri" w:hAnsi="Calibri"/>
          <w:sz w:val="22"/>
          <w:szCs w:val="22"/>
        </w:rPr>
        <w:t xml:space="preserve">B) In a controlled experiment, students who were provided breakfast before a standardized cognitive test scored significantly higher on measures of attention and memory than students who were given no breakfast.</w:t>
      </w:r>
    </w:p>
    <w:p>
      <w:pPr>
        <w:spacing w:after="60"/>
        <w:ind w:left="480"/>
      </w:pPr>
      <w:r>
        <w:rPr>
          <w:rFonts w:ascii="Calibri" w:cs="Calibri" w:eastAsia="Calibri" w:hAnsi="Calibri"/>
          <w:sz w:val="22"/>
          <w:szCs w:val="22"/>
        </w:rPr>
        <w:t xml:space="preserve">C) Students who ate breakfast daily also reported exercising more frequently than students who skipped breakfast.</w:t>
      </w:r>
    </w:p>
    <w:p>
      <w:pPr>
        <w:spacing w:after="60"/>
        <w:ind w:left="480"/>
      </w:pPr>
      <w:r>
        <w:rPr>
          <w:rFonts w:ascii="Calibri" w:cs="Calibri" w:eastAsia="Calibri" w:hAnsi="Calibri"/>
          <w:sz w:val="22"/>
          <w:szCs w:val="22"/>
        </w:rPr>
        <w:t xml:space="preserve">D) Students who reported eating breakfast daily also reported getting more hours of sleep per night than students who skipped breakfast.</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Q20.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Volcanologist Sandra Mbeki analyzed gas emissions from a chain of dormant volcanoes in eastern Tanzania. Mbeki noted that sulfur dioxide (SO2) emissions from one volcano, designated Mount Kigongo, had increased threefold over the past decade. Mbeki concluded that magma is actively rising beneath Mount Kigongo and that the volcano may be transitioning from dormancy to an active phase, potentially leading to an eruption within the next century.</w:t>
      </w:r>
    </w:p>
    <w:p>
      <w:pPr>
        <w:spacing w:after="120" w:before="120"/>
      </w:pPr>
      <w:r>
        <w:rPr>
          <w:rFonts w:ascii="Calibri" w:cs="Calibri" w:eastAsia="Calibri" w:hAnsi="Calibri"/>
          <w:b/>
          <w:bCs/>
          <w:sz w:val="22"/>
          <w:szCs w:val="22"/>
        </w:rPr>
        <w:t xml:space="preserve">Which finding, if true, would most directly weaken Mbeki's conclusion?</w:t>
      </w:r>
    </w:p>
    <w:p>
      <w:pPr>
        <w:spacing w:after="60"/>
        <w:ind w:left="480"/>
      </w:pPr>
      <w:r>
        <w:rPr>
          <w:rFonts w:ascii="Calibri" w:cs="Calibri" w:eastAsia="Calibri" w:hAnsi="Calibri"/>
          <w:sz w:val="22"/>
          <w:szCs w:val="22"/>
        </w:rPr>
        <w:t xml:space="preserve">A) SO2 emissions from an active volcano in a different region of Tanzania have been decreasing over the past decade.</w:t>
      </w:r>
    </w:p>
    <w:p>
      <w:pPr>
        <w:spacing w:after="60"/>
        <w:ind w:left="480"/>
      </w:pPr>
      <w:r>
        <w:rPr>
          <w:rFonts w:ascii="Calibri" w:cs="Calibri" w:eastAsia="Calibri" w:hAnsi="Calibri"/>
          <w:sz w:val="22"/>
          <w:szCs w:val="22"/>
        </w:rPr>
        <w:t xml:space="preserve">B) Geological surveys have determined that Mount Kigongo last erupted approximately 40,000 years ago.</w:t>
      </w:r>
    </w:p>
    <w:p>
      <w:pPr>
        <w:spacing w:after="60"/>
        <w:ind w:left="480"/>
      </w:pPr>
      <w:r>
        <w:rPr>
          <w:rFonts w:ascii="Calibri" w:cs="Calibri" w:eastAsia="Calibri" w:hAnsi="Calibri"/>
          <w:sz w:val="22"/>
          <w:szCs w:val="22"/>
        </w:rPr>
        <w:t xml:space="preserve">C) Seismic monitoring stations near Mount Kigongo have detected no increase in earthquake frequency or intensity over the past decade, and ground deformation measurements show no uplift consistent with rising magma.</w:t>
      </w:r>
    </w:p>
    <w:p>
      <w:pPr>
        <w:spacing w:after="60"/>
        <w:ind w:left="480"/>
      </w:pPr>
      <w:r>
        <w:rPr>
          <w:rFonts w:ascii="Calibri" w:cs="Calibri" w:eastAsia="Calibri" w:hAnsi="Calibri"/>
          <w:sz w:val="22"/>
          <w:szCs w:val="22"/>
        </w:rPr>
        <w:t xml:space="preserve">D) Two other dormant volcanoes in the same chain have also shown slight increases in SO2 emissions over the same period.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Q21.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History  |  Support</w:t>
      </w:r>
    </w:p>
    <w:p>
      <w:pPr>
        <w:spacing w:after="120"/>
        <w:ind w:left="360"/>
      </w:pPr>
      <w:r>
        <w:rPr>
          <w:rFonts w:ascii="Calibri" w:cs="Calibri" w:eastAsia="Calibri" w:hAnsi="Calibri"/>
          <w:sz w:val="22"/>
          <w:szCs w:val="22"/>
        </w:rPr>
        <w:t xml:space="preserve">Literary historian Marguerite Pellerin examined correspondence between French salon hostesses in the 1770s and 1780s. Pellerin found that several hostesses exchanged letters discussing the philosophical writings of male contemporaries, often critiquing arguments and proposing counterarguments of considerable sophistication. Pellerin argues that these salonnières were not merely passive facilitators of intellectual exchange, as traditional scholarship has suggested, but were active contributors to Enlightenment philosophical discourse whose ideas influenced the male philosophers who attended their salons.</w:t>
      </w:r>
    </w:p>
    <w:p>
      <w:pPr>
        <w:spacing w:after="120" w:before="120"/>
      </w:pPr>
      <w:r>
        <w:rPr>
          <w:rFonts w:ascii="Calibri" w:cs="Calibri" w:eastAsia="Calibri" w:hAnsi="Calibri"/>
          <w:b/>
          <w:bCs/>
          <w:sz w:val="22"/>
          <w:szCs w:val="22"/>
        </w:rPr>
        <w:t xml:space="preserve">Which finding, if true, would most directly support Pellerin's argument?</w:t>
      </w:r>
    </w:p>
    <w:p>
      <w:pPr>
        <w:spacing w:after="60"/>
        <w:ind w:left="480"/>
      </w:pPr>
      <w:r>
        <w:rPr>
          <w:rFonts w:ascii="Calibri" w:cs="Calibri" w:eastAsia="Calibri" w:hAnsi="Calibri"/>
          <w:sz w:val="22"/>
          <w:szCs w:val="22"/>
        </w:rPr>
        <w:t xml:space="preserve">A) Several philosophical treatises published by male attendees of the salons contain arguments and phrasings that closely echo ideas first articulated in the salonnières' private correspondence, and the correspondence predates the treatises by months or years.</w:t>
      </w:r>
    </w:p>
    <w:p>
      <w:pPr>
        <w:spacing w:after="60"/>
        <w:ind w:left="480"/>
      </w:pPr>
      <w:r>
        <w:rPr>
          <w:rFonts w:ascii="Calibri" w:cs="Calibri" w:eastAsia="Calibri" w:hAnsi="Calibri"/>
          <w:sz w:val="22"/>
          <w:szCs w:val="22"/>
        </w:rPr>
        <w:t xml:space="preserve">B) The salonnières' correspondence demonstrates familiarity with classical Greek and Latin philosophical texts, indicating that these women were well-educated.</w:t>
      </w:r>
    </w:p>
    <w:p>
      <w:pPr>
        <w:spacing w:after="60"/>
        <w:ind w:left="480"/>
      </w:pPr>
      <w:r>
        <w:rPr>
          <w:rFonts w:ascii="Calibri" w:cs="Calibri" w:eastAsia="Calibri" w:hAnsi="Calibri"/>
          <w:sz w:val="22"/>
          <w:szCs w:val="22"/>
        </w:rPr>
        <w:t xml:space="preserve">C) Male philosophers who attended the salons acknowledged in their published works that the salon environment was conducive to productive debate.</w:t>
      </w:r>
    </w:p>
    <w:p>
      <w:pPr>
        <w:spacing w:after="60"/>
        <w:ind w:left="480"/>
      </w:pPr>
      <w:r>
        <w:rPr>
          <w:rFonts w:ascii="Calibri" w:cs="Calibri" w:eastAsia="Calibri" w:hAnsi="Calibri"/>
          <w:sz w:val="22"/>
          <w:szCs w:val="22"/>
        </w:rPr>
        <w:t xml:space="preserve">D) The number of active salons in Paris increased substantially between 1770 and 1789, suggesting growing public interest in intellectual gatherings.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Q22.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Arts  |  Weaken</w:t>
      </w:r>
    </w:p>
    <w:p>
      <w:pPr>
        <w:spacing w:after="120"/>
        <w:ind w:left="360"/>
      </w:pPr>
      <w:r>
        <w:rPr>
          <w:rFonts w:ascii="Calibri" w:cs="Calibri" w:eastAsia="Calibri" w:hAnsi="Calibri"/>
          <w:sz w:val="22"/>
          <w:szCs w:val="22"/>
        </w:rPr>
        <w:t xml:space="preserve">Film critic Nikolai Petrov studied the visual style of Estonian director Kaisa Tamm, whose films are characterized by long, static shots and muted color grading. Petrov noted that Tamm studied under renowned Hungarian director László Varga for two years in Budapest. Petrov concluded that Tamm's visual style was primarily shaped by Varga's mentorship, since Varga's own films are known for similarly slow pacing and restrained color palettes.</w:t>
      </w:r>
    </w:p>
    <w:p>
      <w:pPr>
        <w:spacing w:after="120" w:before="120"/>
      </w:pPr>
      <w:r>
        <w:rPr>
          <w:rFonts w:ascii="Calibri" w:cs="Calibri" w:eastAsia="Calibri" w:hAnsi="Calibri"/>
          <w:b/>
          <w:bCs/>
          <w:sz w:val="22"/>
          <w:szCs w:val="22"/>
        </w:rPr>
        <w:t xml:space="preserve">Which finding, if true, would most directly weaken Petrov's conclusion?</w:t>
      </w:r>
    </w:p>
    <w:p>
      <w:pPr>
        <w:spacing w:after="60"/>
        <w:ind w:left="480"/>
      </w:pPr>
      <w:r>
        <w:rPr>
          <w:rFonts w:ascii="Calibri" w:cs="Calibri" w:eastAsia="Calibri" w:hAnsi="Calibri"/>
          <w:sz w:val="22"/>
          <w:szCs w:val="22"/>
        </w:rPr>
        <w:t xml:space="preserve">A) Tamm has cited Japanese cinema, particularly the films of Yasujirō Ozu, as a major influence on her work.</w:t>
      </w:r>
    </w:p>
    <w:p>
      <w:pPr>
        <w:spacing w:after="60"/>
        <w:ind w:left="480"/>
      </w:pPr>
      <w:r>
        <w:rPr>
          <w:rFonts w:ascii="Calibri" w:cs="Calibri" w:eastAsia="Calibri" w:hAnsi="Calibri"/>
          <w:sz w:val="22"/>
          <w:szCs w:val="22"/>
        </w:rPr>
        <w:t xml:space="preserve">B) Varga's films have been praised by critics for their emotional depth in addition to their visual style.</w:t>
      </w:r>
    </w:p>
    <w:p>
      <w:pPr>
        <w:spacing w:after="60"/>
        <w:ind w:left="480"/>
      </w:pPr>
      <w:r>
        <w:rPr>
          <w:rFonts w:ascii="Calibri" w:cs="Calibri" w:eastAsia="Calibri" w:hAnsi="Calibri"/>
          <w:sz w:val="22"/>
          <w:szCs w:val="22"/>
        </w:rPr>
        <w:t xml:space="preserve">C) Several other directors who studied under Varga did not adopt his visual style in their own films.</w:t>
      </w:r>
    </w:p>
    <w:p>
      <w:pPr>
        <w:spacing w:after="60"/>
        <w:ind w:left="480"/>
      </w:pPr>
      <w:r>
        <w:rPr>
          <w:rFonts w:ascii="Calibri" w:cs="Calibri" w:eastAsia="Calibri" w:hAnsi="Calibri"/>
          <w:sz w:val="22"/>
          <w:szCs w:val="22"/>
        </w:rPr>
        <w:t xml:space="preserve">D) Tamm's earliest short films, which were completed before she studied with Varga, already featured long static shots and muted color grading virtually identical to the style of her later work.</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Q23.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Social Science  |  Support</w:t>
      </w:r>
    </w:p>
    <w:p>
      <w:pPr>
        <w:spacing w:after="120"/>
        <w:ind w:left="360"/>
      </w:pPr>
      <w:r>
        <w:rPr>
          <w:rFonts w:ascii="Calibri" w:cs="Calibri" w:eastAsia="Calibri" w:hAnsi="Calibri"/>
          <w:sz w:val="22"/>
          <w:szCs w:val="22"/>
        </w:rPr>
        <w:t xml:space="preserve">Urban planner Kwame Asante studied traffic congestion patterns in three African capital cities that implemented congestion pricing—charging drivers a fee to enter central business districts during peak hours. Asante found that all three cities experienced a 20–30% reduction in peak-hour vehicle entries within the first year. However, Asante also observed that total daily vehicle entries remained largely unchanged. Asante proposed that congestion pricing primarily shifts driving behavior from peak to off-peak hours rather than reducing overall vehicle usage.</w:t>
      </w:r>
    </w:p>
    <w:p>
      <w:pPr>
        <w:spacing w:after="120" w:before="120"/>
      </w:pPr>
      <w:r>
        <w:rPr>
          <w:rFonts w:ascii="Calibri" w:cs="Calibri" w:eastAsia="Calibri" w:hAnsi="Calibri"/>
          <w:b/>
          <w:bCs/>
          <w:sz w:val="22"/>
          <w:szCs w:val="22"/>
        </w:rPr>
        <w:t xml:space="preserve">Which finding, if true, would most directly support Asante's proposal?</w:t>
      </w:r>
    </w:p>
    <w:p>
      <w:pPr>
        <w:spacing w:after="60"/>
        <w:ind w:left="480"/>
      </w:pPr>
      <w:r>
        <w:rPr>
          <w:rFonts w:ascii="Calibri" w:cs="Calibri" w:eastAsia="Calibri" w:hAnsi="Calibri"/>
          <w:sz w:val="22"/>
          <w:szCs w:val="22"/>
        </w:rPr>
        <w:t xml:space="preserve">A) Average vehicle speeds in the central business districts during peak hours increased by 15% after congestion pricing was implemented.</w:t>
      </w:r>
    </w:p>
    <w:p>
      <w:pPr>
        <w:spacing w:after="60"/>
        <w:ind w:left="480"/>
      </w:pPr>
      <w:r>
        <w:rPr>
          <w:rFonts w:ascii="Calibri" w:cs="Calibri" w:eastAsia="Calibri" w:hAnsi="Calibri"/>
          <w:sz w:val="22"/>
          <w:szCs w:val="22"/>
        </w:rPr>
        <w:t xml:space="preserve">B) GPS tracking data from vehicles in the three cities showed that the same drivers who previously entered the central district during peak hours increasingly entered during off-peak hours after congestion pricing was implemented.</w:t>
      </w:r>
    </w:p>
    <w:p>
      <w:pPr>
        <w:spacing w:after="60"/>
        <w:ind w:left="480"/>
      </w:pPr>
      <w:r>
        <w:rPr>
          <w:rFonts w:ascii="Calibri" w:cs="Calibri" w:eastAsia="Calibri" w:hAnsi="Calibri"/>
          <w:sz w:val="22"/>
          <w:szCs w:val="22"/>
        </w:rPr>
        <w:t xml:space="preserve">C) Public transit ridership in all three cities increased by approximately 10% in the year following the implementation of congestion pricing.</w:t>
      </w:r>
    </w:p>
    <w:p>
      <w:pPr>
        <w:spacing w:after="60"/>
        <w:ind w:left="480"/>
      </w:pPr>
      <w:r>
        <w:rPr>
          <w:rFonts w:ascii="Calibri" w:cs="Calibri" w:eastAsia="Calibri" w:hAnsi="Calibri"/>
          <w:sz w:val="22"/>
          <w:szCs w:val="22"/>
        </w:rPr>
        <w:t xml:space="preserve">D) Revenue from congestion pricing exceeded initial government projections in all three cities during the first year.</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Q24.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Geneticist Yuki Tanaka studied a population of wild foxes on an isolated island off the coast of Japan. Tanaka observed that the island fox population exhibited remarkably low genetic diversity compared to mainland fox populations. Tanaka noted that the island was connected to the mainland by a land bridge until approximately 8,000 years ago, when rising sea levels severed the connection. Tanaka concluded that the low genetic diversity is the result of a "founder effect"—a small number of foxes were isolated on the island when the land bridge submerged, and the limited gene pool of these founders has persisted.</w:t>
      </w:r>
    </w:p>
    <w:p>
      <w:pPr>
        <w:spacing w:after="120" w:before="120"/>
      </w:pPr>
      <w:r>
        <w:rPr>
          <w:rFonts w:ascii="Calibri" w:cs="Calibri" w:eastAsia="Calibri" w:hAnsi="Calibri"/>
          <w:b/>
          <w:bCs/>
          <w:sz w:val="22"/>
          <w:szCs w:val="22"/>
        </w:rPr>
        <w:t xml:space="preserve">Which finding, if true, would most directly weaken Tanaka's conclusion?</w:t>
      </w:r>
    </w:p>
    <w:p>
      <w:pPr>
        <w:spacing w:after="60"/>
        <w:ind w:left="480"/>
      </w:pPr>
      <w:r>
        <w:rPr>
          <w:rFonts w:ascii="Calibri" w:cs="Calibri" w:eastAsia="Calibri" w:hAnsi="Calibri"/>
          <w:sz w:val="22"/>
          <w:szCs w:val="22"/>
        </w:rPr>
        <w:t xml:space="preserve">A) The island currently supports a fox population of approximately 300 individuals, which genetic modeling suggests is sufficient to maintain moderate genetic diversity over thousands of years.</w:t>
      </w:r>
    </w:p>
    <w:p>
      <w:pPr>
        <w:spacing w:after="60"/>
        <w:ind w:left="480"/>
      </w:pPr>
      <w:r>
        <w:rPr>
          <w:rFonts w:ascii="Calibri" w:cs="Calibri" w:eastAsia="Calibri" w:hAnsi="Calibri"/>
          <w:sz w:val="22"/>
          <w:szCs w:val="22"/>
        </w:rPr>
        <w:t xml:space="preserve">B) Other mammal species on the island, such as rabbits and shrews, also show lower genetic diversity than their mainland counterparts.</w:t>
      </w:r>
    </w:p>
    <w:p>
      <w:pPr>
        <w:spacing w:after="60"/>
        <w:ind w:left="480"/>
      </w:pPr>
      <w:r>
        <w:rPr>
          <w:rFonts w:ascii="Calibri" w:cs="Calibri" w:eastAsia="Calibri" w:hAnsi="Calibri"/>
          <w:sz w:val="22"/>
          <w:szCs w:val="22"/>
        </w:rPr>
        <w:t xml:space="preserve">C) Fossil evidence indicates that a large and genetically diverse fox population inhabited the island as recently as 2,000 years ago, but a volcanic eruption approximately 1,500 years ago caused a catastrophic population decline.</w:t>
      </w:r>
    </w:p>
    <w:p>
      <w:pPr>
        <w:spacing w:after="60"/>
        <w:ind w:left="480"/>
      </w:pPr>
      <w:r>
        <w:rPr>
          <w:rFonts w:ascii="Calibri" w:cs="Calibri" w:eastAsia="Calibri" w:hAnsi="Calibri"/>
          <w:sz w:val="22"/>
          <w:szCs w:val="22"/>
        </w:rPr>
        <w:t xml:space="preserve">D) The land bridge that once connected the island to the mainland was approximately 12 kilometers wide, allowing substantial animal migration.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Q25.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Chemist Ingrid Paulsson developed a new polymer coating designed to reduce ice accumulation on wind turbine blades in Arctic conditions. In laboratory tests, Paulsson found that blades coated with her polymer accumulated 60% less ice than uncoated blades when exposed to freezing fog at −15°C for 24 hours. Paulsson proposed that the coating works by creating a surface with extremely low water adhesion, causing water droplets to roll off before they freeze.</w:t>
      </w:r>
    </w:p>
    <w:p>
      <w:pPr>
        <w:spacing w:after="120" w:before="120"/>
      </w:pPr>
      <w:r>
        <w:rPr>
          <w:rFonts w:ascii="Calibri" w:cs="Calibri" w:eastAsia="Calibri" w:hAnsi="Calibri"/>
          <w:b/>
          <w:bCs/>
          <w:sz w:val="22"/>
          <w:szCs w:val="22"/>
        </w:rPr>
        <w:t xml:space="preserve">Which finding, if true, would most directly support Paulsson's proposed mechanism?</w:t>
      </w:r>
    </w:p>
    <w:p>
      <w:pPr>
        <w:spacing w:after="60"/>
        <w:ind w:left="480"/>
      </w:pPr>
      <w:r>
        <w:rPr>
          <w:rFonts w:ascii="Calibri" w:cs="Calibri" w:eastAsia="Calibri" w:hAnsi="Calibri"/>
          <w:sz w:val="22"/>
          <w:szCs w:val="22"/>
        </w:rPr>
        <w:t xml:space="preserve">A) High-speed camera footage revealed that water droplets contacting the coated surface rolled off within 0.3 seconds on average, while droplets on uncoated surfaces remained in place for over 5 seconds before freezing.</w:t>
      </w:r>
    </w:p>
    <w:p>
      <w:pPr>
        <w:spacing w:after="60"/>
        <w:ind w:left="480"/>
      </w:pPr>
      <w:r>
        <w:rPr>
          <w:rFonts w:ascii="Calibri" w:cs="Calibri" w:eastAsia="Calibri" w:hAnsi="Calibri"/>
          <w:sz w:val="22"/>
          <w:szCs w:val="22"/>
        </w:rPr>
        <w:t xml:space="preserve">B) Wind turbine blades in Arctic conditions typically lose 10–20% of their energy production capacity due to ice accumulation during winter months.</w:t>
      </w:r>
    </w:p>
    <w:p>
      <w:pPr>
        <w:spacing w:after="60"/>
        <w:ind w:left="480"/>
      </w:pPr>
      <w:r>
        <w:rPr>
          <w:rFonts w:ascii="Calibri" w:cs="Calibri" w:eastAsia="Calibri" w:hAnsi="Calibri"/>
          <w:sz w:val="22"/>
          <w:szCs w:val="22"/>
        </w:rPr>
        <w:t xml:space="preserve">C) The polymer coating also reduced dust accumulation on the blade surface by approximately 40% compared to uncoated blades.</w:t>
      </w:r>
    </w:p>
    <w:p>
      <w:pPr>
        <w:spacing w:after="60"/>
        <w:ind w:left="480"/>
      </w:pPr>
      <w:r>
        <w:rPr>
          <w:rFonts w:ascii="Calibri" w:cs="Calibri" w:eastAsia="Calibri" w:hAnsi="Calibri"/>
          <w:sz w:val="22"/>
          <w:szCs w:val="22"/>
        </w:rPr>
        <w:t xml:space="preserve">D) The polymer coating maintained its effectiveness through 500 freeze-thaw cycles in laboratory testing without significant degradation.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Q26.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Anthropologist Maria Gutierrez studied a rural community in Guatemala where handwoven textiles are a significant cultural tradition. Gutierrez observed that the number of active weavers in the community had declined by 50% over the past twenty years and that younger community members showed little interest in learning the craft. Gutierrez concluded that the tradition of handweaving is disappearing because younger generations prefer modern factory-made clothing.</w:t>
      </w:r>
    </w:p>
    <w:p>
      <w:pPr>
        <w:spacing w:after="120" w:before="120"/>
      </w:pPr>
      <w:r>
        <w:rPr>
          <w:rFonts w:ascii="Calibri" w:cs="Calibri" w:eastAsia="Calibri" w:hAnsi="Calibri"/>
          <w:b/>
          <w:bCs/>
          <w:sz w:val="22"/>
          <w:szCs w:val="22"/>
        </w:rPr>
        <w:t xml:space="preserve">Which finding, if true, would most directly weaken the claim about the decline in handweaving that is presented in the text?</w:t>
      </w:r>
    </w:p>
    <w:p>
      <w:pPr>
        <w:spacing w:after="60"/>
        <w:ind w:left="480"/>
      </w:pPr>
      <w:r>
        <w:rPr>
          <w:rFonts w:ascii="Calibri" w:cs="Calibri" w:eastAsia="Calibri" w:hAnsi="Calibri"/>
          <w:sz w:val="22"/>
          <w:szCs w:val="22"/>
        </w:rPr>
        <w:t xml:space="preserve">A) Older weavers in the community reported that the quality of locally available weaving materials had declined over time.</w:t>
      </w:r>
    </w:p>
    <w:p>
      <w:pPr>
        <w:spacing w:after="60"/>
        <w:ind w:left="480"/>
      </w:pPr>
      <w:r>
        <w:rPr>
          <w:rFonts w:ascii="Calibri" w:cs="Calibri" w:eastAsia="Calibri" w:hAnsi="Calibri"/>
          <w:sz w:val="22"/>
          <w:szCs w:val="22"/>
        </w:rPr>
        <w:t xml:space="preserve">B) The cost of factory-made clothing in the region had decreased by 30% over the past two decades due to increased imports.</w:t>
      </w:r>
    </w:p>
    <w:p>
      <w:pPr>
        <w:spacing w:after="60"/>
        <w:ind w:left="480"/>
      </w:pPr>
      <w:r>
        <w:rPr>
          <w:rFonts w:ascii="Calibri" w:cs="Calibri" w:eastAsia="Calibri" w:hAnsi="Calibri"/>
          <w:sz w:val="22"/>
          <w:szCs w:val="22"/>
        </w:rPr>
        <w:t xml:space="preserve">C) Handwoven textiles from the community are sold at markets to tourists who value their cultural significance.</w:t>
      </w:r>
    </w:p>
    <w:p>
      <w:pPr>
        <w:spacing w:after="60"/>
        <w:ind w:left="480"/>
      </w:pPr>
      <w:r>
        <w:rPr>
          <w:rFonts w:ascii="Calibri" w:cs="Calibri" w:eastAsia="Calibri" w:hAnsi="Calibri"/>
          <w:sz w:val="22"/>
          <w:szCs w:val="22"/>
        </w:rPr>
        <w:t xml:space="preserve">D) A survey of younger community members revealed that most valued handweaving as a cultural tradition but could not afford the time to learn, since they needed to work in nearby cities for wages.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Q27.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Zoologist Emma Lindqvist studied migratory patterns of a species of Arctic tern that breeds on the northern coast of Norway. Using lightweight GPS trackers attached to 40 birds, Lindqvist found that instead of following the expected coastal route southward along western Africa, approximately 30% of the tracked terns flew an inland route across the Sahara Desert. Lindqvist proposed that these inland-route birds exploit high-altitude wind currents over the Sahara that significantly reduce the energy cost of their migration.</w:t>
      </w:r>
    </w:p>
    <w:p>
      <w:pPr>
        <w:spacing w:after="120" w:before="120"/>
      </w:pPr>
      <w:r>
        <w:rPr>
          <w:rFonts w:ascii="Calibri" w:cs="Calibri" w:eastAsia="Calibri" w:hAnsi="Calibri"/>
          <w:b/>
          <w:bCs/>
          <w:sz w:val="22"/>
          <w:szCs w:val="22"/>
        </w:rPr>
        <w:t xml:space="preserve">Which finding, if true, would most directly support Lindqvist's proposal?</w:t>
      </w:r>
    </w:p>
    <w:p>
      <w:pPr>
        <w:spacing w:after="60"/>
        <w:ind w:left="480"/>
      </w:pPr>
      <w:r>
        <w:rPr>
          <w:rFonts w:ascii="Calibri" w:cs="Calibri" w:eastAsia="Calibri" w:hAnsi="Calibri"/>
          <w:sz w:val="22"/>
          <w:szCs w:val="22"/>
        </w:rPr>
        <w:t xml:space="preserve">A) The inland-route terns arrived at their wintering grounds in southern Africa an average of six days earlier than the coastal-route terns despite traveling a comparable distance.</w:t>
      </w:r>
    </w:p>
    <w:p>
      <w:pPr>
        <w:spacing w:after="60"/>
        <w:ind w:left="480"/>
      </w:pPr>
      <w:r>
        <w:rPr>
          <w:rFonts w:ascii="Calibri" w:cs="Calibri" w:eastAsia="Calibri" w:hAnsi="Calibri"/>
          <w:sz w:val="22"/>
          <w:szCs w:val="22"/>
        </w:rPr>
        <w:t xml:space="preserve">B) Atmospheric data collected during the migration period confirmed the presence of consistent high-altitude tailwinds over the Sahara, and the inland-route terns' flight altitudes matched the altitude of these winds.</w:t>
      </w:r>
    </w:p>
    <w:p>
      <w:pPr>
        <w:spacing w:after="60"/>
        <w:ind w:left="480"/>
      </w:pPr>
      <w:r>
        <w:rPr>
          <w:rFonts w:ascii="Calibri" w:cs="Calibri" w:eastAsia="Calibri" w:hAnsi="Calibri"/>
          <w:sz w:val="22"/>
          <w:szCs w:val="22"/>
        </w:rPr>
        <w:t xml:space="preserve">C) Inland-route terns were observed making brief stops at oases in the Sahara to drink water before continuing their journey.</w:t>
      </w:r>
    </w:p>
    <w:p>
      <w:pPr>
        <w:spacing w:after="60"/>
        <w:ind w:left="480"/>
      </w:pPr>
      <w:r>
        <w:rPr>
          <w:rFonts w:ascii="Calibri" w:cs="Calibri" w:eastAsia="Calibri" w:hAnsi="Calibri"/>
          <w:sz w:val="22"/>
          <w:szCs w:val="22"/>
        </w:rPr>
        <w:t xml:space="preserve">D) The body mass of inland-route terns at the beginning of the migration was not significantly different from that of coastal-route terns.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Q28.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Economist Patricia Novak studied the relationship between remote work adoption and commercial real estate prices in twelve major US cities between 2020 and 2025. Novak found that cities with higher rates of remote work adoption experienced larger declines in commercial office space prices. Novak concluded that remote work is the primary driver of declining commercial real estate values in these cities, predicting that further increases in remote work will continue to depress prices.</w:t>
      </w:r>
    </w:p>
    <w:p>
      <w:pPr>
        <w:spacing w:after="120" w:before="120"/>
      </w:pPr>
      <w:r>
        <w:rPr>
          <w:rFonts w:ascii="Calibri" w:cs="Calibri" w:eastAsia="Calibri" w:hAnsi="Calibri"/>
          <w:b/>
          <w:bCs/>
          <w:sz w:val="22"/>
          <w:szCs w:val="22"/>
        </w:rPr>
        <w:t xml:space="preserve">Which finding, if true, would most directly weaken Novak's conclusion?</w:t>
      </w:r>
    </w:p>
    <w:p>
      <w:pPr>
        <w:spacing w:after="60"/>
        <w:ind w:left="480"/>
      </w:pPr>
      <w:r>
        <w:rPr>
          <w:rFonts w:ascii="Calibri" w:cs="Calibri" w:eastAsia="Calibri" w:hAnsi="Calibri"/>
          <w:sz w:val="22"/>
          <w:szCs w:val="22"/>
        </w:rPr>
        <w:t xml:space="preserve">A) Several companies in cities with high remote work adoption rates announced plans to require employees to return to the office full-time by 2026.</w:t>
      </w:r>
    </w:p>
    <w:p>
      <w:pPr>
        <w:spacing w:after="60"/>
        <w:ind w:left="480"/>
      </w:pPr>
      <w:r>
        <w:rPr>
          <w:rFonts w:ascii="Calibri" w:cs="Calibri" w:eastAsia="Calibri" w:hAnsi="Calibri"/>
          <w:sz w:val="22"/>
          <w:szCs w:val="22"/>
        </w:rPr>
        <w:t xml:space="preserve">B) The average square footage of commercial office space leased per employee has decreased across all twelve cities regardless of remote work adoption rates.</w:t>
      </w:r>
    </w:p>
    <w:p>
      <w:pPr>
        <w:spacing w:after="60"/>
        <w:ind w:left="480"/>
      </w:pPr>
      <w:r>
        <w:rPr>
          <w:rFonts w:ascii="Calibri" w:cs="Calibri" w:eastAsia="Calibri" w:hAnsi="Calibri"/>
          <w:sz w:val="22"/>
          <w:szCs w:val="22"/>
        </w:rPr>
        <w:t xml:space="preserve">C) The cities with the highest rates of remote work adoption were also the cities most affected by a simultaneous increase in municipal property taxes and a decline in local economic activity due to the departure of major corporate headquarters.</w:t>
      </w:r>
    </w:p>
    <w:p>
      <w:pPr>
        <w:spacing w:after="60"/>
        <w:ind w:left="480"/>
      </w:pPr>
      <w:r>
        <w:rPr>
          <w:rFonts w:ascii="Calibri" w:cs="Calibri" w:eastAsia="Calibri" w:hAnsi="Calibri"/>
          <w:sz w:val="22"/>
          <w:szCs w:val="22"/>
        </w:rPr>
        <w:t xml:space="preserve">D) Residential real estate prices in the same twelve cities showed varied trends, with some cities experiencing increases and others experiencing decreases during the same period.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Q29.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Literature  |  Support</w:t>
      </w:r>
    </w:p>
    <w:p>
      <w:pPr>
        <w:spacing w:after="120"/>
        <w:ind w:left="360"/>
      </w:pPr>
      <w:r>
        <w:rPr>
          <w:rFonts w:ascii="Calibri" w:cs="Calibri" w:eastAsia="Calibri" w:hAnsi="Calibri"/>
          <w:sz w:val="22"/>
          <w:szCs w:val="22"/>
        </w:rPr>
        <w:t xml:space="preserve">Literary scholar Reiko Hashimoto studied the novels of early twentieth-century Japanese author Taro Murasaki. Hashimoto observed that Murasaki's later novels frequently shift between first-person and third-person narration within the same chapter, sometimes mid-paragraph. While some critics have called this technique careless or confusing, Hashimoto argues that the shifts are a deliberate narrative strategy designed to blur the boundary between a character's subjective experience and objective reality, reflecting Murasaki's interest in the unreliability of personal perception.</w:t>
      </w:r>
    </w:p>
    <w:p>
      <w:pPr>
        <w:spacing w:after="120" w:before="120"/>
      </w:pPr>
      <w:r>
        <w:rPr>
          <w:rFonts w:ascii="Calibri" w:cs="Calibri" w:eastAsia="Calibri" w:hAnsi="Calibri"/>
          <w:b/>
          <w:bCs/>
          <w:sz w:val="22"/>
          <w:szCs w:val="22"/>
        </w:rPr>
        <w:t xml:space="preserve">Which finding, if true, would most directly support Hashimoto's argument?</w:t>
      </w:r>
    </w:p>
    <w:p>
      <w:pPr>
        <w:spacing w:after="60"/>
        <w:ind w:left="480"/>
      </w:pPr>
      <w:r>
        <w:rPr>
          <w:rFonts w:ascii="Calibri" w:cs="Calibri" w:eastAsia="Calibri" w:hAnsi="Calibri"/>
          <w:sz w:val="22"/>
          <w:szCs w:val="22"/>
        </w:rPr>
        <w:t xml:space="preserve">A) Drafts of Murasaki's novels show that he revised passages multiple times to ensure that the narration shifts occurred at moments when characters' perceptions of events diverged from what other characters experienced.</w:t>
      </w:r>
    </w:p>
    <w:p>
      <w:pPr>
        <w:spacing w:after="60"/>
        <w:ind w:left="480"/>
      </w:pPr>
      <w:r>
        <w:rPr>
          <w:rFonts w:ascii="Calibri" w:cs="Calibri" w:eastAsia="Calibri" w:hAnsi="Calibri"/>
          <w:sz w:val="22"/>
          <w:szCs w:val="22"/>
        </w:rPr>
        <w:t xml:space="preserve">B) Contemporary reviewers of Murasaki's work described his prose style as innovative but challenging.</w:t>
      </w:r>
    </w:p>
    <w:p>
      <w:pPr>
        <w:spacing w:after="60"/>
        <w:ind w:left="480"/>
      </w:pPr>
      <w:r>
        <w:rPr>
          <w:rFonts w:ascii="Calibri" w:cs="Calibri" w:eastAsia="Calibri" w:hAnsi="Calibri"/>
          <w:sz w:val="22"/>
          <w:szCs w:val="22"/>
        </w:rPr>
        <w:t xml:space="preserve">C) Narration shifts between first and third person are common in Japanese fiction published during the early twentieth century.</w:t>
      </w:r>
    </w:p>
    <w:p>
      <w:pPr>
        <w:spacing w:after="60"/>
        <w:ind w:left="480"/>
      </w:pPr>
      <w:r>
        <w:rPr>
          <w:rFonts w:ascii="Calibri" w:cs="Calibri" w:eastAsia="Calibri" w:hAnsi="Calibri"/>
          <w:sz w:val="22"/>
          <w:szCs w:val="22"/>
        </w:rPr>
        <w:t xml:space="preserve">D) Murasaki's earliest novels, written before his interest in perception developed, use exclusively third-person narration.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Q30.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History  |  Weaken</w:t>
      </w:r>
    </w:p>
    <w:p>
      <w:pPr>
        <w:spacing w:after="120"/>
        <w:ind w:left="360"/>
      </w:pPr>
      <w:r>
        <w:rPr>
          <w:rFonts w:ascii="Calibri" w:cs="Calibri" w:eastAsia="Calibri" w:hAnsi="Calibri"/>
          <w:sz w:val="22"/>
          <w:szCs w:val="22"/>
        </w:rPr>
        <w:t xml:space="preserve">Historian James Thornton studied the decline of a medieval trading settlement called Westmark, which was abandoned around 1350 CE. Thornton found that the settlement's main well showed signs of contamination with heavy metals. Thornton concluded that the contaminated water supply was the primary reason the inhabitants abandoned Westmark.</w:t>
      </w:r>
    </w:p>
    <w:p>
      <w:pPr>
        <w:spacing w:after="120" w:before="120"/>
      </w:pPr>
      <w:r>
        <w:rPr>
          <w:rFonts w:ascii="Calibri" w:cs="Calibri" w:eastAsia="Calibri" w:hAnsi="Calibri"/>
          <w:b/>
          <w:bCs/>
          <w:sz w:val="22"/>
          <w:szCs w:val="22"/>
        </w:rPr>
        <w:t xml:space="preserve">Which finding, if true, would most directly weaken Thornton's conclusion?</w:t>
      </w:r>
    </w:p>
    <w:p>
      <w:pPr>
        <w:spacing w:after="60"/>
        <w:ind w:left="480"/>
      </w:pPr>
      <w:r>
        <w:rPr>
          <w:rFonts w:ascii="Calibri" w:cs="Calibri" w:eastAsia="Calibri" w:hAnsi="Calibri"/>
          <w:sz w:val="22"/>
          <w:szCs w:val="22"/>
        </w:rPr>
        <w:t xml:space="preserve">A) Several other medieval settlements in the same region were also abandoned around 1350 CE.</w:t>
      </w:r>
    </w:p>
    <w:p>
      <w:pPr>
        <w:spacing w:after="60"/>
        <w:ind w:left="480"/>
      </w:pPr>
      <w:r>
        <w:rPr>
          <w:rFonts w:ascii="Calibri" w:cs="Calibri" w:eastAsia="Calibri" w:hAnsi="Calibri"/>
          <w:sz w:val="22"/>
          <w:szCs w:val="22"/>
        </w:rPr>
        <w:t xml:space="preserve">B) The heavy metal contamination in the well was later determined to have originated from natural mineral deposits in the bedrock.</w:t>
      </w:r>
    </w:p>
    <w:p>
      <w:pPr>
        <w:spacing w:after="60"/>
        <w:ind w:left="480"/>
      </w:pPr>
      <w:r>
        <w:rPr>
          <w:rFonts w:ascii="Calibri" w:cs="Calibri" w:eastAsia="Calibri" w:hAnsi="Calibri"/>
          <w:sz w:val="22"/>
          <w:szCs w:val="22"/>
        </w:rPr>
        <w:t xml:space="preserve">C) Westmark's population had been growing steadily in the century before its abandonment.</w:t>
      </w:r>
    </w:p>
    <w:p>
      <w:pPr>
        <w:spacing w:after="60"/>
        <w:ind w:left="480"/>
      </w:pPr>
      <w:r>
        <w:rPr>
          <w:rFonts w:ascii="Calibri" w:cs="Calibri" w:eastAsia="Calibri" w:hAnsi="Calibri"/>
          <w:sz w:val="22"/>
          <w:szCs w:val="22"/>
        </w:rPr>
        <w:t xml:space="preserve">D) Archaeological evidence shows that the inhabitants of Westmark relied primarily on a nearby river, not the well, for their drinking water.</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Q31.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Physicist Ravi Chakraborty observed that a particular ceramic compound, barium-strontium titanate (BST), exhibited a sharp increase in its dielectric constant when cooled below −40°C. While previous research had attributed this transition to a structural phase change in the crystal lattice, Chakraborty proposed an alternative explanation: that nanoscale clusters of polar molecules within the ceramic become cooperatively aligned at low temperatures, creating localized ferroelectric domains that collectively amplify the material's dielectric response without any change to the overall crystal structure.</w:t>
      </w:r>
    </w:p>
    <w:p>
      <w:pPr>
        <w:spacing w:after="120" w:before="120"/>
      </w:pPr>
      <w:r>
        <w:rPr>
          <w:rFonts w:ascii="Calibri" w:cs="Calibri" w:eastAsia="Calibri" w:hAnsi="Calibri"/>
          <w:b/>
          <w:bCs/>
          <w:sz w:val="22"/>
          <w:szCs w:val="22"/>
        </w:rPr>
        <w:t xml:space="preserve">Which finding, if true, would most directly support Chakraborty's alternative explanation over the established view?</w:t>
      </w:r>
    </w:p>
    <w:p>
      <w:pPr>
        <w:spacing w:after="60"/>
        <w:ind w:left="480"/>
      </w:pPr>
      <w:r>
        <w:rPr>
          <w:rFonts w:ascii="Calibri" w:cs="Calibri" w:eastAsia="Calibri" w:hAnsi="Calibri"/>
          <w:sz w:val="22"/>
          <w:szCs w:val="22"/>
        </w:rPr>
        <w:t xml:space="preserve">A) The dielectric constant of BST returns to its original value when the material is reheated above −40°C.</w:t>
      </w:r>
    </w:p>
    <w:p>
      <w:pPr>
        <w:spacing w:after="60"/>
        <w:ind w:left="480"/>
      </w:pPr>
      <w:r>
        <w:rPr>
          <w:rFonts w:ascii="Calibri" w:cs="Calibri" w:eastAsia="Calibri" w:hAnsi="Calibri"/>
          <w:sz w:val="22"/>
          <w:szCs w:val="22"/>
        </w:rPr>
        <w:t xml:space="preserve">B) X-ray diffraction analysis of BST at temperatures above and below −40°C revealed no detectable change in the crystal lattice parameters, while transmission electron microscopy at temperatures below −40°C revealed the emergence of nanoscale regions with uniform molecular alignment.</w:t>
      </w:r>
    </w:p>
    <w:p>
      <w:pPr>
        <w:spacing w:after="60"/>
        <w:ind w:left="480"/>
      </w:pPr>
      <w:r>
        <w:rPr>
          <w:rFonts w:ascii="Calibri" w:cs="Calibri" w:eastAsia="Calibri" w:hAnsi="Calibri"/>
          <w:sz w:val="22"/>
          <w:szCs w:val="22"/>
        </w:rPr>
        <w:t xml:space="preserve">C) Computational models predict that BST should undergo a structural phase change at approximately −40°C based on the material's known atomic composition.</w:t>
      </w:r>
    </w:p>
    <w:p>
      <w:pPr>
        <w:spacing w:after="60"/>
        <w:ind w:left="480"/>
      </w:pPr>
      <w:r>
        <w:rPr>
          <w:rFonts w:ascii="Calibri" w:cs="Calibri" w:eastAsia="Calibri" w:hAnsi="Calibri"/>
          <w:sz w:val="22"/>
          <w:szCs w:val="22"/>
        </w:rPr>
        <w:t xml:space="preserve">D) Other ceramic compounds with similar crystal structures also exhibit increases in dielectric constant at low temperatures.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Q32.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Psychologist Martin Ekström studied the effect of background music on reading comprehension. In his study, university students who read passages while listening to classical music scored an average of 12% higher on comprehension questions than students who read in silence. Ekström concluded that listening to classical music enhances reading comprehension.</w:t>
      </w:r>
    </w:p>
    <w:p>
      <w:pPr>
        <w:spacing w:after="120" w:before="120"/>
      </w:pPr>
      <w:r>
        <w:rPr>
          <w:rFonts w:ascii="Calibri" w:cs="Calibri" w:eastAsia="Calibri" w:hAnsi="Calibri"/>
          <w:b/>
          <w:bCs/>
          <w:sz w:val="22"/>
          <w:szCs w:val="22"/>
        </w:rPr>
        <w:t xml:space="preserve">Which finding, if true, would most directly weaken Ekström's conclusion?</w:t>
      </w:r>
    </w:p>
    <w:p>
      <w:pPr>
        <w:spacing w:after="60"/>
        <w:ind w:left="480"/>
      </w:pPr>
      <w:r>
        <w:rPr>
          <w:rFonts w:ascii="Calibri" w:cs="Calibri" w:eastAsia="Calibri" w:hAnsi="Calibri"/>
          <w:sz w:val="22"/>
          <w:szCs w:val="22"/>
        </w:rPr>
        <w:t xml:space="preserve">A) Previous studies on the relationship between music and cognitive performance have produced mixed results.</w:t>
      </w:r>
    </w:p>
    <w:p>
      <w:pPr>
        <w:spacing w:after="60"/>
        <w:ind w:left="480"/>
      </w:pPr>
      <w:r>
        <w:rPr>
          <w:rFonts w:ascii="Calibri" w:cs="Calibri" w:eastAsia="Calibri" w:hAnsi="Calibri"/>
          <w:sz w:val="22"/>
          <w:szCs w:val="22"/>
        </w:rPr>
        <w:t xml:space="preserve">B) Students in the music group reported finding the classical music pleasant and relaxing during the study.</w:t>
      </w:r>
    </w:p>
    <w:p>
      <w:pPr>
        <w:spacing w:after="60"/>
        <w:ind w:left="480"/>
      </w:pPr>
      <w:r>
        <w:rPr>
          <w:rFonts w:ascii="Calibri" w:cs="Calibri" w:eastAsia="Calibri" w:hAnsi="Calibri"/>
          <w:sz w:val="22"/>
          <w:szCs w:val="22"/>
        </w:rPr>
        <w:t xml:space="preserve">C) Students in the music group were volunteers who self-selected into the condition, and they reported significantly higher baseline reading comprehension scores than students in the silent group.</w:t>
      </w:r>
    </w:p>
    <w:p>
      <w:pPr>
        <w:spacing w:after="60"/>
        <w:ind w:left="480"/>
      </w:pPr>
      <w:r>
        <w:rPr>
          <w:rFonts w:ascii="Calibri" w:cs="Calibri" w:eastAsia="Calibri" w:hAnsi="Calibri"/>
          <w:sz w:val="22"/>
          <w:szCs w:val="22"/>
        </w:rPr>
        <w:t xml:space="preserve">D) The passages used in the study covered topics from multiple academic disciplines, including science, history, and literature.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Q33.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Botanist Hiroshi Nakamura observed that a species of orchid found in cloud forests of Southeast Asia produces flowers with an unusually long nectar spur—a tube-like extension of the petal that contains nectar. Nakamura measured spur lengths averaging 12 centimeters, far longer than the spurs of related orchid species. Nakamura concluded that the species co-evolved with a specific moth pollinator that has a correspondingly long proboscis, as Darwin famously predicted for a similar orchid in Madagascar.</w:t>
      </w:r>
    </w:p>
    <w:p>
      <w:pPr>
        <w:spacing w:after="120" w:before="120"/>
      </w:pPr>
      <w:r>
        <w:rPr>
          <w:rFonts w:ascii="Calibri" w:cs="Calibri" w:eastAsia="Calibri" w:hAnsi="Calibri"/>
          <w:b/>
          <w:bCs/>
          <w:sz w:val="22"/>
          <w:szCs w:val="22"/>
        </w:rPr>
        <w:t xml:space="preserve">Which finding, if true, would most directly weaken Nakamura's conclusion?</w:t>
      </w:r>
    </w:p>
    <w:p>
      <w:pPr>
        <w:spacing w:after="60"/>
        <w:ind w:left="480"/>
      </w:pPr>
      <w:r>
        <w:rPr>
          <w:rFonts w:ascii="Calibri" w:cs="Calibri" w:eastAsia="Calibri" w:hAnsi="Calibri"/>
          <w:sz w:val="22"/>
          <w:szCs w:val="22"/>
        </w:rPr>
        <w:t xml:space="preserve">A) Field observations over three flowering seasons recorded no moth visits to the orchid; instead, the flowers were exclusively pollinated by small birds that inserted their beaks into the opening of the spur without reaching the bottom.</w:t>
      </w:r>
    </w:p>
    <w:p>
      <w:pPr>
        <w:spacing w:after="60"/>
        <w:ind w:left="480"/>
      </w:pPr>
      <w:r>
        <w:rPr>
          <w:rFonts w:ascii="Calibri" w:cs="Calibri" w:eastAsia="Calibri" w:hAnsi="Calibri"/>
          <w:sz w:val="22"/>
          <w:szCs w:val="22"/>
        </w:rPr>
        <w:t xml:space="preserve">B) The orchid species produces a strong fragrance at night, which is a common trait of moth-pollinated flowers.</w:t>
      </w:r>
    </w:p>
    <w:p>
      <w:pPr>
        <w:spacing w:after="60"/>
        <w:ind w:left="480"/>
      </w:pPr>
      <w:r>
        <w:rPr>
          <w:rFonts w:ascii="Calibri" w:cs="Calibri" w:eastAsia="Calibri" w:hAnsi="Calibri"/>
          <w:sz w:val="22"/>
          <w:szCs w:val="22"/>
        </w:rPr>
        <w:t xml:space="preserve">C) DNA analysis indicated that the orchid species diverged from its closest relatives approximately 3 million years ago.</w:t>
      </w:r>
    </w:p>
    <w:p>
      <w:pPr>
        <w:spacing w:after="60"/>
        <w:ind w:left="480"/>
      </w:pPr>
      <w:r>
        <w:rPr>
          <w:rFonts w:ascii="Calibri" w:cs="Calibri" w:eastAsia="Calibri" w:hAnsi="Calibri"/>
          <w:sz w:val="22"/>
          <w:szCs w:val="22"/>
        </w:rPr>
        <w:t xml:space="preserve">D) Other orchid species in the same cloud forest also have elongated nectar spurs, though none as long as Nakamura's study species.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Q34.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History  |  Weaken</w:t>
      </w:r>
    </w:p>
    <w:p>
      <w:pPr>
        <w:spacing w:after="120"/>
        <w:ind w:left="360"/>
      </w:pPr>
      <w:r>
        <w:rPr>
          <w:rFonts w:ascii="Calibri" w:cs="Calibri" w:eastAsia="Calibri" w:hAnsi="Calibri"/>
          <w:sz w:val="22"/>
          <w:szCs w:val="22"/>
        </w:rPr>
        <w:t xml:space="preserve">Archaeologist Diane Okonkwo analyzed the remains of a large stone structure at a site in the Niger River valley, dated to approximately 1100 CE. The structure featured thick walls, narrow windows, and a centralized courtyard accessible through a single reinforced entrance. Okonkwo concluded that the structure served a military defensive purpose, functioning as a fortification or garrison during a period of regional conflict between rival chieftaindoms.</w:t>
      </w:r>
    </w:p>
    <w:p>
      <w:pPr>
        <w:spacing w:after="120" w:before="120"/>
      </w:pPr>
      <w:r>
        <w:rPr>
          <w:rFonts w:ascii="Calibri" w:cs="Calibri" w:eastAsia="Calibri" w:hAnsi="Calibri"/>
          <w:b/>
          <w:bCs/>
          <w:sz w:val="22"/>
          <w:szCs w:val="22"/>
        </w:rPr>
        <w:t xml:space="preserve">Which finding, if true, would most directly weaken the conclusion about the structure's purpose that is presented in the text?</w:t>
      </w:r>
    </w:p>
    <w:p>
      <w:pPr>
        <w:spacing w:after="60"/>
        <w:ind w:left="480"/>
      </w:pPr>
      <w:r>
        <w:rPr>
          <w:rFonts w:ascii="Calibri" w:cs="Calibri" w:eastAsia="Calibri" w:hAnsi="Calibri"/>
          <w:sz w:val="22"/>
          <w:szCs w:val="22"/>
        </w:rPr>
        <w:t xml:space="preserve">A) The stone used in the structure was quarried from a source approximately 50 kilometers from the site, suggesting significant labor investment in construction.</w:t>
      </w:r>
    </w:p>
    <w:p>
      <w:pPr>
        <w:spacing w:after="60"/>
        <w:ind w:left="480"/>
      </w:pPr>
      <w:r>
        <w:rPr>
          <w:rFonts w:ascii="Calibri" w:cs="Calibri" w:eastAsia="Calibri" w:hAnsi="Calibri"/>
          <w:sz w:val="22"/>
          <w:szCs w:val="22"/>
        </w:rPr>
        <w:t xml:space="preserve">B) Similar thick-walled structures from the same period have been found at other sites in West Africa, some of which are confirmed fortifications.</w:t>
      </w:r>
    </w:p>
    <w:p>
      <w:pPr>
        <w:spacing w:after="60"/>
        <w:ind w:left="480"/>
      </w:pPr>
      <w:r>
        <w:rPr>
          <w:rFonts w:ascii="Calibri" w:cs="Calibri" w:eastAsia="Calibri" w:hAnsi="Calibri"/>
          <w:sz w:val="22"/>
          <w:szCs w:val="22"/>
        </w:rPr>
        <w:t xml:space="preserve">C) Oral histories from communities in the region describe a period of peace and cooperative trade among chieftaindoms around 1100 CE.</w:t>
      </w:r>
    </w:p>
    <w:p>
      <w:pPr>
        <w:spacing w:after="60"/>
        <w:ind w:left="480"/>
      </w:pPr>
      <w:r>
        <w:rPr>
          <w:rFonts w:ascii="Calibri" w:cs="Calibri" w:eastAsia="Calibri" w:hAnsi="Calibri"/>
          <w:sz w:val="22"/>
          <w:szCs w:val="22"/>
        </w:rPr>
        <w:t xml:space="preserve">D) Analysis of soil samples from the courtyard revealed high concentrations of grain residue and remnants of large ceramic storage vessels, while no arrowheads, weapon fragments, or other military artifacts were found anywhere on the site.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Q35.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Arts  |  Support</w:t>
      </w:r>
    </w:p>
    <w:p>
      <w:pPr>
        <w:spacing w:after="120"/>
        <w:ind w:left="360"/>
      </w:pPr>
      <w:r>
        <w:rPr>
          <w:rFonts w:ascii="Calibri" w:cs="Calibri" w:eastAsia="Calibri" w:hAnsi="Calibri"/>
          <w:sz w:val="22"/>
          <w:szCs w:val="22"/>
        </w:rPr>
        <w:t xml:space="preserve">Musicologist Fiona Achebe studied the compositions of mid-twentieth-century Nigerian pianist and composer Nkem Adichie. Achebe noted that several of Adichie's piano sonatas incorporate rhythmic patterns and melodic intervals that closely resemble traditional Igbo folk songs. While some scholars have attributed these similarities to coincidence, Achebe argues that Adichie deliberately integrated Igbo musical traditions into Western classical forms as a means of cultural preservation and synthesis.</w:t>
      </w:r>
    </w:p>
    <w:p>
      <w:pPr>
        <w:spacing w:after="120" w:before="120"/>
      </w:pPr>
      <w:r>
        <w:rPr>
          <w:rFonts w:ascii="Calibri" w:cs="Calibri" w:eastAsia="Calibri" w:hAnsi="Calibri"/>
          <w:b/>
          <w:bCs/>
          <w:sz w:val="22"/>
          <w:szCs w:val="22"/>
        </w:rPr>
        <w:t xml:space="preserve">Which finding, if true, would most directly support Achebe's argument?</w:t>
      </w:r>
    </w:p>
    <w:p>
      <w:pPr>
        <w:spacing w:after="60"/>
        <w:ind w:left="480"/>
      </w:pPr>
      <w:r>
        <w:rPr>
          <w:rFonts w:ascii="Calibri" w:cs="Calibri" w:eastAsia="Calibri" w:hAnsi="Calibri"/>
          <w:sz w:val="22"/>
          <w:szCs w:val="22"/>
        </w:rPr>
        <w:t xml:space="preserve">A) Adichie's sonatas were performed more frequently at concert halls in Lagos than in London.</w:t>
      </w:r>
    </w:p>
    <w:p>
      <w:pPr>
        <w:spacing w:after="60"/>
        <w:ind w:left="480"/>
      </w:pPr>
      <w:r>
        <w:rPr>
          <w:rFonts w:ascii="Calibri" w:cs="Calibri" w:eastAsia="Calibri" w:hAnsi="Calibri"/>
          <w:sz w:val="22"/>
          <w:szCs w:val="22"/>
        </w:rPr>
        <w:t xml:space="preserve">B) Adichie's personal notebooks contain detailed transcriptions of Igbo folk songs alongside annotations describing how she planned to adapt specific rhythmic and melodic elements for use in her sonatas.</w:t>
      </w:r>
    </w:p>
    <w:p>
      <w:pPr>
        <w:spacing w:after="60"/>
        <w:ind w:left="480"/>
      </w:pPr>
      <w:r>
        <w:rPr>
          <w:rFonts w:ascii="Calibri" w:cs="Calibri" w:eastAsia="Calibri" w:hAnsi="Calibri"/>
          <w:sz w:val="22"/>
          <w:szCs w:val="22"/>
        </w:rPr>
        <w:t xml:space="preserve">C) Adichie studied classical piano at a conservatory in London before returning to Nigeria.</w:t>
      </w:r>
    </w:p>
    <w:p>
      <w:pPr>
        <w:spacing w:after="60"/>
        <w:ind w:left="480"/>
      </w:pPr>
      <w:r>
        <w:rPr>
          <w:rFonts w:ascii="Calibri" w:cs="Calibri" w:eastAsia="Calibri" w:hAnsi="Calibri"/>
          <w:sz w:val="22"/>
          <w:szCs w:val="22"/>
        </w:rPr>
        <w:t xml:space="preserve">D) Igbo folk songs share certain rhythmic characteristics with folk music from other West African cultures.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Q36.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Criminologist Laura Hendricks studied crime rates in eight neighborhoods that had installed streetlight upgrades—replacing dim, yellow sodium lamps with brighter, white LED lighting. Hendricks found that reported crime rates decreased by an average of 18% in the year following the upgrades. Hendricks concluded that brighter street lighting deters criminal activity by increasing the perceived risk of detection among potential offenders.</w:t>
      </w:r>
    </w:p>
    <w:p>
      <w:pPr>
        <w:spacing w:after="120" w:before="120"/>
      </w:pPr>
      <w:r>
        <w:rPr>
          <w:rFonts w:ascii="Calibri" w:cs="Calibri" w:eastAsia="Calibri" w:hAnsi="Calibri"/>
          <w:b/>
          <w:bCs/>
          <w:sz w:val="22"/>
          <w:szCs w:val="22"/>
        </w:rPr>
        <w:t xml:space="preserve">Which finding, if true, would most directly weaken Hendricks's conclusion?</w:t>
      </w:r>
    </w:p>
    <w:p>
      <w:pPr>
        <w:spacing w:after="60"/>
        <w:ind w:left="480"/>
      </w:pPr>
      <w:r>
        <w:rPr>
          <w:rFonts w:ascii="Calibri" w:cs="Calibri" w:eastAsia="Calibri" w:hAnsi="Calibri"/>
          <w:sz w:val="22"/>
          <w:szCs w:val="22"/>
        </w:rPr>
        <w:t xml:space="preserve">A) Crime rates in the eight neighborhoods had been declining steadily for three years before the streetlight upgrades were installed.</w:t>
      </w:r>
    </w:p>
    <w:p>
      <w:pPr>
        <w:spacing w:after="60"/>
        <w:ind w:left="480"/>
      </w:pPr>
      <w:r>
        <w:rPr>
          <w:rFonts w:ascii="Calibri" w:cs="Calibri" w:eastAsia="Calibri" w:hAnsi="Calibri"/>
          <w:sz w:val="22"/>
          <w:szCs w:val="22"/>
        </w:rPr>
        <w:t xml:space="preserve">B) Residents of the upgraded neighborhoods reported feeling safer after the lighting changes, according to a post-installation survey.</w:t>
      </w:r>
    </w:p>
    <w:p>
      <w:pPr>
        <w:spacing w:after="60"/>
        <w:ind w:left="480"/>
      </w:pPr>
      <w:r>
        <w:rPr>
          <w:rFonts w:ascii="Calibri" w:cs="Calibri" w:eastAsia="Calibri" w:hAnsi="Calibri"/>
          <w:sz w:val="22"/>
          <w:szCs w:val="22"/>
        </w:rPr>
        <w:t xml:space="preserve">C) The streetlight upgrades were part of a broader neighborhood revitalization initiative that also included increased police patrols, security camera installations, and community watch programs in the same neighborhoods during the same period.</w:t>
      </w:r>
    </w:p>
    <w:p>
      <w:pPr>
        <w:spacing w:after="60"/>
        <w:ind w:left="480"/>
      </w:pPr>
      <w:r>
        <w:rPr>
          <w:rFonts w:ascii="Calibri" w:cs="Calibri" w:eastAsia="Calibri" w:hAnsi="Calibri"/>
          <w:sz w:val="22"/>
          <w:szCs w:val="22"/>
        </w:rPr>
        <w:t xml:space="preserve">D) The LED lights consumed 40% less electricity than the sodium lamps they replaced, resulting in significant cost savings for the municipalities.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Q37.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Oceanographer Mei-Ling Zhou discovered an unusual deep-ocean current in the South Pacific that flows in the opposite direction of the overlying surface current. While conventional oceanographic models attribute deep currents to differences in water density caused by temperature and salinity variations (thermohaline circulation), Zhou proposed that this particular countercurrent is driven primarily by the topography of an undersea ridge system. According to Zhou's model, the ridge system channels water through narrow gaps, accelerating and redirecting the flow in ways that thermohaline forces alone cannot explain.</w:t>
      </w:r>
    </w:p>
    <w:p>
      <w:pPr>
        <w:spacing w:after="120" w:before="120"/>
      </w:pPr>
      <w:r>
        <w:rPr>
          <w:rFonts w:ascii="Calibri" w:cs="Calibri" w:eastAsia="Calibri" w:hAnsi="Calibri"/>
          <w:b/>
          <w:bCs/>
          <w:sz w:val="22"/>
          <w:szCs w:val="22"/>
        </w:rPr>
        <w:t xml:space="preserve">Which finding, if true, would most directly support Zhou's topography-driven model over the conventional thermohaline explanation?</w:t>
      </w:r>
    </w:p>
    <w:p>
      <w:pPr>
        <w:spacing w:after="60"/>
        <w:ind w:left="480"/>
      </w:pPr>
      <w:r>
        <w:rPr>
          <w:rFonts w:ascii="Calibri" w:cs="Calibri" w:eastAsia="Calibri" w:hAnsi="Calibri"/>
          <w:sz w:val="22"/>
          <w:szCs w:val="22"/>
        </w:rPr>
        <w:t xml:space="preserve">A) Measurements revealed that the temperature and salinity of the water in the countercurrent were nearly identical to those of the surrounding deep water, while the current intensified dramatically where the ridge system narrowed and weakened where the ridge system widened.</w:t>
      </w:r>
    </w:p>
    <w:p>
      <w:pPr>
        <w:spacing w:after="60"/>
        <w:ind w:left="480"/>
      </w:pPr>
      <w:r>
        <w:rPr>
          <w:rFonts w:ascii="Calibri" w:cs="Calibri" w:eastAsia="Calibri" w:hAnsi="Calibri"/>
          <w:sz w:val="22"/>
          <w:szCs w:val="22"/>
        </w:rPr>
        <w:t xml:space="preserve">B) The undersea ridge system in the South Pacific was formed by volcanic activity approximately 20 million years ago and extends for over 3,000 kilometers.</w:t>
      </w:r>
    </w:p>
    <w:p>
      <w:pPr>
        <w:spacing w:after="60"/>
        <w:ind w:left="480"/>
      </w:pPr>
      <w:r>
        <w:rPr>
          <w:rFonts w:ascii="Calibri" w:cs="Calibri" w:eastAsia="Calibri" w:hAnsi="Calibri"/>
          <w:sz w:val="22"/>
          <w:szCs w:val="22"/>
        </w:rPr>
        <w:t xml:space="preserve">C) Satellite-derived measurements of sea surface height in the region showed patterns consistent with deep-water circulation anomalies.</w:t>
      </w:r>
    </w:p>
    <w:p>
      <w:pPr>
        <w:spacing w:after="60"/>
        <w:ind w:left="480"/>
      </w:pPr>
      <w:r>
        <w:rPr>
          <w:rFonts w:ascii="Calibri" w:cs="Calibri" w:eastAsia="Calibri" w:hAnsi="Calibri"/>
          <w:sz w:val="22"/>
          <w:szCs w:val="22"/>
        </w:rPr>
        <w:t xml:space="preserve">D) Other deep-ocean countercurrents in the Atlantic Ocean have been conclusively attributed to thermohaline circulation patterns.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Q38.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Social Science  |  Support</w:t>
      </w:r>
    </w:p>
    <w:p>
      <w:pPr>
        <w:spacing w:after="120"/>
        <w:ind w:left="360"/>
      </w:pPr>
      <w:r>
        <w:rPr>
          <w:rFonts w:ascii="Calibri" w:cs="Calibri" w:eastAsia="Calibri" w:hAnsi="Calibri"/>
          <w:sz w:val="22"/>
          <w:szCs w:val="22"/>
        </w:rPr>
        <w:t xml:space="preserve">Education researcher Nadia Kourani observed that students at a secondary school in Beirut who took notes by hand during lectures performed better on end-of-semester exams than students who typed their notes on laptops. Kourani proposed that handwriting forces students to paraphrase and summarize information in real time—since they cannot write as fast as the lecturer speaks—and this processing leads to deeper understanding and better retention.</w:t>
      </w:r>
    </w:p>
    <w:p>
      <w:pPr>
        <w:spacing w:after="120" w:before="120"/>
      </w:pPr>
      <w:r>
        <w:rPr>
          <w:rFonts w:ascii="Calibri" w:cs="Calibri" w:eastAsia="Calibri" w:hAnsi="Calibri"/>
          <w:b/>
          <w:bCs/>
          <w:sz w:val="22"/>
          <w:szCs w:val="22"/>
        </w:rPr>
        <w:t xml:space="preserve">Which finding, if true, would most directly support Kourani's proposed explanation?</w:t>
      </w:r>
    </w:p>
    <w:p>
      <w:pPr>
        <w:spacing w:after="60"/>
        <w:ind w:left="480"/>
      </w:pPr>
      <w:r>
        <w:rPr>
          <w:rFonts w:ascii="Calibri" w:cs="Calibri" w:eastAsia="Calibri" w:hAnsi="Calibri"/>
          <w:sz w:val="22"/>
          <w:szCs w:val="22"/>
        </w:rPr>
        <w:t xml:space="preserve">A) The average study time reported by both groups in preparation for end-of-semester exams was approximately the same.</w:t>
      </w:r>
    </w:p>
    <w:p>
      <w:pPr>
        <w:spacing w:after="60"/>
        <w:ind w:left="480"/>
      </w:pPr>
      <w:r>
        <w:rPr>
          <w:rFonts w:ascii="Calibri" w:cs="Calibri" w:eastAsia="Calibri" w:hAnsi="Calibri"/>
          <w:sz w:val="22"/>
          <w:szCs w:val="22"/>
        </w:rPr>
        <w:t xml:space="preserve">B) Students who took notes by hand reported that they found the lectures more engaging than students who typed their notes.</w:t>
      </w:r>
    </w:p>
    <w:p>
      <w:pPr>
        <w:spacing w:after="60"/>
        <w:ind w:left="480"/>
      </w:pPr>
      <w:r>
        <w:rPr>
          <w:rFonts w:ascii="Calibri" w:cs="Calibri" w:eastAsia="Calibri" w:hAnsi="Calibri"/>
          <w:sz w:val="22"/>
          <w:szCs w:val="22"/>
        </w:rPr>
        <w:t xml:space="preserve">C) The students who took notes by hand and the students who typed were enrolled in different sections of the same course.</w:t>
      </w:r>
    </w:p>
    <w:p>
      <w:pPr>
        <w:spacing w:after="60"/>
        <w:ind w:left="480"/>
      </w:pPr>
      <w:r>
        <w:rPr>
          <w:rFonts w:ascii="Calibri" w:cs="Calibri" w:eastAsia="Calibri" w:hAnsi="Calibri"/>
          <w:sz w:val="22"/>
          <w:szCs w:val="22"/>
        </w:rPr>
        <w:t xml:space="preserve">D) Analysis of the notes taken by handwriting students showed that they contained fewer verbatim phrases from the lectures and more original summaries compared to the notes taken by laptop users, who tended to transcribe the lecturer's words directly.</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Q39.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Astrobiologist Sandra Kepler analyzed soil samples collected by a rover from a dry lakebed on Mars. The samples contained mineral formations that on Earth are typically produced by microbial activity in shallow water environments. Kepler concluded that the mineral formations constitute evidence that microbial life once existed on Mars.</w:t>
      </w:r>
    </w:p>
    <w:p>
      <w:pPr>
        <w:spacing w:after="120" w:before="120"/>
      </w:pPr>
      <w:r>
        <w:rPr>
          <w:rFonts w:ascii="Calibri" w:cs="Calibri" w:eastAsia="Calibri" w:hAnsi="Calibri"/>
          <w:b/>
          <w:bCs/>
          <w:sz w:val="22"/>
          <w:szCs w:val="22"/>
        </w:rPr>
        <w:t xml:space="preserve">Which choice, if true, would most directly weaken Kepler's conclusion?</w:t>
      </w:r>
    </w:p>
    <w:p>
      <w:pPr>
        <w:spacing w:after="60"/>
        <w:ind w:left="480"/>
      </w:pPr>
      <w:r>
        <w:rPr>
          <w:rFonts w:ascii="Calibri" w:cs="Calibri" w:eastAsia="Calibri" w:hAnsi="Calibri"/>
          <w:sz w:val="22"/>
          <w:szCs w:val="22"/>
        </w:rPr>
        <w:t xml:space="preserve">A) The dry lakebed where the samples were collected is estimated to have contained liquid water approximately 3.5 billion years ago.</w:t>
      </w:r>
    </w:p>
    <w:p>
      <w:pPr>
        <w:spacing w:after="60"/>
        <w:ind w:left="480"/>
      </w:pPr>
      <w:r>
        <w:rPr>
          <w:rFonts w:ascii="Calibri" w:cs="Calibri" w:eastAsia="Calibri" w:hAnsi="Calibri"/>
          <w:sz w:val="22"/>
          <w:szCs w:val="22"/>
        </w:rPr>
        <w:t xml:space="preserve">B) Laboratory experiments demonstrated that the same mineral formations can be produced by purely chemical processes under conditions of high ultraviolet radiation and low atmospheric pressure—conditions that characterize the Martian surface.</w:t>
      </w:r>
    </w:p>
    <w:p>
      <w:pPr>
        <w:spacing w:after="60"/>
        <w:ind w:left="480"/>
      </w:pPr>
      <w:r>
        <w:rPr>
          <w:rFonts w:ascii="Calibri" w:cs="Calibri" w:eastAsia="Calibri" w:hAnsi="Calibri"/>
          <w:sz w:val="22"/>
          <w:szCs w:val="22"/>
        </w:rPr>
        <w:t xml:space="preserve">C) None of the soil samples contained organic carbon compounds, which are considered essential building blocks of life.</w:t>
      </w:r>
    </w:p>
    <w:p>
      <w:pPr>
        <w:spacing w:after="60"/>
        <w:ind w:left="480"/>
      </w:pPr>
      <w:r>
        <w:rPr>
          <w:rFonts w:ascii="Calibri" w:cs="Calibri" w:eastAsia="Calibri" w:hAnsi="Calibri"/>
          <w:sz w:val="22"/>
          <w:szCs w:val="22"/>
        </w:rPr>
        <w:t xml:space="preserve">D) Mineral formations produced by microbial activity on Earth have been found in a wide range of environments, including hot springs, ocean floors, and desert lakes.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Q40.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Social Science  |  Support</w:t>
      </w:r>
    </w:p>
    <w:p>
      <w:pPr>
        <w:spacing w:after="120"/>
        <w:ind w:left="360"/>
      </w:pPr>
      <w:r>
        <w:rPr>
          <w:rFonts w:ascii="Calibri" w:cs="Calibri" w:eastAsia="Calibri" w:hAnsi="Calibri"/>
          <w:sz w:val="22"/>
          <w:szCs w:val="22"/>
        </w:rPr>
        <w:t xml:space="preserve">Sociologist Fatou Diallo studied the effects of microfinance loans on women's economic empowerment in rural Senegal. Diallo found that women who received microfinance loans were more likely to report making independent household spending decisions five years later than women who did not receive loans. However, some scholars have argued that the observed difference is due to self-selection: women who seek out microfinance loans may already possess traits—such as higher self-confidence or ambition—that predispose them to greater economic autonomy, regardless of whether they receive a loan.</w:t>
      </w:r>
    </w:p>
    <w:p>
      <w:pPr>
        <w:spacing w:after="120" w:before="120"/>
      </w:pPr>
      <w:r>
        <w:rPr>
          <w:rFonts w:ascii="Calibri" w:cs="Calibri" w:eastAsia="Calibri" w:hAnsi="Calibri"/>
          <w:b/>
          <w:bCs/>
          <w:sz w:val="22"/>
          <w:szCs w:val="22"/>
        </w:rPr>
        <w:t xml:space="preserve">Which finding, if true, would most directly support Diallo's conclusion that the loans themselves contributed to women's economic empowerment, rather than the self-selection explanation?</w:t>
      </w:r>
    </w:p>
    <w:p>
      <w:pPr>
        <w:spacing w:after="60"/>
        <w:ind w:left="480"/>
      </w:pPr>
      <w:r>
        <w:rPr>
          <w:rFonts w:ascii="Calibri" w:cs="Calibri" w:eastAsia="Calibri" w:hAnsi="Calibri"/>
          <w:sz w:val="22"/>
          <w:szCs w:val="22"/>
        </w:rPr>
        <w:t xml:space="preserve">A) The microfinance organization that provided the loans also offered financial literacy workshops to all loan recipients.</w:t>
      </w:r>
    </w:p>
    <w:p>
      <w:pPr>
        <w:spacing w:after="60"/>
        <w:ind w:left="480"/>
      </w:pPr>
      <w:r>
        <w:rPr>
          <w:rFonts w:ascii="Calibri" w:cs="Calibri" w:eastAsia="Calibri" w:hAnsi="Calibri"/>
          <w:sz w:val="22"/>
          <w:szCs w:val="22"/>
        </w:rPr>
        <w:t xml:space="preserve">B) Women who received loans were more likely to have attended primary school than women who did not receive loans.</w:t>
      </w:r>
    </w:p>
    <w:p>
      <w:pPr>
        <w:spacing w:after="60"/>
        <w:ind w:left="480"/>
      </w:pPr>
      <w:r>
        <w:rPr>
          <w:rFonts w:ascii="Calibri" w:cs="Calibri" w:eastAsia="Calibri" w:hAnsi="Calibri"/>
          <w:sz w:val="22"/>
          <w:szCs w:val="22"/>
        </w:rPr>
        <w:t xml:space="preserve">C) Among women who applied for microfinance loans, those whose applications were approved and who received loans showed significantly greater increases in independent decision-making than those whose applications were rejected due to administrative capacity constraints unrelated to the applicants' characteristics.</w:t>
      </w:r>
    </w:p>
    <w:p>
      <w:pPr>
        <w:spacing w:after="60"/>
        <w:ind w:left="480"/>
      </w:pPr>
      <w:r>
        <w:rPr>
          <w:rFonts w:ascii="Calibri" w:cs="Calibri" w:eastAsia="Calibri" w:hAnsi="Calibri"/>
          <w:sz w:val="22"/>
          <w:szCs w:val="22"/>
        </w:rPr>
        <w:t xml:space="preserve">D) Women who received larger loans showed greater gains in independent decision-making than women who received smaller loans.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Q41.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Agronomist David Park conducted a two-year field study comparing crop yields on farms that used synthetic fertilizers with farms that used organic compost. Park found that farms using organic compost produced 15% higher yields of tomatoes per hectare. Park concluded that organic compost is more effective than synthetic fertilizers at increasing tomato crop yields.</w:t>
      </w:r>
    </w:p>
    <w:p>
      <w:pPr>
        <w:spacing w:after="120" w:before="120"/>
      </w:pPr>
      <w:r>
        <w:rPr>
          <w:rFonts w:ascii="Calibri" w:cs="Calibri" w:eastAsia="Calibri" w:hAnsi="Calibri"/>
          <w:b/>
          <w:bCs/>
          <w:sz w:val="22"/>
          <w:szCs w:val="22"/>
        </w:rPr>
        <w:t xml:space="preserve">Which finding, if true, would most directly weaken Park's conclusion?</w:t>
      </w:r>
    </w:p>
    <w:p>
      <w:pPr>
        <w:spacing w:after="60"/>
        <w:ind w:left="480"/>
      </w:pPr>
      <w:r>
        <w:rPr>
          <w:rFonts w:ascii="Calibri" w:cs="Calibri" w:eastAsia="Calibri" w:hAnsi="Calibri"/>
          <w:sz w:val="22"/>
          <w:szCs w:val="22"/>
        </w:rPr>
        <w:t xml:space="preserve">A) The farms using organic compost were located in a region with richer natural soil and more favorable rainfall patterns than the farms using synthetic fertilizers.</w:t>
      </w:r>
    </w:p>
    <w:p>
      <w:pPr>
        <w:spacing w:after="60"/>
        <w:ind w:left="480"/>
      </w:pPr>
      <w:r>
        <w:rPr>
          <w:rFonts w:ascii="Calibri" w:cs="Calibri" w:eastAsia="Calibri" w:hAnsi="Calibri"/>
          <w:sz w:val="22"/>
          <w:szCs w:val="22"/>
        </w:rPr>
        <w:t xml:space="preserve">B) Park's study was funded by a regional agricultural cooperative that promotes organic farming methods.</w:t>
      </w:r>
    </w:p>
    <w:p>
      <w:pPr>
        <w:spacing w:after="60"/>
        <w:ind w:left="480"/>
      </w:pPr>
      <w:r>
        <w:rPr>
          <w:rFonts w:ascii="Calibri" w:cs="Calibri" w:eastAsia="Calibri" w:hAnsi="Calibri"/>
          <w:sz w:val="22"/>
          <w:szCs w:val="22"/>
        </w:rPr>
        <w:t xml:space="preserve">C) Organic compost is more expensive per unit than synthetic fertilizer in most agricultural markets.</w:t>
      </w:r>
    </w:p>
    <w:p>
      <w:pPr>
        <w:spacing w:after="60"/>
        <w:ind w:left="480"/>
      </w:pPr>
      <w:r>
        <w:rPr>
          <w:rFonts w:ascii="Calibri" w:cs="Calibri" w:eastAsia="Calibri" w:hAnsi="Calibri"/>
          <w:sz w:val="22"/>
          <w:szCs w:val="22"/>
        </w:rPr>
        <w:t xml:space="preserve">D) The farms using synthetic fertilizers had been in operation for an average of ten years longer than the farms using organic compost.</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Q42.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Social Science  |  Support</w:t>
      </w:r>
    </w:p>
    <w:p>
      <w:pPr>
        <w:spacing w:after="120"/>
        <w:ind w:left="360"/>
      </w:pPr>
      <w:r>
        <w:rPr>
          <w:rFonts w:ascii="Calibri" w:cs="Calibri" w:eastAsia="Calibri" w:hAnsi="Calibri"/>
          <w:sz w:val="22"/>
          <w:szCs w:val="22"/>
        </w:rPr>
        <w:t xml:space="preserve">Sociologist Ren Watanabe examined patterns of charitable giving among residents of a large Japanese city. Watanabe found that residents who reported having at least three close friends in their neighborhood donated an average of 40% more to local charities than residents who reported having fewer than three close neighborhood friends. Watanabe proposed that strong local social networks increase charitable giving because individuals feel greater social pressure to contribute when their peers are also contributing and can observe their behavior.</w:t>
      </w:r>
    </w:p>
    <w:p>
      <w:pPr>
        <w:spacing w:after="120" w:before="120"/>
      </w:pPr>
      <w:r>
        <w:rPr>
          <w:rFonts w:ascii="Calibri" w:cs="Calibri" w:eastAsia="Calibri" w:hAnsi="Calibri"/>
          <w:b/>
          <w:bCs/>
          <w:sz w:val="22"/>
          <w:szCs w:val="22"/>
        </w:rPr>
        <w:t xml:space="preserve">Which statement, if true, would most strongly support Watanabe's proposed explanation?</w:t>
      </w:r>
    </w:p>
    <w:p>
      <w:pPr>
        <w:spacing w:after="60"/>
        <w:ind w:left="480"/>
      </w:pPr>
      <w:r>
        <w:rPr>
          <w:rFonts w:ascii="Calibri" w:cs="Calibri" w:eastAsia="Calibri" w:hAnsi="Calibri"/>
          <w:sz w:val="22"/>
          <w:szCs w:val="22"/>
        </w:rPr>
        <w:t xml:space="preserve">A) Residents who reported having at least three close friends in their neighborhood also reported higher household incomes than those with fewer neighborhood friends.</w:t>
      </w:r>
    </w:p>
    <w:p>
      <w:pPr>
        <w:spacing w:after="60"/>
        <w:ind w:left="480"/>
      </w:pPr>
      <w:r>
        <w:rPr>
          <w:rFonts w:ascii="Calibri" w:cs="Calibri" w:eastAsia="Calibri" w:hAnsi="Calibri"/>
          <w:sz w:val="22"/>
          <w:szCs w:val="22"/>
        </w:rPr>
        <w:t xml:space="preserve">B) The local charities that received the most donations were those that had been operating in the community for the longest period of time.</w:t>
      </w:r>
    </w:p>
    <w:p>
      <w:pPr>
        <w:spacing w:after="60"/>
        <w:ind w:left="480"/>
      </w:pPr>
      <w:r>
        <w:rPr>
          <w:rFonts w:ascii="Calibri" w:cs="Calibri" w:eastAsia="Calibri" w:hAnsi="Calibri"/>
          <w:sz w:val="22"/>
          <w:szCs w:val="22"/>
        </w:rPr>
        <w:t xml:space="preserve">C) Residents who had recently moved to the neighborhood donated less to local charities on average than long-term residents, regardless of their number of close friends.</w:t>
      </w:r>
    </w:p>
    <w:p>
      <w:pPr>
        <w:spacing w:after="60"/>
        <w:ind w:left="480"/>
      </w:pPr>
      <w:r>
        <w:rPr>
          <w:rFonts w:ascii="Calibri" w:cs="Calibri" w:eastAsia="Calibri" w:hAnsi="Calibri"/>
          <w:sz w:val="22"/>
          <w:szCs w:val="22"/>
        </w:rPr>
        <w:t xml:space="preserve">D) Residents with strong local social networks donated more to local charities—where their contributions would be visible to neighbors—but showed no difference in donations to anonymous online charitable campaigns compared to residents with weaker networks.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Q43.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Neuroscientist Arjun Malhotra studied patients with damage to the anterior cingulate cortex (ACC), a brain region associated with error monitoring and conflict resolution. Malhotra found that patients with ACC damage performed normally on simple decision-making tasks but showed significant impairment on tasks requiring them to override a habitual response in favor of an alternative response. Malhotra concluded that the ACC is essential specifically for cognitive control—the ability to suppress automatic responses and execute goal-directed behavior—rather than for general decision-making.</w:t>
      </w:r>
    </w:p>
    <w:p>
      <w:pPr>
        <w:spacing w:after="120" w:before="120"/>
      </w:pPr>
      <w:r>
        <w:rPr>
          <w:rFonts w:ascii="Calibri" w:cs="Calibri" w:eastAsia="Calibri" w:hAnsi="Calibri"/>
          <w:b/>
          <w:bCs/>
          <w:sz w:val="22"/>
          <w:szCs w:val="22"/>
        </w:rPr>
        <w:t xml:space="preserve">Which finding, if true, would most directly weaken Malhotra's conclusion?</w:t>
      </w:r>
    </w:p>
    <w:p>
      <w:pPr>
        <w:spacing w:after="60"/>
        <w:ind w:left="480"/>
      </w:pPr>
      <w:r>
        <w:rPr>
          <w:rFonts w:ascii="Calibri" w:cs="Calibri" w:eastAsia="Calibri" w:hAnsi="Calibri"/>
          <w:sz w:val="22"/>
          <w:szCs w:val="22"/>
        </w:rPr>
        <w:t xml:space="preserve">A) The tasks requiring override of habitual responses were significantly more difficult than the simple decision-making tasks, as measured by the performance of healthy control participants.</w:t>
      </w:r>
    </w:p>
    <w:p>
      <w:pPr>
        <w:spacing w:after="60"/>
        <w:ind w:left="480"/>
      </w:pPr>
      <w:r>
        <w:rPr>
          <w:rFonts w:ascii="Calibri" w:cs="Calibri" w:eastAsia="Calibri" w:hAnsi="Calibri"/>
          <w:sz w:val="22"/>
          <w:szCs w:val="22"/>
        </w:rPr>
        <w:t xml:space="preserve">B) Patients with ACC damage also showed impairment on attention tasks that did not require overriding habitual responses but instead required sustained focus over long periods.</w:t>
      </w:r>
    </w:p>
    <w:p>
      <w:pPr>
        <w:spacing w:after="60"/>
        <w:ind w:left="480"/>
      </w:pPr>
      <w:r>
        <w:rPr>
          <w:rFonts w:ascii="Calibri" w:cs="Calibri" w:eastAsia="Calibri" w:hAnsi="Calibri"/>
          <w:sz w:val="22"/>
          <w:szCs w:val="22"/>
        </w:rPr>
        <w:t xml:space="preserve">C) Other brain regions, including the dorsolateral prefrontal cortex, have also been associated with cognitive control functions.</w:t>
      </w:r>
    </w:p>
    <w:p>
      <w:pPr>
        <w:spacing w:after="60"/>
        <w:ind w:left="480"/>
      </w:pPr>
      <w:r>
        <w:rPr>
          <w:rFonts w:ascii="Calibri" w:cs="Calibri" w:eastAsia="Calibri" w:hAnsi="Calibri"/>
          <w:sz w:val="22"/>
          <w:szCs w:val="22"/>
        </w:rPr>
        <w:t xml:space="preserve">D) Neuroimaging studies of healthy individuals showed that the ACC was activated during both simple decision-making tasks and tasks requiring cognitive control, with no significant difference in activation levels between the two task types.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Q44. </w:t>
      </w:r>
      <w:r>
        <w:rPr>
          <w:rFonts w:ascii="Calibri" w:cs="Calibri" w:eastAsia="Calibri" w:hAnsi="Calibri"/>
          <w:b/>
          <w:bCs/>
          <w:color w:val="2E8B57"/>
          <w:sz w:val="22"/>
          <w:szCs w:val="22"/>
        </w:rPr>
        <w:t xml:space="preserve">[Easy]</w:t>
      </w:r>
      <w:r>
        <w:rPr>
          <w:rFonts w:ascii="Calibri" w:cs="Calibri" w:eastAsia="Calibri" w:hAnsi="Calibri"/>
          <w:color w:val="666666"/>
          <w:sz w:val="20"/>
          <w:szCs w:val="20"/>
        </w:rPr>
        <w:t xml:space="preserve">  |  History  |  Support</w:t>
      </w:r>
    </w:p>
    <w:p>
      <w:pPr>
        <w:spacing w:after="120"/>
        <w:ind w:left="360"/>
      </w:pPr>
      <w:r>
        <w:rPr>
          <w:rFonts w:ascii="Calibri" w:cs="Calibri" w:eastAsia="Calibri" w:hAnsi="Calibri"/>
          <w:sz w:val="22"/>
          <w:szCs w:val="22"/>
        </w:rPr>
        <w:t xml:space="preserve">Archaeologist Nina Kowalski excavated a workshop site in southern Poland dated to the Bronze Age, approximately 1500 BCE. The workshop contained dozens of stone molds used for casting bronze tools and jewelry. Kowalski observed that the molds included designs for items that were common in both Central European and Mediterranean styles. Kowalski proposed that the workshop produced goods for long-distance trade between Central Europe and the Mediterranean world.</w:t>
      </w:r>
    </w:p>
    <w:p>
      <w:pPr>
        <w:spacing w:after="120" w:before="120"/>
      </w:pPr>
      <w:r>
        <w:rPr>
          <w:rFonts w:ascii="Calibri" w:cs="Calibri" w:eastAsia="Calibri" w:hAnsi="Calibri"/>
          <w:b/>
          <w:bCs/>
          <w:sz w:val="22"/>
          <w:szCs w:val="22"/>
        </w:rPr>
        <w:t xml:space="preserve">Which finding, if true, would most directly support Kowalski's proposal?</w:t>
      </w:r>
    </w:p>
    <w:p>
      <w:pPr>
        <w:spacing w:after="60"/>
        <w:ind w:left="480"/>
      </w:pPr>
      <w:r>
        <w:rPr>
          <w:rFonts w:ascii="Calibri" w:cs="Calibri" w:eastAsia="Calibri" w:hAnsi="Calibri"/>
          <w:sz w:val="22"/>
          <w:szCs w:val="22"/>
        </w:rPr>
        <w:t xml:space="preserve">A) The workshop contained evidence of both bronze casting and pottery production, suggesting a diversified manufacturing operation.</w:t>
      </w:r>
    </w:p>
    <w:p>
      <w:pPr>
        <w:spacing w:after="60"/>
        <w:ind w:left="480"/>
      </w:pPr>
      <w:r>
        <w:rPr>
          <w:rFonts w:ascii="Calibri" w:cs="Calibri" w:eastAsia="Calibri" w:hAnsi="Calibri"/>
          <w:sz w:val="22"/>
          <w:szCs w:val="22"/>
        </w:rPr>
        <w:t xml:space="preserve">B) The workshop site was located near a river that could have been used for transportation during the Bronze Age.</w:t>
      </w:r>
    </w:p>
    <w:p>
      <w:pPr>
        <w:spacing w:after="60"/>
        <w:ind w:left="480"/>
      </w:pPr>
      <w:r>
        <w:rPr>
          <w:rFonts w:ascii="Calibri" w:cs="Calibri" w:eastAsia="Calibri" w:hAnsi="Calibri"/>
          <w:sz w:val="22"/>
          <w:szCs w:val="22"/>
        </w:rPr>
        <w:t xml:space="preserve">C) Chemical analysis of bronze artifacts matching the mold designs was found at archaeological sites in both Germany and coastal Greece, and the metal composition of these artifacts matched tin and copper sources local to southern Poland.</w:t>
      </w:r>
    </w:p>
    <w:p>
      <w:pPr>
        <w:spacing w:after="60"/>
        <w:ind w:left="480"/>
      </w:pPr>
      <w:r>
        <w:rPr>
          <w:rFonts w:ascii="Calibri" w:cs="Calibri" w:eastAsia="Calibri" w:hAnsi="Calibri"/>
          <w:sz w:val="22"/>
          <w:szCs w:val="22"/>
        </w:rPr>
        <w:t xml:space="preserve">D) Other Bronze Age workshop sites in Central Europe have produced molds of similar quality and complexity.</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Q45.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Weaken</w:t>
      </w:r>
    </w:p>
    <w:p>
      <w:pPr>
        <w:spacing w:after="120"/>
        <w:ind w:left="360"/>
      </w:pPr>
      <w:r>
        <w:rPr>
          <w:rFonts w:ascii="Calibri" w:cs="Calibri" w:eastAsia="Calibri" w:hAnsi="Calibri"/>
          <w:sz w:val="22"/>
          <w:szCs w:val="22"/>
        </w:rPr>
        <w:t xml:space="preserve">Ecologist Petra Olsson studied wolf pack dynamics in a remote region of northern Canada. Olsson observed that pack size was positively correlated with territory size—larger packs controlled larger territories. Olsson concluded that larger packs are more effective at defending territory against rival packs, enabling them to maintain control over greater areas.</w:t>
      </w:r>
    </w:p>
    <w:p>
      <w:pPr>
        <w:spacing w:after="120" w:before="120"/>
      </w:pPr>
      <w:r>
        <w:rPr>
          <w:rFonts w:ascii="Calibri" w:cs="Calibri" w:eastAsia="Calibri" w:hAnsi="Calibri"/>
          <w:b/>
          <w:bCs/>
          <w:sz w:val="22"/>
          <w:szCs w:val="22"/>
        </w:rPr>
        <w:t xml:space="preserve">Which finding, if true, would most directly weaken Olsson's conclusion?</w:t>
      </w:r>
    </w:p>
    <w:p>
      <w:pPr>
        <w:spacing w:after="60"/>
        <w:ind w:left="480"/>
      </w:pPr>
      <w:r>
        <w:rPr>
          <w:rFonts w:ascii="Calibri" w:cs="Calibri" w:eastAsia="Calibri" w:hAnsi="Calibri"/>
          <w:sz w:val="22"/>
          <w:szCs w:val="22"/>
        </w:rPr>
        <w:t xml:space="preserve">A) Larger territories contained proportionally more prey animals per square kilometer than smaller territories, and packs in larger territories had higher reproductive rates, leading to naturally larger pack sizes over time.</w:t>
      </w:r>
    </w:p>
    <w:p>
      <w:pPr>
        <w:spacing w:after="60"/>
        <w:ind w:left="480"/>
      </w:pPr>
      <w:r>
        <w:rPr>
          <w:rFonts w:ascii="Calibri" w:cs="Calibri" w:eastAsia="Calibri" w:hAnsi="Calibri"/>
          <w:sz w:val="22"/>
          <w:szCs w:val="22"/>
        </w:rPr>
        <w:t xml:space="preserve">B) Wolf packs in the study region occasionally split into smaller groups during the summer months before reuniting in autumn.</w:t>
      </w:r>
    </w:p>
    <w:p>
      <w:pPr>
        <w:spacing w:after="60"/>
        <w:ind w:left="480"/>
      </w:pPr>
      <w:r>
        <w:rPr>
          <w:rFonts w:ascii="Calibri" w:cs="Calibri" w:eastAsia="Calibri" w:hAnsi="Calibri"/>
          <w:sz w:val="22"/>
          <w:szCs w:val="22"/>
        </w:rPr>
        <w:t xml:space="preserve">C) The largest wolf pack in the study had 14 members and controlled a territory of approximately 2,500 square kilometers.</w:t>
      </w:r>
    </w:p>
    <w:p>
      <w:pPr>
        <w:spacing w:after="60"/>
        <w:ind w:left="480"/>
      </w:pPr>
      <w:r>
        <w:rPr>
          <w:rFonts w:ascii="Calibri" w:cs="Calibri" w:eastAsia="Calibri" w:hAnsi="Calibri"/>
          <w:sz w:val="22"/>
          <w:szCs w:val="22"/>
        </w:rPr>
        <w:t xml:space="preserve">D) Rival wolf packs were observed engaging in territorial disputes along boundary areas regardless of the size of either pack involved.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Q46.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Political scientist Irina Volkov analyzed data from a longitudinal study of voter behavior across three election cycles in an Eastern European country. Volkov found that voters who consumed their news primarily from social media were 25% more likely to vote for populist candidates than voters who relied primarily on traditional media sources such as newspapers and television. Volkov concluded that social media algorithms, which tend to amplify emotionally charged and sensationalized content, are a causal factor in the rise of populist support because they expose users to a disproportionate volume of populist messaging.</w:t>
      </w:r>
    </w:p>
    <w:p>
      <w:pPr>
        <w:spacing w:after="120" w:before="120"/>
      </w:pPr>
      <w:r>
        <w:rPr>
          <w:rFonts w:ascii="Calibri" w:cs="Calibri" w:eastAsia="Calibri" w:hAnsi="Calibri"/>
          <w:b/>
          <w:bCs/>
          <w:sz w:val="22"/>
          <w:szCs w:val="22"/>
        </w:rPr>
        <w:t xml:space="preserve">Which finding, if true, would most directly weaken Volkov's conclusion?</w:t>
      </w:r>
    </w:p>
    <w:p>
      <w:pPr>
        <w:spacing w:after="60"/>
        <w:ind w:left="480"/>
      </w:pPr>
      <w:r>
        <w:rPr>
          <w:rFonts w:ascii="Calibri" w:cs="Calibri" w:eastAsia="Calibri" w:hAnsi="Calibri"/>
          <w:sz w:val="22"/>
          <w:szCs w:val="22"/>
        </w:rPr>
        <w:t xml:space="preserve">A) Voters who consumed news from both social media and traditional media in roughly equal proportions voted for populist candidates at rates similar to those of traditional-media-only voters.</w:t>
      </w:r>
    </w:p>
    <w:p>
      <w:pPr>
        <w:spacing w:after="60"/>
        <w:ind w:left="480"/>
      </w:pPr>
      <w:r>
        <w:rPr>
          <w:rFonts w:ascii="Calibri" w:cs="Calibri" w:eastAsia="Calibri" w:hAnsi="Calibri"/>
          <w:sz w:val="22"/>
          <w:szCs w:val="22"/>
        </w:rPr>
        <w:t xml:space="preserve">B) In a neighboring country with similar social media usage patterns, populist candidates received a declining share of the vote over the same three election cycles.</w:t>
      </w:r>
    </w:p>
    <w:p>
      <w:pPr>
        <w:spacing w:after="60"/>
        <w:ind w:left="480"/>
      </w:pPr>
      <w:r>
        <w:rPr>
          <w:rFonts w:ascii="Calibri" w:cs="Calibri" w:eastAsia="Calibri" w:hAnsi="Calibri"/>
          <w:sz w:val="22"/>
          <w:szCs w:val="22"/>
        </w:rPr>
        <w:t xml:space="preserve">C) Populist candidates in the study country invested more heavily in social media advertising campaigns than non-populist candidates during all three election cycles.</w:t>
      </w:r>
    </w:p>
    <w:p>
      <w:pPr>
        <w:spacing w:after="60"/>
        <w:ind w:left="480"/>
      </w:pPr>
      <w:r>
        <w:rPr>
          <w:rFonts w:ascii="Calibri" w:cs="Calibri" w:eastAsia="Calibri" w:hAnsi="Calibri"/>
          <w:sz w:val="22"/>
          <w:szCs w:val="22"/>
        </w:rPr>
        <w:t xml:space="preserve">D) Analysis of the social media feeds of study participants showed that the volume and proportion of populist content in their feeds did not differ significantly from the proportion of populist content in traditional media sources during the same period.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Q47.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Climatologist Ana Ribeiro studied tree-ring data from ancient bristlecone pines in the White Mountains of eastern California to reconstruct temperature patterns over the past 4,000 years. Ribeiro identified a period of unusually warm temperatures between 800 and 1100 CE, which she labeled the "Western Medieval Warm Period." Ribeiro proposed that this warm period was driven by increased solar irradiance rather than volcanic or ocean-current variability.</w:t>
      </w:r>
    </w:p>
    <w:p>
      <w:pPr>
        <w:spacing w:after="120" w:before="120"/>
      </w:pPr>
      <w:r>
        <w:rPr>
          <w:rFonts w:ascii="Calibri" w:cs="Calibri" w:eastAsia="Calibri" w:hAnsi="Calibri"/>
          <w:b/>
          <w:bCs/>
          <w:sz w:val="22"/>
          <w:szCs w:val="22"/>
        </w:rPr>
        <w:t xml:space="preserve">Which finding from the researchers' analysis, if true, would support Ribeiro's proposed explanation?</w:t>
      </w:r>
    </w:p>
    <w:p>
      <w:pPr>
        <w:spacing w:after="60"/>
        <w:ind w:left="480"/>
      </w:pPr>
      <w:r>
        <w:rPr>
          <w:rFonts w:ascii="Calibri" w:cs="Calibri" w:eastAsia="Calibri" w:hAnsi="Calibri"/>
          <w:sz w:val="22"/>
          <w:szCs w:val="22"/>
        </w:rPr>
        <w:t xml:space="preserve">A) A major volcanic eruption in Indonesia occurred in approximately 1258 CE, causing a documented period of global cooling.</w:t>
      </w:r>
    </w:p>
    <w:p>
      <w:pPr>
        <w:spacing w:after="60"/>
        <w:ind w:left="480"/>
      </w:pPr>
      <w:r>
        <w:rPr>
          <w:rFonts w:ascii="Calibri" w:cs="Calibri" w:eastAsia="Calibri" w:hAnsi="Calibri"/>
          <w:sz w:val="22"/>
          <w:szCs w:val="22"/>
        </w:rPr>
        <w:t xml:space="preserve">B) Ice-core data from Greenland showed elevated concentrations of beryllium-10, an isotope produced by solar cosmic rays, during the 800–1100 CE period, indicating higher-than-average solar activity during that interval.</w:t>
      </w:r>
    </w:p>
    <w:p>
      <w:pPr>
        <w:spacing w:after="60"/>
        <w:ind w:left="480"/>
      </w:pPr>
      <w:r>
        <w:rPr>
          <w:rFonts w:ascii="Calibri" w:cs="Calibri" w:eastAsia="Calibri" w:hAnsi="Calibri"/>
          <w:sz w:val="22"/>
          <w:szCs w:val="22"/>
        </w:rPr>
        <w:t xml:space="preserve">C) The 800–1100 CE warm period corresponded with a period of increased agricultural productivity in medieval Europe.</w:t>
      </w:r>
    </w:p>
    <w:p>
      <w:pPr>
        <w:spacing w:after="60"/>
        <w:ind w:left="480"/>
      </w:pPr>
      <w:r>
        <w:rPr>
          <w:rFonts w:ascii="Calibri" w:cs="Calibri" w:eastAsia="Calibri" w:hAnsi="Calibri"/>
          <w:sz w:val="22"/>
          <w:szCs w:val="22"/>
        </w:rPr>
        <w:t xml:space="preserve">D) Tree-ring data from other mountain ranges in western North America confirmed the existence of a warm period between 800 and 1100 CE.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Q48.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History  |  Weaken</w:t>
      </w:r>
    </w:p>
    <w:p>
      <w:pPr>
        <w:spacing w:after="120"/>
        <w:ind w:left="360"/>
      </w:pPr>
      <w:r>
        <w:rPr>
          <w:rFonts w:ascii="Calibri" w:cs="Calibri" w:eastAsia="Calibri" w:hAnsi="Calibri"/>
          <w:sz w:val="22"/>
          <w:szCs w:val="22"/>
        </w:rPr>
        <w:t xml:space="preserve">Historian Rebecca Nsiah studied records of textile production in pre-colonial Ghana and found that certain villages specialized in producing distinct types of kente cloth. Nsiah observed that villages located along major rivers produced cloth with more complex patterns than villages farther from rivers. Nsiah concluded that proximity to rivers facilitated access to a wider variety of dye-producing plants, enabling weavers in riverside villages to create more intricate and colorful designs.</w:t>
      </w:r>
    </w:p>
    <w:p>
      <w:pPr>
        <w:spacing w:after="120" w:before="120"/>
      </w:pPr>
      <w:r>
        <w:rPr>
          <w:rFonts w:ascii="Calibri" w:cs="Calibri" w:eastAsia="Calibri" w:hAnsi="Calibri"/>
          <w:b/>
          <w:bCs/>
          <w:sz w:val="22"/>
          <w:szCs w:val="22"/>
        </w:rPr>
        <w:t xml:space="preserve">Which finding, if true, would most directly weaken the conclusion about textile production that is presented in the text?</w:t>
      </w:r>
    </w:p>
    <w:p>
      <w:pPr>
        <w:spacing w:after="60"/>
        <w:ind w:left="480"/>
      </w:pPr>
      <w:r>
        <w:rPr>
          <w:rFonts w:ascii="Calibri" w:cs="Calibri" w:eastAsia="Calibri" w:hAnsi="Calibri"/>
          <w:sz w:val="22"/>
          <w:szCs w:val="22"/>
        </w:rPr>
        <w:t xml:space="preserve">A) Rivers in the region were important trade routes that connected villages to larger commercial centers.</w:t>
      </w:r>
    </w:p>
    <w:p>
      <w:pPr>
        <w:spacing w:after="60"/>
        <w:ind w:left="480"/>
      </w:pPr>
      <w:r>
        <w:rPr>
          <w:rFonts w:ascii="Calibri" w:cs="Calibri" w:eastAsia="Calibri" w:hAnsi="Calibri"/>
          <w:sz w:val="22"/>
          <w:szCs w:val="22"/>
        </w:rPr>
        <w:t xml:space="preserve">B) The tradition of kente weaving in Ghana has been recognized by UNESCO as an intangible cultural heritage.</w:t>
      </w:r>
    </w:p>
    <w:p>
      <w:pPr>
        <w:spacing w:after="60"/>
        <w:ind w:left="480"/>
      </w:pPr>
      <w:r>
        <w:rPr>
          <w:rFonts w:ascii="Calibri" w:cs="Calibri" w:eastAsia="Calibri" w:hAnsi="Calibri"/>
          <w:sz w:val="22"/>
          <w:szCs w:val="22"/>
        </w:rPr>
        <w:t xml:space="preserve">C) The more complex cloth patterns produced in riverside villages relied on geometric intricacy rather than color variety, and the number of distinct dye colors used was the same in both riverside and non-riverside villages.</w:t>
      </w:r>
    </w:p>
    <w:p>
      <w:pPr>
        <w:spacing w:after="60"/>
        <w:ind w:left="480"/>
      </w:pPr>
      <w:r>
        <w:rPr>
          <w:rFonts w:ascii="Calibri" w:cs="Calibri" w:eastAsia="Calibri" w:hAnsi="Calibri"/>
          <w:sz w:val="22"/>
          <w:szCs w:val="22"/>
        </w:rPr>
        <w:t xml:space="preserve">D) Non-riverside villages tended to have smaller populations than riverside villages during the pre-colonial period.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Q49. </w:t>
      </w:r>
      <w:r>
        <w:rPr>
          <w:rFonts w:ascii="Calibri" w:cs="Calibri" w:eastAsia="Calibri" w:hAnsi="Calibri"/>
          <w:b/>
          <w:bCs/>
          <w:color w:val="D4A017"/>
          <w:sz w:val="22"/>
          <w:szCs w:val="22"/>
        </w:rPr>
        <w:t xml:space="preserve">[Medium]</w:t>
      </w:r>
      <w:r>
        <w:rPr>
          <w:rFonts w:ascii="Calibri" w:cs="Calibri" w:eastAsia="Calibri" w:hAnsi="Calibri"/>
          <w:color w:val="666666"/>
          <w:sz w:val="20"/>
          <w:szCs w:val="20"/>
        </w:rPr>
        <w:t xml:space="preserve">  |  Science  |  Support</w:t>
      </w:r>
    </w:p>
    <w:p>
      <w:pPr>
        <w:spacing w:after="120"/>
        <w:ind w:left="360"/>
      </w:pPr>
      <w:r>
        <w:rPr>
          <w:rFonts w:ascii="Calibri" w:cs="Calibri" w:eastAsia="Calibri" w:hAnsi="Calibri"/>
          <w:sz w:val="22"/>
          <w:szCs w:val="22"/>
        </w:rPr>
        <w:t xml:space="preserve">Immunologist Grace Oyelaran investigated why certain individuals exposed to a novel respiratory virus remained asymptomatic while others developed severe illness. Oyelaran found that asymptomatic individuals had significantly higher levels of cross-reactive T-cells—immune cells that had been trained by previous infections with related but distinct viruses. Oyelaran proposed that these pre-existing cross-reactive T-cells provided partial immunity by recognizing and attacking the novel virus before it could establish a severe infection.</w:t>
      </w:r>
    </w:p>
    <w:p>
      <w:pPr>
        <w:spacing w:after="120" w:before="120"/>
      </w:pPr>
      <w:r>
        <w:rPr>
          <w:rFonts w:ascii="Calibri" w:cs="Calibri" w:eastAsia="Calibri" w:hAnsi="Calibri"/>
          <w:b/>
          <w:bCs/>
          <w:sz w:val="22"/>
          <w:szCs w:val="22"/>
        </w:rPr>
        <w:t xml:space="preserve">Which finding, if true, would most directly support Oyelaran's proposal?</w:t>
      </w:r>
    </w:p>
    <w:p>
      <w:pPr>
        <w:spacing w:after="60"/>
        <w:ind w:left="480"/>
      </w:pPr>
      <w:r>
        <w:rPr>
          <w:rFonts w:ascii="Calibri" w:cs="Calibri" w:eastAsia="Calibri" w:hAnsi="Calibri"/>
          <w:sz w:val="22"/>
          <w:szCs w:val="22"/>
        </w:rPr>
        <w:t xml:space="preserve">A) In laboratory experiments, cross-reactive T-cells extracted from asymptomatic individuals were able to identify and destroy cells infected with the novel virus, while T-cells from symptomatic individuals showed no such response.</w:t>
      </w:r>
    </w:p>
    <w:p>
      <w:pPr>
        <w:spacing w:after="60"/>
        <w:ind w:left="480"/>
      </w:pPr>
      <w:r>
        <w:rPr>
          <w:rFonts w:ascii="Calibri" w:cs="Calibri" w:eastAsia="Calibri" w:hAnsi="Calibri"/>
          <w:sz w:val="22"/>
          <w:szCs w:val="22"/>
        </w:rPr>
        <w:t xml:space="preserve">B) Several of the asymptomatic individuals had been vaccinated against influenza within the past year, while most symptomatic individuals had not.</w:t>
      </w:r>
    </w:p>
    <w:p>
      <w:pPr>
        <w:spacing w:after="60"/>
        <w:ind w:left="480"/>
      </w:pPr>
      <w:r>
        <w:rPr>
          <w:rFonts w:ascii="Calibri" w:cs="Calibri" w:eastAsia="Calibri" w:hAnsi="Calibri"/>
          <w:sz w:val="22"/>
          <w:szCs w:val="22"/>
        </w:rPr>
        <w:t xml:space="preserve">C) The novel respiratory virus was genetically distinct from all previously known respiratory viruses, sharing less than 40% of its genome with any known virus.</w:t>
      </w:r>
    </w:p>
    <w:p>
      <w:pPr>
        <w:spacing w:after="60"/>
        <w:ind w:left="480"/>
      </w:pPr>
      <w:r>
        <w:rPr>
          <w:rFonts w:ascii="Calibri" w:cs="Calibri" w:eastAsia="Calibri" w:hAnsi="Calibri"/>
          <w:sz w:val="22"/>
          <w:szCs w:val="22"/>
        </w:rPr>
        <w:t xml:space="preserve">D) Asymptomatic individuals were on average younger than symptomatic individuals, and younger age is associated with stronger overall immune function.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Q50. </w:t>
      </w:r>
      <w:r>
        <w:rPr>
          <w:rFonts w:ascii="Calibri" w:cs="Calibri" w:eastAsia="Calibri" w:hAnsi="Calibri"/>
          <w:b/>
          <w:bCs/>
          <w:color w:val="C00000"/>
          <w:sz w:val="22"/>
          <w:szCs w:val="22"/>
        </w:rPr>
        <w:t xml:space="preserve">[Hard]</w:t>
      </w:r>
      <w:r>
        <w:rPr>
          <w:rFonts w:ascii="Calibri" w:cs="Calibri" w:eastAsia="Calibri" w:hAnsi="Calibri"/>
          <w:color w:val="666666"/>
          <w:sz w:val="20"/>
          <w:szCs w:val="20"/>
        </w:rPr>
        <w:t xml:space="preserve">  |  Social Science  |  Weaken</w:t>
      </w:r>
    </w:p>
    <w:p>
      <w:pPr>
        <w:spacing w:after="120"/>
        <w:ind w:left="360"/>
      </w:pPr>
      <w:r>
        <w:rPr>
          <w:rFonts w:ascii="Calibri" w:cs="Calibri" w:eastAsia="Calibri" w:hAnsi="Calibri"/>
          <w:sz w:val="22"/>
          <w:szCs w:val="22"/>
        </w:rPr>
        <w:t xml:space="preserve">Behavioral economist Viktor Sørensen conducted a study in which participants were given $100 and asked to allocate it between a guaranteed return of 5% and a risky investment with an expected return of 12% but a 30% chance of total loss. Sørensen found that participants who completed the allocation task in a room with red walls allocated an average of 20% more to the guaranteed return compared to participants who completed the same task in a room with blue walls. Sørensen concluded that the color red triggers a psychological state of heightened caution, leading individuals to make more risk-averse financial decisions.</w:t>
      </w:r>
    </w:p>
    <w:p>
      <w:pPr>
        <w:spacing w:after="120" w:before="120"/>
      </w:pPr>
      <w:r>
        <w:rPr>
          <w:rFonts w:ascii="Calibri" w:cs="Calibri" w:eastAsia="Calibri" w:hAnsi="Calibri"/>
          <w:b/>
          <w:bCs/>
          <w:sz w:val="22"/>
          <w:szCs w:val="22"/>
        </w:rPr>
        <w:t xml:space="preserve">Which finding, if true, would most directly weaken Sørensen's conclusion?</w:t>
      </w:r>
    </w:p>
    <w:p>
      <w:pPr>
        <w:spacing w:after="60"/>
        <w:ind w:left="480"/>
      </w:pPr>
      <w:r>
        <w:rPr>
          <w:rFonts w:ascii="Calibri" w:cs="Calibri" w:eastAsia="Calibri" w:hAnsi="Calibri"/>
          <w:sz w:val="22"/>
          <w:szCs w:val="22"/>
        </w:rPr>
        <w:t xml:space="preserve">A) Cultural associations with the color red vary across societies, with red symbolizing luck and prosperity in several East Asian cultures.</w:t>
      </w:r>
    </w:p>
    <w:p>
      <w:pPr>
        <w:spacing w:after="60"/>
        <w:ind w:left="480"/>
      </w:pPr>
      <w:r>
        <w:rPr>
          <w:rFonts w:ascii="Calibri" w:cs="Calibri" w:eastAsia="Calibri" w:hAnsi="Calibri"/>
          <w:sz w:val="22"/>
          <w:szCs w:val="22"/>
        </w:rPr>
        <w:t xml:space="preserve">B) In a follow-up study using rooms of identical design but different wall colors, participants in green-walled rooms made investment allocations that were not significantly different from those of participants in blue-walled rooms.</w:t>
      </w:r>
    </w:p>
    <w:p>
      <w:pPr>
        <w:spacing w:after="60"/>
        <w:ind w:left="480"/>
      </w:pPr>
      <w:r>
        <w:rPr>
          <w:rFonts w:ascii="Calibri" w:cs="Calibri" w:eastAsia="Calibri" w:hAnsi="Calibri"/>
          <w:sz w:val="22"/>
          <w:szCs w:val="22"/>
        </w:rPr>
        <w:t xml:space="preserve">C) Participants in both rooms showed similar levels of skin conductance, a physiological measure of arousal, throughout the experimental session.</w:t>
      </w:r>
    </w:p>
    <w:p>
      <w:pPr>
        <w:spacing w:after="60"/>
        <w:ind w:left="480"/>
      </w:pPr>
      <w:r>
        <w:rPr>
          <w:rFonts w:ascii="Calibri" w:cs="Calibri" w:eastAsia="Calibri" w:hAnsi="Calibri"/>
          <w:sz w:val="22"/>
          <w:szCs w:val="22"/>
        </w:rPr>
        <w:t xml:space="preserve">D) Participants in the red-walled room reported significantly higher levels of general discomfort and distraction due to the room's paint, which had a strong chemical smell, and these self-reported discomfort levels were correlated with more conservative investment allocations.</w:t>
      </w:r>
    </w:p>
    <w:p>
      <w:pPr>
        <w:pBdr>
          <w:bottom w:val="single" w:color="999999" w:sz="6"/>
        </w:pBdr>
        <w:spacing w:after="200" w:before="200"/>
      </w:pPr>
      <w:r>
        <w:rPr>
          <w:sz w:val="4"/>
          <w:szCs w:val="4"/>
        </w:rPr>
        <w:t xml:space="preserve">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2026-07-04T13:54:40.550Z</dcterms:created>
  <dcterms:modified xsi:type="dcterms:W3CDTF">2026-07-04T13:54:40.550Z</dcterms:modified>
</cp:coreProperties>
</file>

<file path=docProps/custom.xml><?xml version="1.0" encoding="utf-8"?>
<Properties xmlns="http://schemas.openxmlformats.org/officeDocument/2006/custom-properties" xmlns:vt="http://schemas.openxmlformats.org/officeDocument/2006/docPropsVTypes"/>
</file>