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оқушылардың бұл ойындарды білу деңгейін зерттеу. Өзектілігі: ұлттық ойындар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сынаудың құралы болады. Әдістер: мәтінді талдау және кодтау, салыстыру, сауалнама. 15 шығарма (8 ертегі, 7 жыр) оқылып,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бес қызмет бойынша талданды, 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w:t>
      </w:r>
      <w:r>
        <w:rPr>
          <w:rFonts w:ascii="Times New Roman" w:cs="Times New Roman" w:eastAsia="Times New Roman" w:hAnsi="Times New Roman"/>
          <w:b w:val="false"/>
          <w:bCs w:val="false"/>
          <w:sz w:val="28"/>
          <w:szCs w:val="28"/>
          <w:highlight w:val="yellow"/>
        </w:rPr>
        <w:t xml:space="preserve">[Ең жиі кездескен ойындар.]</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r>
        <w:rPr>
          <w:rFonts w:ascii="Times New Roman" w:cs="Times New Roman" w:eastAsia="Times New Roman" w:hAnsi="Times New Roman"/>
          <w:b w:val="false"/>
          <w:bCs w:val="false"/>
          <w:sz w:val="28"/>
          <w:szCs w:val="28"/>
        </w:rPr>
        <w:t xml:space="preserve"> Нәтижесінде ұлттық ойындарды ертегімен бірге үйретуге арналған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Сыныптастарымыз ұлттық ойындарды біле ме?</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15</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біздің құрдастарымыздың көбі бос уақытын телефон мен компьютер ойындарына арнайды, ал ұлттық ойындардың атын ғана білетіндер аз емес. Ұлттық ойындар туралы мәліметтің ең көне сақталған жері – халық ауыз әдебиеті. Ертегілер мен батырлар жырында қаһармандар асық ойнайды, бәйгеге ат қосады, күреседі, жұмбақ айтысады. Сондықтан ертегі мен жырды оқу арқылы ұлттық ойындардың халық өміріндегі орнын, мәнін түсінуге болады деп ойладық.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сыныптастарымыздың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15 шығармадан тұратын зерттеу материалын (8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талдасақ,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көреміз деп болжаймыз.</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бес қызметі бөлініп көрсетілді, ал мәтін талдауы оқушылар арасындағы сауалнамамен ұштастырылды.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біз ұлттық ойынның үш негізгі қызметін бөліп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Біз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алдық.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ойладық.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Біздің ойымызша,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біз ойынның шығармадағы бес қызметін анықтадық (2-кесте). Мәтінді талдағанда әр эпизодқа осы кодтардың бірін қойдық.</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15 шығарма алынды: 8 ертегі және 7 батырлар мен ғашықтық жыры (3-кесте). Шығармаларды таңдағанда олардың мектеп бағдарламасына енгеніне, белгілі болуына және оқушыға қолжетімді болуына қарадық. Мәтіндерді «Бабалар сөзі» жинағынан [12] және «Қазақ халық әдебиеті» сериясындағы ертегілер жинағынан [13] оқыдық.</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«Жиренше шешен»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«Алдар Көсе әңгімелері»</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[кітап, баспа, жылы]</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Әр шығарманы қай кітаптан (баспасы, жылы) оқығаныңызды Zertteu_kestesi.xlsx файлының «Шығармалар» парағына жазыңыз. Шығармалар тізімін өзгертуге болады, бірақ ертегі мен жырдың саны шамалас болғаны жөн.</w:t>
      </w: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жаздық (А қосымшасы). Бір эпизод – бір жол: шығарма, ойын, кейіпкер, эпизодтың қысқаша мазмұны, ойынның қызметі (С, Б, Қ, Т, Ш), мәтіннен үзінді және беті. Ойын тек аталып өтсе де (мысалы, «той болып, бәйге шабылды»), оны жазып, «Т» деп белгіледік. Тізімде жоқ ойын кездессе, оны «Басқа» деп бөлек жаздық.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сыныптастарымыз арасында сауалнама жүргіздік (Ә қосымшасы).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санадық. Сауалнамада әр ойынды білетін, ойнаған және ертегіден оқыған оқушылардың үлесін пайызбен есептедік.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жазбаша келісім алынды (Б қосымшасы). Сауалнама парағында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[14].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ертегілерде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жырларда –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Ойын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шығармада кездесті, барлығы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түрлі ойын анықталды.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жиі және ең сирек кездескен ойындарды атаңыз.]</w:t>
      </w:r>
      <w:r>
        <w:rPr>
          <w:rFonts w:ascii="Times New Roman" w:cs="Times New Roman" w:eastAsia="Times New Roman" w:hAnsi="Times New Roman"/>
          <w:b w:val="false"/>
          <w:bCs w:val="false"/>
          <w:sz w:val="28"/>
          <w:szCs w:val="28"/>
        </w:rPr>
        <w:t xml:space="preserve"> </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3-суретке қарап, ең жиі және ең сирек кездескен ойындар туралы өз ойыңызды жазыңыз. Неге кейбір ойындар (мысалы, көкпар немесе тоғызқұмалақ) аз кездесуі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топтастырдық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[Ертегі мен жырдағы ойын түрлерін салыстырыңыз.]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Ертегі мен жырдағы ойын түрлерінің айырмашылығын неге байланысты деп ойлайсыз? Мысалы, жырдың кейіпкері – батыр, ал ертегінің кейіпкері көбіне бала немесе қарапайым адам.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анықтадық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[Ойынның ертегі мен жырдағы қызметін салыстырыңыз.]</w:t>
      </w:r>
      <w:r>
        <w:rPr>
          <w:rFonts w:ascii="Times New Roman" w:cs="Times New Roman" w:eastAsia="Times New Roman" w:hAnsi="Times New Roman"/>
          <w:b w:val="false"/>
          <w:bCs w:val="false"/>
          <w:sz w:val="28"/>
          <w:szCs w:val="28"/>
        </w:rPr>
        <w:t xml:space="preserve"> Ойынның оқиғадағы рөлін көрсететін ең сипатты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[шығарма]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[ойын]</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[эпизод, үзінді]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highlight w:val="yellow"/>
              </w:rPr>
              <w:t xml:space="preserve">[қызметі]</w:t>
            </w:r>
          </w:p>
        </w:tc>
      </w:tr>
    </w:tbl>
    <w:p>
      <w:pPr>
        <w:spacing w:after="120" w:line="240"/>
      </w:pP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7-кестеге әр қызметке бір-бір мысал таңдаңыз (Excel кестесінен өздігінен алынады). Мысалдарды талдап, ойынның кейіпкерді қалай сынағанын немесе оқиғаны қалай бастағанын өз сөзіңізбен түсіндіріңіз.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Сыныптастарымыз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оқушы қатысты.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highlight w:val="yellow"/>
              </w:rPr>
              <w:t xml:space="preserve">[___]</w:t>
            </w:r>
          </w:p>
        </w:tc>
      </w:tr>
    </w:tbl>
    <w:p>
      <w:pPr>
        <w:spacing w:after="120" w:line="240"/>
      </w:pPr>
    </w:p>
    <w:p>
      <w:pPr>
        <w:keepNext/>
        <w:spacing w:before="120"/>
        <w:jc w:val="center"/>
      </w:pPr>
      <w:r>
        <w:drawing>
          <wp:inline distT="0" distB="0" distL="0" distR="0">
            <wp:extent cx="5715000" cy="22383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383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[Ең жақсы және ең аз белгілі ойындарды атаңыз.]</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Сауалнама нәтижесін мәтін талдауымен салыстырыңыз: ертегі мен жырда жиі кездесетін ойындарды оқушылар жақсы біле ме?</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[Болжамның расталғанын не расталмағанын деректермен көрсетіңіз.]</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Нәтижелерімізді ғалымдардың пікірімен салыстыруға болады. В.Я. Пропп ертегідегі қаһарманның сынақтан өтетінін жазған [11]. Біздің талдауымызда ойын да осындай сынақтың құралы болды ма – оны 6-кесте көрсетеді. М. Әуезов батырлар жырында халықтың тұрмысы мен салты кеңінен суреттелетінін айтқан [10], ал біздің мәтін талдауымыз жырдағы ойындардың көбі той мен ас көрінісінде кездесетін-кездеспейтінін анықтауға мүмкіндік берді.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15 шығарманы ғана оқыдық, ал қазақ фольклорында ертегі мен жыр өте көп.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біз ең негізгісін ғана таңдадық. Сауалнамаға тек бір мектептің оқушылары қатысты.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«Ертегі-ойын» карточкаларын жасадық (В қосымшасы). Әр карточкада ойынның атауы мен түрі, қысқаша ережесі және сол ойын кездесетін ертегі немесе жыр үзіндісі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үзіндіні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 мен жырларындағы ұлттық ойындарды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Біз зерттеуге алған 12 ойынды бес түрге бөлдік: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шығарманы оқып, ұлттық ойын кездесетін </w:t>
      </w:r>
      <w:r>
        <w:rPr>
          <w:rFonts w:ascii="Times New Roman" w:cs="Times New Roman" w:eastAsia="Times New Roman" w:hAnsi="Times New Roman"/>
          <w:b w:val="false"/>
          <w:bCs w:val="false"/>
          <w:sz w:val="28"/>
          <w:szCs w:val="28"/>
          <w:highlight w:val="yellow"/>
        </w:rPr>
        <w:t xml:space="preserve">[___]</w:t>
      </w:r>
      <w:r>
        <w:rPr>
          <w:rFonts w:ascii="Times New Roman" w:cs="Times New Roman" w:eastAsia="Times New Roman" w:hAnsi="Times New Roman"/>
          <w:b w:val="false"/>
          <w:bCs w:val="false"/>
          <w:sz w:val="28"/>
          <w:szCs w:val="28"/>
        </w:rPr>
        <w:t xml:space="preserve"> эпизод таптық. </w:t>
      </w:r>
      <w:r>
        <w:rPr>
          <w:rFonts w:ascii="Times New Roman" w:cs="Times New Roman" w:eastAsia="Times New Roman" w:hAnsi="Times New Roman"/>
          <w:b w:val="false"/>
          <w:bCs w:val="false"/>
          <w:sz w:val="28"/>
          <w:szCs w:val="28"/>
          <w:highlight w:val="yellow"/>
        </w:rPr>
        <w:t xml:space="preserve">[Ең жиі кездескен ойындар.]</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 түрлері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[Ойынның қызметі бойынша қорытынды.]</w:t>
      </w:r>
    </w:p>
    <w:p>
      <w:pPr>
        <w:pStyle w:val="ListParagraph"/>
        <w:numPr>
          <w:ilvl w:val="0"/>
          <w:numId w:val="2"/>
        </w:numPr>
        <w:spacing w:line="360"/>
        <w:jc w:val="both"/>
      </w:pPr>
      <w:r>
        <w:rPr>
          <w:rFonts w:ascii="Times New Roman" w:cs="Times New Roman" w:eastAsia="Times New Roman" w:hAnsi="Times New Roman"/>
          <w:b w:val="false"/>
          <w:bCs w:val="false"/>
          <w:sz w:val="28"/>
          <w:szCs w:val="28"/>
          <w:highlight w:val="yellow"/>
        </w:rPr>
        <w:t xml:space="preserve">[Сауалнама бойынша қорытынды.]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w:t>
      </w:r>
      <w:r>
        <w:rPr>
          <w:rFonts w:ascii="Times New Roman" w:cs="Times New Roman" w:eastAsia="Times New Roman" w:hAnsi="Times New Roman"/>
          <w:b w:val="false"/>
          <w:bCs w:val="false"/>
          <w:sz w:val="28"/>
          <w:szCs w:val="28"/>
          <w:highlight w:val="yellow"/>
        </w:rPr>
        <w:t xml:space="preserve">[Болжам расталды / ішінара расталды / расталмады.]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15 шығарма алынды, сауалнамаға бір мектептің оқушылары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шығармалар санын көбейтіп, жұмбақ, мақал-мәтел, айтыс сияқты басқа жанрларды да зерттегіміз келеді. Сонымен қатар ата-әжелерімізден олардың бала кезінде ойнаған ойындары туралы сұхбат алуды жоспарлап отырмыз.</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120" w:before="60" w:line="276"/>
        <w:ind w:firstLine="709"/>
        <w:jc w:val="both"/>
      </w:pPr>
      <w:r>
        <w:rPr>
          <w:rFonts w:ascii="Times New Roman" w:cs="Times New Roman" w:eastAsia="Times New Roman" w:hAnsi="Times New Roman"/>
          <w:b w:val="false"/>
          <w:bCs w:val="false"/>
          <w:sz w:val="24"/>
          <w:szCs w:val="24"/>
          <w:highlight w:val="yellow"/>
        </w:rPr>
        <w:t xml:space="preserve">НҰСҚАУ (тапсыру алдында өшіріледі): Бұл бөлімді тек өз сөзіңізбен жазыңыз (5–7 сөйлем): Зерттеуде мені не таңғалдырды? Қай шығарма, қай эпизод ұнады? Қандай қиындық болды және оны қалай шештім? Сауалнама нәтижесі туралы не ойлаймын? Келесі жолы нені басқаша істер едім?</w:t>
      </w:r>
    </w:p>
    <w:p>
      <w:pPr>
        <w:spacing w:after="0" w:before="0" w:line="360"/>
        <w:ind w:firstLine="709"/>
        <w:jc w:val="both"/>
      </w:pPr>
      <w:r>
        <w:rPr>
          <w:rFonts w:ascii="Times New Roman" w:cs="Times New Roman" w:eastAsia="Times New Roman" w:hAnsi="Times New Roman"/>
          <w:b w:val="false"/>
          <w:bCs w:val="false"/>
          <w:sz w:val="28"/>
          <w:szCs w:val="28"/>
          <w:highlight w:val="yellow"/>
        </w:rPr>
        <w:t xml:space="preserve">[Оқушының өз рефлексиясы]</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Бабалар сөзі: жүз томдық. – Астана: Фолиант, 2004–2013.</w:t>
      </w:r>
    </w:p>
    <w:p>
      <w:pPr>
        <w:tabs>
          <w:tab w:val="left" w:pos="567"/>
        </w:tabs>
        <w:spacing w:line="360"/>
        <w:ind w:left="567" w:hanging="567"/>
        <w:jc w:val="both"/>
      </w:pPr>
      <w:r>
        <w:rPr>
          <w:rFonts w:ascii="Times New Roman" w:cs="Times New Roman" w:eastAsia="Times New Roman" w:hAnsi="Times New Roman"/>
          <w:sz w:val="28"/>
          <w:szCs w:val="28"/>
        </w:rPr>
        <w:t xml:space="preserve">13	Қазақ халық әдебиеті: Ертегілер. – Алматы: Жазушы, 1988–1989.</w:t>
      </w:r>
    </w:p>
    <w:p>
      <w:pPr>
        <w:tabs>
          <w:tab w:val="left" w:pos="567"/>
        </w:tabs>
        <w:spacing w:line="360"/>
        <w:ind w:left="567" w:hanging="567"/>
        <w:jc w:val="both"/>
      </w:pPr>
      <w:r>
        <w:rPr>
          <w:rFonts w:ascii="Times New Roman" w:cs="Times New Roman" w:eastAsia="Times New Roman" w:hAnsi="Times New Roman"/>
          <w:sz w:val="28"/>
          <w:szCs w:val="28"/>
        </w:rPr>
        <w:t xml:space="preserve">14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[шығарма]</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[ойын]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[кейіпкер]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highlight w:val="yellow"/>
              </w:rPr>
              <w:t xml:space="preserve">[эпизод, үзінді, беті]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highlight w:val="yellow"/>
              </w:rPr>
              <w:t xml:space="preserve">[код]</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highlight w:val="yellow"/>
              </w:rPr>
              <w:t xml:space="preserve">[ертегі немесе жырдан эпизод]</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2eb74946b904542ab8820461626c2c7c40a30d84.png"/><Relationship Id="rId12" Type="http://schemas.openxmlformats.org/officeDocument/2006/relationships/image" Target="media/005d213c70b451a2e9d354193a1a2aac89f1f30f.png"/><Relationship Id="rId13" Type="http://schemas.openxmlformats.org/officeDocument/2006/relationships/image" Target="media/30c08dc084e12eb9126ba251b035f7cfd66cd06e.png"/><Relationship Id="rId14" Type="http://schemas.openxmlformats.org/officeDocument/2006/relationships/image" Target="media/9f6ac79085043c617882729ac3d2cdcbbe8d859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2026-10-03T11:20:47.029Z</dcterms:created>
  <dcterms:modified xsi:type="dcterms:W3CDTF">2026-10-03T11:20:47.029Z</dcterms:modified>
</cp:coreProperties>
</file>

<file path=docProps/custom.xml><?xml version="1.0" encoding="utf-8"?>
<Properties xmlns="http://schemas.openxmlformats.org/officeDocument/2006/custom-properties" xmlns:vt="http://schemas.openxmlformats.org/officeDocument/2006/docPropsVTypes"/>
</file>