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8194" w14:textId="77777777" w:rsidR="007B165E" w:rsidRDefault="00000000">
      <w:pPr>
        <w:jc w:val="center"/>
      </w:pPr>
      <w:r>
        <w:rPr>
          <w:b/>
          <w:sz w:val="48"/>
        </w:rPr>
        <w:t>SmartStorage</w:t>
      </w:r>
    </w:p>
    <w:p w14:paraId="52250C2B" w14:textId="77777777" w:rsidR="007B165E" w:rsidRDefault="00000000">
      <w:pPr>
        <w:jc w:val="center"/>
      </w:pPr>
      <w:r>
        <w:rPr>
          <w:b/>
          <w:sz w:val="36"/>
        </w:rPr>
        <w:t>Exploratory Data Analysis (EDA) Summary</w:t>
      </w:r>
    </w:p>
    <w:p w14:paraId="7250A74F" w14:textId="77777777" w:rsidR="007B165E" w:rsidRDefault="00000000">
      <w:pPr>
        <w:jc w:val="center"/>
      </w:pPr>
      <w:r>
        <w:rPr>
          <w:i/>
        </w:rPr>
        <w:t>Retail Store Inventory &amp; Demand Forecasting Dataset</w:t>
      </w:r>
    </w:p>
    <w:p w14:paraId="1B2F6BCD" w14:textId="77777777" w:rsidR="007B165E" w:rsidRDefault="007B165E"/>
    <w:p w14:paraId="054752BF" w14:textId="77777777" w:rsidR="007B165E" w:rsidRDefault="00000000">
      <w:pPr>
        <w:pStyle w:val="Heading1"/>
      </w:pPr>
      <w:r>
        <w:t>1. Purpose of the EDA</w:t>
      </w:r>
    </w:p>
    <w:p w14:paraId="1C3E1080"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purpose of this exploratory data analysis is to understand the structure, quality, statistical characteristics, and predictive usefulness of the Retail Store Inventory &amp; Demand Forecasting dataset selected as the primary real-world-style dataset for the SmartStorage project. The EDA is also used to identify data limitations and determine which additional operational information must later be introduced through synthetic layers for supplier-aware inventory optimization.</w:t>
      </w:r>
    </w:p>
    <w:p w14:paraId="140BD14C" w14:textId="77777777" w:rsidR="007B165E" w:rsidRDefault="00000000">
      <w:pPr>
        <w:pStyle w:val="Heading1"/>
      </w:pPr>
      <w:r>
        <w:t>2. Dataset Overview</w:t>
      </w:r>
    </w:p>
    <w:tbl>
      <w:tblPr>
        <w:tblStyle w:val="TableGrid"/>
        <w:tblW w:w="0" w:type="auto"/>
        <w:jc w:val="center"/>
        <w:tblLook w:val="04A0" w:firstRow="1" w:lastRow="0" w:firstColumn="1" w:lastColumn="0" w:noHBand="0" w:noVBand="1"/>
      </w:tblPr>
      <w:tblGrid>
        <w:gridCol w:w="4963"/>
        <w:gridCol w:w="4963"/>
      </w:tblGrid>
      <w:tr w:rsidR="007B165E" w14:paraId="291BFA3E" w14:textId="77777777">
        <w:trPr>
          <w:jc w:val="center"/>
        </w:trPr>
        <w:tc>
          <w:tcPr>
            <w:tcW w:w="4968" w:type="dxa"/>
          </w:tcPr>
          <w:p w14:paraId="24691F70" w14:textId="77777777" w:rsidR="007B165E" w:rsidRDefault="00000000">
            <w:r>
              <w:rPr>
                <w:b/>
              </w:rPr>
              <w:t>Property</w:t>
            </w:r>
          </w:p>
        </w:tc>
        <w:tc>
          <w:tcPr>
            <w:tcW w:w="4968" w:type="dxa"/>
          </w:tcPr>
          <w:p w14:paraId="6FE7C275" w14:textId="77777777" w:rsidR="007B165E" w:rsidRDefault="00000000">
            <w:r>
              <w:rPr>
                <w:b/>
              </w:rPr>
              <w:t>Finding</w:t>
            </w:r>
          </w:p>
        </w:tc>
      </w:tr>
      <w:tr w:rsidR="007B165E" w14:paraId="24E31E02" w14:textId="77777777">
        <w:trPr>
          <w:jc w:val="center"/>
        </w:trPr>
        <w:tc>
          <w:tcPr>
            <w:tcW w:w="4968" w:type="dxa"/>
            <w:vAlign w:val="center"/>
          </w:tcPr>
          <w:p w14:paraId="315BDA31" w14:textId="77777777" w:rsidR="007B165E" w:rsidRDefault="00000000">
            <w:r>
              <w:t>Total records</w:t>
            </w:r>
          </w:p>
        </w:tc>
        <w:tc>
          <w:tcPr>
            <w:tcW w:w="4968" w:type="dxa"/>
            <w:vAlign w:val="center"/>
          </w:tcPr>
          <w:p w14:paraId="2BCE5016" w14:textId="77777777" w:rsidR="007B165E" w:rsidRDefault="00000000">
            <w:r>
              <w:t>73,100</w:t>
            </w:r>
          </w:p>
        </w:tc>
      </w:tr>
      <w:tr w:rsidR="007B165E" w14:paraId="526F1048" w14:textId="77777777">
        <w:trPr>
          <w:jc w:val="center"/>
        </w:trPr>
        <w:tc>
          <w:tcPr>
            <w:tcW w:w="4968" w:type="dxa"/>
            <w:vAlign w:val="center"/>
          </w:tcPr>
          <w:p w14:paraId="3802E72D" w14:textId="77777777" w:rsidR="007B165E" w:rsidRDefault="00000000">
            <w:r>
              <w:t>Total features</w:t>
            </w:r>
          </w:p>
        </w:tc>
        <w:tc>
          <w:tcPr>
            <w:tcW w:w="4968" w:type="dxa"/>
            <w:vAlign w:val="center"/>
          </w:tcPr>
          <w:p w14:paraId="626B88E1" w14:textId="77777777" w:rsidR="007B165E" w:rsidRDefault="00000000">
            <w:r>
              <w:t>15</w:t>
            </w:r>
          </w:p>
        </w:tc>
      </w:tr>
      <w:tr w:rsidR="007B165E" w14:paraId="31A2A8EE" w14:textId="77777777">
        <w:trPr>
          <w:jc w:val="center"/>
        </w:trPr>
        <w:tc>
          <w:tcPr>
            <w:tcW w:w="4968" w:type="dxa"/>
            <w:vAlign w:val="center"/>
          </w:tcPr>
          <w:p w14:paraId="09D06D41" w14:textId="77777777" w:rsidR="007B165E" w:rsidRDefault="00000000">
            <w:r>
              <w:t>Date range</w:t>
            </w:r>
          </w:p>
        </w:tc>
        <w:tc>
          <w:tcPr>
            <w:tcW w:w="4968" w:type="dxa"/>
            <w:vAlign w:val="center"/>
          </w:tcPr>
          <w:p w14:paraId="1BFC1AF3" w14:textId="77777777" w:rsidR="007B165E" w:rsidRDefault="00000000">
            <w:r>
              <w:t>2022-01-01 to 2024-01-01</w:t>
            </w:r>
          </w:p>
        </w:tc>
      </w:tr>
      <w:tr w:rsidR="007B165E" w14:paraId="2AE51680" w14:textId="77777777">
        <w:trPr>
          <w:jc w:val="center"/>
        </w:trPr>
        <w:tc>
          <w:tcPr>
            <w:tcW w:w="4968" w:type="dxa"/>
            <w:vAlign w:val="center"/>
          </w:tcPr>
          <w:p w14:paraId="48378555" w14:textId="77777777" w:rsidR="007B165E" w:rsidRDefault="00000000">
            <w:r>
              <w:t>Unique dates</w:t>
            </w:r>
          </w:p>
        </w:tc>
        <w:tc>
          <w:tcPr>
            <w:tcW w:w="4968" w:type="dxa"/>
            <w:vAlign w:val="center"/>
          </w:tcPr>
          <w:p w14:paraId="1502E3AD" w14:textId="77777777" w:rsidR="007B165E" w:rsidRDefault="00000000">
            <w:r>
              <w:t>731 days</w:t>
            </w:r>
          </w:p>
        </w:tc>
      </w:tr>
      <w:tr w:rsidR="007B165E" w14:paraId="200115FE" w14:textId="77777777">
        <w:trPr>
          <w:jc w:val="center"/>
        </w:trPr>
        <w:tc>
          <w:tcPr>
            <w:tcW w:w="4968" w:type="dxa"/>
            <w:vAlign w:val="center"/>
          </w:tcPr>
          <w:p w14:paraId="319CFE3F" w14:textId="77777777" w:rsidR="007B165E" w:rsidRDefault="00000000">
            <w:r>
              <w:t>Stores</w:t>
            </w:r>
          </w:p>
        </w:tc>
        <w:tc>
          <w:tcPr>
            <w:tcW w:w="4968" w:type="dxa"/>
            <w:vAlign w:val="center"/>
          </w:tcPr>
          <w:p w14:paraId="6ED2973E" w14:textId="77777777" w:rsidR="007B165E" w:rsidRDefault="00000000">
            <w:r>
              <w:t>5</w:t>
            </w:r>
          </w:p>
        </w:tc>
      </w:tr>
      <w:tr w:rsidR="007B165E" w14:paraId="65A6E78A" w14:textId="77777777">
        <w:trPr>
          <w:jc w:val="center"/>
        </w:trPr>
        <w:tc>
          <w:tcPr>
            <w:tcW w:w="4968" w:type="dxa"/>
            <w:vAlign w:val="center"/>
          </w:tcPr>
          <w:p w14:paraId="64B57D79" w14:textId="77777777" w:rsidR="007B165E" w:rsidRDefault="00000000">
            <w:r>
              <w:t>Products</w:t>
            </w:r>
          </w:p>
        </w:tc>
        <w:tc>
          <w:tcPr>
            <w:tcW w:w="4968" w:type="dxa"/>
            <w:vAlign w:val="center"/>
          </w:tcPr>
          <w:p w14:paraId="219B80BF" w14:textId="77777777" w:rsidR="007B165E" w:rsidRDefault="00000000">
            <w:r>
              <w:t>20</w:t>
            </w:r>
          </w:p>
        </w:tc>
      </w:tr>
      <w:tr w:rsidR="007B165E" w14:paraId="5D9979E1" w14:textId="77777777">
        <w:trPr>
          <w:jc w:val="center"/>
        </w:trPr>
        <w:tc>
          <w:tcPr>
            <w:tcW w:w="4968" w:type="dxa"/>
            <w:vAlign w:val="center"/>
          </w:tcPr>
          <w:p w14:paraId="4F0D9643" w14:textId="77777777" w:rsidR="007B165E" w:rsidRDefault="00000000">
            <w:r>
              <w:t>Product categories</w:t>
            </w:r>
          </w:p>
        </w:tc>
        <w:tc>
          <w:tcPr>
            <w:tcW w:w="4968" w:type="dxa"/>
            <w:vAlign w:val="center"/>
          </w:tcPr>
          <w:p w14:paraId="574A6F37" w14:textId="77777777" w:rsidR="007B165E" w:rsidRDefault="00000000">
            <w:r>
              <w:t>5</w:t>
            </w:r>
          </w:p>
        </w:tc>
      </w:tr>
      <w:tr w:rsidR="007B165E" w14:paraId="7FA15A74" w14:textId="77777777">
        <w:trPr>
          <w:jc w:val="center"/>
        </w:trPr>
        <w:tc>
          <w:tcPr>
            <w:tcW w:w="4968" w:type="dxa"/>
            <w:vAlign w:val="center"/>
          </w:tcPr>
          <w:p w14:paraId="63E591F7" w14:textId="77777777" w:rsidR="007B165E" w:rsidRDefault="00000000">
            <w:r>
              <w:t>Regions</w:t>
            </w:r>
          </w:p>
        </w:tc>
        <w:tc>
          <w:tcPr>
            <w:tcW w:w="4968" w:type="dxa"/>
            <w:vAlign w:val="center"/>
          </w:tcPr>
          <w:p w14:paraId="791D99C7" w14:textId="77777777" w:rsidR="007B165E" w:rsidRDefault="00000000">
            <w:r>
              <w:t>4</w:t>
            </w:r>
          </w:p>
        </w:tc>
      </w:tr>
      <w:tr w:rsidR="007B165E" w14:paraId="5F473FA2" w14:textId="77777777">
        <w:trPr>
          <w:jc w:val="center"/>
        </w:trPr>
        <w:tc>
          <w:tcPr>
            <w:tcW w:w="4968" w:type="dxa"/>
            <w:vAlign w:val="center"/>
          </w:tcPr>
          <w:p w14:paraId="6C181B62" w14:textId="77777777" w:rsidR="007B165E" w:rsidRDefault="00000000">
            <w:r>
              <w:t>Missing values</w:t>
            </w:r>
          </w:p>
        </w:tc>
        <w:tc>
          <w:tcPr>
            <w:tcW w:w="4968" w:type="dxa"/>
            <w:vAlign w:val="center"/>
          </w:tcPr>
          <w:p w14:paraId="73DF798E" w14:textId="77777777" w:rsidR="007B165E" w:rsidRDefault="00000000">
            <w:r>
              <w:t>0</w:t>
            </w:r>
          </w:p>
        </w:tc>
      </w:tr>
      <w:tr w:rsidR="007B165E" w14:paraId="58278D24" w14:textId="77777777">
        <w:trPr>
          <w:jc w:val="center"/>
        </w:trPr>
        <w:tc>
          <w:tcPr>
            <w:tcW w:w="4968" w:type="dxa"/>
            <w:vAlign w:val="center"/>
          </w:tcPr>
          <w:p w14:paraId="4B611E37" w14:textId="77777777" w:rsidR="007B165E" w:rsidRDefault="00000000">
            <w:r>
              <w:t>Duplicate rows</w:t>
            </w:r>
          </w:p>
        </w:tc>
        <w:tc>
          <w:tcPr>
            <w:tcW w:w="4968" w:type="dxa"/>
            <w:vAlign w:val="center"/>
          </w:tcPr>
          <w:p w14:paraId="67D10130" w14:textId="77777777" w:rsidR="007B165E" w:rsidRDefault="00000000">
            <w:r>
              <w:t>0</w:t>
            </w:r>
          </w:p>
        </w:tc>
      </w:tr>
    </w:tbl>
    <w:p w14:paraId="005E7DD7" w14:textId="77777777" w:rsidR="007B165E" w:rsidRDefault="00000000">
      <w:r>
        <w:t>The dataset contains 100 observations per day, corresponding to the 5 × 20 = 100 store-product combinations. This regular panel structure is useful for time-series and store-product level demand analysis.</w:t>
      </w:r>
    </w:p>
    <w:p w14:paraId="440E59D4" w14:textId="77777777" w:rsidR="007B165E" w:rsidRDefault="00000000">
      <w:pPr>
        <w:pStyle w:val="Heading1"/>
      </w:pPr>
      <w:r>
        <w:t>3. Available Features</w:t>
      </w:r>
    </w:p>
    <w:tbl>
      <w:tblPr>
        <w:tblStyle w:val="TableGrid"/>
        <w:tblW w:w="0" w:type="auto"/>
        <w:jc w:val="center"/>
        <w:tblLook w:val="04A0" w:firstRow="1" w:lastRow="0" w:firstColumn="1" w:lastColumn="0" w:noHBand="0" w:noVBand="1"/>
      </w:tblPr>
      <w:tblGrid>
        <w:gridCol w:w="4963"/>
        <w:gridCol w:w="4963"/>
      </w:tblGrid>
      <w:tr w:rsidR="007B165E" w14:paraId="785E1FF2" w14:textId="77777777">
        <w:trPr>
          <w:jc w:val="center"/>
        </w:trPr>
        <w:tc>
          <w:tcPr>
            <w:tcW w:w="4968" w:type="dxa"/>
          </w:tcPr>
          <w:p w14:paraId="7598E0BF" w14:textId="77777777" w:rsidR="007B165E" w:rsidRDefault="00000000">
            <w:r>
              <w:rPr>
                <w:b/>
              </w:rPr>
              <w:t>Feature</w:t>
            </w:r>
          </w:p>
        </w:tc>
        <w:tc>
          <w:tcPr>
            <w:tcW w:w="4968" w:type="dxa"/>
          </w:tcPr>
          <w:p w14:paraId="04F2F999" w14:textId="77777777" w:rsidR="007B165E" w:rsidRDefault="00000000">
            <w:r>
              <w:rPr>
                <w:b/>
              </w:rPr>
              <w:t>Role in SmartStorage</w:t>
            </w:r>
          </w:p>
        </w:tc>
      </w:tr>
      <w:tr w:rsidR="007B165E" w14:paraId="46FB7C66" w14:textId="77777777">
        <w:trPr>
          <w:jc w:val="center"/>
        </w:trPr>
        <w:tc>
          <w:tcPr>
            <w:tcW w:w="4968" w:type="dxa"/>
            <w:vAlign w:val="center"/>
          </w:tcPr>
          <w:p w14:paraId="4DFC7E0D" w14:textId="77777777" w:rsidR="007B165E" w:rsidRDefault="00000000">
            <w:r>
              <w:t>Date</w:t>
            </w:r>
          </w:p>
        </w:tc>
        <w:tc>
          <w:tcPr>
            <w:tcW w:w="4968" w:type="dxa"/>
            <w:vAlign w:val="center"/>
          </w:tcPr>
          <w:p w14:paraId="6A7C8B5E" w14:textId="77777777" w:rsidR="007B165E" w:rsidRDefault="00000000">
            <w:r>
              <w:t>Time-series ordering, trends, seasonality and temporal features</w:t>
            </w:r>
          </w:p>
        </w:tc>
      </w:tr>
      <w:tr w:rsidR="007B165E" w14:paraId="4CAF22D6" w14:textId="77777777">
        <w:trPr>
          <w:jc w:val="center"/>
        </w:trPr>
        <w:tc>
          <w:tcPr>
            <w:tcW w:w="4968" w:type="dxa"/>
            <w:vAlign w:val="center"/>
          </w:tcPr>
          <w:p w14:paraId="38E03A6F" w14:textId="77777777" w:rsidR="007B165E" w:rsidRDefault="00000000">
            <w:r>
              <w:t>Store ID</w:t>
            </w:r>
          </w:p>
        </w:tc>
        <w:tc>
          <w:tcPr>
            <w:tcW w:w="4968" w:type="dxa"/>
            <w:vAlign w:val="center"/>
          </w:tcPr>
          <w:p w14:paraId="0D2E84F3" w14:textId="77777777" w:rsidR="007B165E" w:rsidRDefault="00000000">
            <w:r>
              <w:t>Store-level demand and inventory analysis</w:t>
            </w:r>
          </w:p>
        </w:tc>
      </w:tr>
      <w:tr w:rsidR="007B165E" w14:paraId="3981CAAD" w14:textId="77777777">
        <w:trPr>
          <w:jc w:val="center"/>
        </w:trPr>
        <w:tc>
          <w:tcPr>
            <w:tcW w:w="4968" w:type="dxa"/>
            <w:vAlign w:val="center"/>
          </w:tcPr>
          <w:p w14:paraId="75D84D4C" w14:textId="77777777" w:rsidR="007B165E" w:rsidRDefault="00000000">
            <w:r>
              <w:t>Product ID</w:t>
            </w:r>
          </w:p>
        </w:tc>
        <w:tc>
          <w:tcPr>
            <w:tcW w:w="4968" w:type="dxa"/>
            <w:vAlign w:val="center"/>
          </w:tcPr>
          <w:p w14:paraId="061A497C" w14:textId="77777777" w:rsidR="007B165E" w:rsidRDefault="00000000">
            <w:r>
              <w:t>Product-level forecasting and inventory decisions</w:t>
            </w:r>
          </w:p>
        </w:tc>
      </w:tr>
      <w:tr w:rsidR="007B165E" w14:paraId="0E650784" w14:textId="77777777">
        <w:trPr>
          <w:jc w:val="center"/>
        </w:trPr>
        <w:tc>
          <w:tcPr>
            <w:tcW w:w="4968" w:type="dxa"/>
            <w:vAlign w:val="center"/>
          </w:tcPr>
          <w:p w14:paraId="43492444" w14:textId="77777777" w:rsidR="007B165E" w:rsidRDefault="00000000">
            <w:r>
              <w:t>Category</w:t>
            </w:r>
          </w:p>
        </w:tc>
        <w:tc>
          <w:tcPr>
            <w:tcW w:w="4968" w:type="dxa"/>
            <w:vAlign w:val="center"/>
          </w:tcPr>
          <w:p w14:paraId="6801213D" w14:textId="77777777" w:rsidR="007B165E" w:rsidRDefault="00000000">
            <w:r>
              <w:t>Category-level demand patterns</w:t>
            </w:r>
          </w:p>
        </w:tc>
      </w:tr>
      <w:tr w:rsidR="007B165E" w14:paraId="0A067477" w14:textId="77777777">
        <w:trPr>
          <w:jc w:val="center"/>
        </w:trPr>
        <w:tc>
          <w:tcPr>
            <w:tcW w:w="4968" w:type="dxa"/>
            <w:vAlign w:val="center"/>
          </w:tcPr>
          <w:p w14:paraId="54DE0B13" w14:textId="77777777" w:rsidR="007B165E" w:rsidRDefault="00000000">
            <w:r>
              <w:t>Region</w:t>
            </w:r>
          </w:p>
        </w:tc>
        <w:tc>
          <w:tcPr>
            <w:tcW w:w="4968" w:type="dxa"/>
            <w:vAlign w:val="center"/>
          </w:tcPr>
          <w:p w14:paraId="655BB39D" w14:textId="77777777" w:rsidR="007B165E" w:rsidRDefault="00000000">
            <w:r>
              <w:t>Geographic segmentation</w:t>
            </w:r>
          </w:p>
        </w:tc>
      </w:tr>
      <w:tr w:rsidR="007B165E" w14:paraId="5128E50A" w14:textId="77777777">
        <w:trPr>
          <w:jc w:val="center"/>
        </w:trPr>
        <w:tc>
          <w:tcPr>
            <w:tcW w:w="4968" w:type="dxa"/>
            <w:vAlign w:val="center"/>
          </w:tcPr>
          <w:p w14:paraId="34AEB852" w14:textId="77777777" w:rsidR="007B165E" w:rsidRDefault="00000000">
            <w:r>
              <w:t>Inventory Level</w:t>
            </w:r>
          </w:p>
        </w:tc>
        <w:tc>
          <w:tcPr>
            <w:tcW w:w="4968" w:type="dxa"/>
            <w:vAlign w:val="center"/>
          </w:tcPr>
          <w:p w14:paraId="2DE1F962" w14:textId="77777777" w:rsidR="007B165E" w:rsidRDefault="00000000">
            <w:r>
              <w:t>Current/observed inventory condition</w:t>
            </w:r>
          </w:p>
        </w:tc>
      </w:tr>
      <w:tr w:rsidR="007B165E" w14:paraId="17D74712" w14:textId="77777777">
        <w:trPr>
          <w:jc w:val="center"/>
        </w:trPr>
        <w:tc>
          <w:tcPr>
            <w:tcW w:w="4968" w:type="dxa"/>
            <w:vAlign w:val="center"/>
          </w:tcPr>
          <w:p w14:paraId="28E79291" w14:textId="77777777" w:rsidR="007B165E" w:rsidRDefault="00000000">
            <w:r>
              <w:t>Units Sold</w:t>
            </w:r>
          </w:p>
        </w:tc>
        <w:tc>
          <w:tcPr>
            <w:tcW w:w="4968" w:type="dxa"/>
            <w:vAlign w:val="center"/>
          </w:tcPr>
          <w:p w14:paraId="56EE87A9" w14:textId="77777777" w:rsidR="007B165E" w:rsidRDefault="00000000">
            <w:r>
              <w:t>Historical sales and demand signal</w:t>
            </w:r>
          </w:p>
        </w:tc>
      </w:tr>
      <w:tr w:rsidR="007B165E" w14:paraId="27CA3CEC" w14:textId="77777777">
        <w:trPr>
          <w:jc w:val="center"/>
        </w:trPr>
        <w:tc>
          <w:tcPr>
            <w:tcW w:w="4968" w:type="dxa"/>
            <w:vAlign w:val="center"/>
          </w:tcPr>
          <w:p w14:paraId="38CE4DDD" w14:textId="77777777" w:rsidR="007B165E" w:rsidRDefault="00000000">
            <w:r>
              <w:t>Units Ordered</w:t>
            </w:r>
          </w:p>
        </w:tc>
        <w:tc>
          <w:tcPr>
            <w:tcW w:w="4968" w:type="dxa"/>
            <w:vAlign w:val="center"/>
          </w:tcPr>
          <w:p w14:paraId="5D8DE655" w14:textId="77777777" w:rsidR="007B165E" w:rsidRDefault="00000000">
            <w:r>
              <w:t>Observed replenishment/order quantity</w:t>
            </w:r>
          </w:p>
        </w:tc>
      </w:tr>
      <w:tr w:rsidR="007B165E" w14:paraId="16C0E4B1" w14:textId="77777777">
        <w:trPr>
          <w:jc w:val="center"/>
        </w:trPr>
        <w:tc>
          <w:tcPr>
            <w:tcW w:w="4968" w:type="dxa"/>
            <w:vAlign w:val="center"/>
          </w:tcPr>
          <w:p w14:paraId="148FEEBF" w14:textId="77777777" w:rsidR="007B165E" w:rsidRDefault="00000000">
            <w:r>
              <w:t>Demand Forecast</w:t>
            </w:r>
          </w:p>
        </w:tc>
        <w:tc>
          <w:tcPr>
            <w:tcW w:w="4968" w:type="dxa"/>
            <w:vAlign w:val="center"/>
          </w:tcPr>
          <w:p w14:paraId="70C6D406" w14:textId="77777777" w:rsidR="007B165E" w:rsidRDefault="00000000">
            <w:r>
              <w:t>Existing forecast field; investigated separately for leakage</w:t>
            </w:r>
          </w:p>
        </w:tc>
      </w:tr>
      <w:tr w:rsidR="007B165E" w14:paraId="3972F9FF" w14:textId="77777777">
        <w:trPr>
          <w:jc w:val="center"/>
        </w:trPr>
        <w:tc>
          <w:tcPr>
            <w:tcW w:w="4968" w:type="dxa"/>
            <w:vAlign w:val="center"/>
          </w:tcPr>
          <w:p w14:paraId="01120D2E" w14:textId="77777777" w:rsidR="007B165E" w:rsidRDefault="00000000">
            <w:r>
              <w:t>Price</w:t>
            </w:r>
          </w:p>
        </w:tc>
        <w:tc>
          <w:tcPr>
            <w:tcW w:w="4968" w:type="dxa"/>
            <w:vAlign w:val="center"/>
          </w:tcPr>
          <w:p w14:paraId="2C905E00" w14:textId="77777777" w:rsidR="007B165E" w:rsidRDefault="00000000">
            <w:r>
              <w:t>Pricing-related demand feature</w:t>
            </w:r>
          </w:p>
        </w:tc>
      </w:tr>
      <w:tr w:rsidR="007B165E" w14:paraId="5D77D143" w14:textId="77777777">
        <w:trPr>
          <w:jc w:val="center"/>
        </w:trPr>
        <w:tc>
          <w:tcPr>
            <w:tcW w:w="4968" w:type="dxa"/>
            <w:vAlign w:val="center"/>
          </w:tcPr>
          <w:p w14:paraId="0AED825F" w14:textId="77777777" w:rsidR="007B165E" w:rsidRDefault="00000000">
            <w:r>
              <w:lastRenderedPageBreak/>
              <w:t>Discount</w:t>
            </w:r>
          </w:p>
        </w:tc>
        <w:tc>
          <w:tcPr>
            <w:tcW w:w="4968" w:type="dxa"/>
            <w:vAlign w:val="center"/>
          </w:tcPr>
          <w:p w14:paraId="54AF2052" w14:textId="77777777" w:rsidR="007B165E" w:rsidRDefault="00000000">
            <w:r>
              <w:t>Promotion/pricing effect</w:t>
            </w:r>
          </w:p>
        </w:tc>
      </w:tr>
      <w:tr w:rsidR="007B165E" w14:paraId="5C4DDAA6" w14:textId="77777777">
        <w:trPr>
          <w:jc w:val="center"/>
        </w:trPr>
        <w:tc>
          <w:tcPr>
            <w:tcW w:w="4968" w:type="dxa"/>
            <w:vAlign w:val="center"/>
          </w:tcPr>
          <w:p w14:paraId="58A3F19F" w14:textId="77777777" w:rsidR="007B165E" w:rsidRDefault="00000000">
            <w:r>
              <w:t>Weather Condition</w:t>
            </w:r>
          </w:p>
        </w:tc>
        <w:tc>
          <w:tcPr>
            <w:tcW w:w="4968" w:type="dxa"/>
            <w:vAlign w:val="center"/>
          </w:tcPr>
          <w:p w14:paraId="24794B63" w14:textId="77777777" w:rsidR="007B165E" w:rsidRDefault="00000000">
            <w:r>
              <w:t>External demand factor</w:t>
            </w:r>
          </w:p>
        </w:tc>
      </w:tr>
      <w:tr w:rsidR="007B165E" w14:paraId="0ADD8F15" w14:textId="77777777">
        <w:trPr>
          <w:jc w:val="center"/>
        </w:trPr>
        <w:tc>
          <w:tcPr>
            <w:tcW w:w="4968" w:type="dxa"/>
            <w:vAlign w:val="center"/>
          </w:tcPr>
          <w:p w14:paraId="31C9E94C" w14:textId="77777777" w:rsidR="007B165E" w:rsidRDefault="00000000">
            <w:r>
              <w:t>Holiday/Promotion</w:t>
            </w:r>
          </w:p>
        </w:tc>
        <w:tc>
          <w:tcPr>
            <w:tcW w:w="4968" w:type="dxa"/>
            <w:vAlign w:val="center"/>
          </w:tcPr>
          <w:p w14:paraId="2A07DE07" w14:textId="77777777" w:rsidR="007B165E" w:rsidRDefault="00000000">
            <w:r>
              <w:t>Promotional/holiday demand factor</w:t>
            </w:r>
          </w:p>
        </w:tc>
      </w:tr>
      <w:tr w:rsidR="007B165E" w14:paraId="65AED0E3" w14:textId="77777777">
        <w:trPr>
          <w:jc w:val="center"/>
        </w:trPr>
        <w:tc>
          <w:tcPr>
            <w:tcW w:w="4968" w:type="dxa"/>
            <w:vAlign w:val="center"/>
          </w:tcPr>
          <w:p w14:paraId="70C6D89D" w14:textId="77777777" w:rsidR="007B165E" w:rsidRDefault="00000000">
            <w:r>
              <w:t>Competitor Pricing</w:t>
            </w:r>
          </w:p>
        </w:tc>
        <w:tc>
          <w:tcPr>
            <w:tcW w:w="4968" w:type="dxa"/>
            <w:vAlign w:val="center"/>
          </w:tcPr>
          <w:p w14:paraId="177103E3" w14:textId="77777777" w:rsidR="007B165E" w:rsidRDefault="00000000">
            <w:r>
              <w:t>Competitive pricing signal</w:t>
            </w:r>
          </w:p>
        </w:tc>
      </w:tr>
      <w:tr w:rsidR="007B165E" w14:paraId="16A6B3A8" w14:textId="77777777">
        <w:trPr>
          <w:jc w:val="center"/>
        </w:trPr>
        <w:tc>
          <w:tcPr>
            <w:tcW w:w="4968" w:type="dxa"/>
            <w:vAlign w:val="center"/>
          </w:tcPr>
          <w:p w14:paraId="7E9081DB" w14:textId="77777777" w:rsidR="007B165E" w:rsidRDefault="00000000">
            <w:r>
              <w:t>Seasonality</w:t>
            </w:r>
          </w:p>
        </w:tc>
        <w:tc>
          <w:tcPr>
            <w:tcW w:w="4968" w:type="dxa"/>
            <w:vAlign w:val="center"/>
          </w:tcPr>
          <w:p w14:paraId="08D2B642" w14:textId="77777777" w:rsidR="007B165E" w:rsidRDefault="00000000">
            <w:r>
              <w:t>Seasonal context</w:t>
            </w:r>
          </w:p>
        </w:tc>
      </w:tr>
    </w:tbl>
    <w:p w14:paraId="1446F7EB" w14:textId="77777777" w:rsidR="007B165E" w:rsidRDefault="00000000">
      <w:pPr>
        <w:pStyle w:val="Heading1"/>
      </w:pPr>
      <w:r>
        <w:t>4. Data Quality Assessment</w:t>
      </w:r>
    </w:p>
    <w:p w14:paraId="01A1BB95"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dataset is structurally clean. No missing values were identified across the 15 columns, and no duplicate rows were found. The complete daily coverage and consistent store-product observations make the dataset suitable for building an initial forecasting pipeline without extensive missing-data treatment.</w:t>
      </w:r>
    </w:p>
    <w:p w14:paraId="34A5E200"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Although the dataset is clean from a formatting perspective, EDA indicates that some relationships between variables appear highly synthetic. Therefore, statistical cleanliness should not be interpreted as evidence that every feature represents a realistic business process.</w:t>
      </w:r>
    </w:p>
    <w:p w14:paraId="5ADBED8B" w14:textId="77777777" w:rsidR="007B165E" w:rsidRDefault="00000000">
      <w:pPr>
        <w:pStyle w:val="Heading1"/>
      </w:pPr>
      <w:r>
        <w:t>5. Numerical Feature Summary</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7B165E" w14:paraId="4AC34A0B" w14:textId="77777777">
        <w:trPr>
          <w:jc w:val="center"/>
        </w:trPr>
        <w:tc>
          <w:tcPr>
            <w:tcW w:w="1987" w:type="dxa"/>
          </w:tcPr>
          <w:p w14:paraId="4234E724" w14:textId="77777777" w:rsidR="007B165E" w:rsidRDefault="00000000">
            <w:r>
              <w:rPr>
                <w:b/>
              </w:rPr>
              <w:t>Variable</w:t>
            </w:r>
          </w:p>
        </w:tc>
        <w:tc>
          <w:tcPr>
            <w:tcW w:w="1987" w:type="dxa"/>
          </w:tcPr>
          <w:p w14:paraId="029438FB" w14:textId="77777777" w:rsidR="007B165E" w:rsidRDefault="00000000">
            <w:r>
              <w:rPr>
                <w:b/>
              </w:rPr>
              <w:t>Mean</w:t>
            </w:r>
          </w:p>
        </w:tc>
        <w:tc>
          <w:tcPr>
            <w:tcW w:w="1987" w:type="dxa"/>
          </w:tcPr>
          <w:p w14:paraId="0B5AB40D" w14:textId="77777777" w:rsidR="007B165E" w:rsidRDefault="00000000">
            <w:r>
              <w:rPr>
                <w:b/>
              </w:rPr>
              <w:t>Median</w:t>
            </w:r>
          </w:p>
        </w:tc>
        <w:tc>
          <w:tcPr>
            <w:tcW w:w="1987" w:type="dxa"/>
          </w:tcPr>
          <w:p w14:paraId="31BA196A" w14:textId="77777777" w:rsidR="007B165E" w:rsidRDefault="00000000">
            <w:r>
              <w:rPr>
                <w:b/>
              </w:rPr>
              <w:t>Minimum</w:t>
            </w:r>
          </w:p>
        </w:tc>
        <w:tc>
          <w:tcPr>
            <w:tcW w:w="1987" w:type="dxa"/>
          </w:tcPr>
          <w:p w14:paraId="4B6DB4F0" w14:textId="77777777" w:rsidR="007B165E" w:rsidRDefault="00000000">
            <w:r>
              <w:rPr>
                <w:b/>
              </w:rPr>
              <w:t>Maximum</w:t>
            </w:r>
          </w:p>
        </w:tc>
      </w:tr>
      <w:tr w:rsidR="007B165E" w14:paraId="6CA82FAC" w14:textId="77777777">
        <w:trPr>
          <w:jc w:val="center"/>
        </w:trPr>
        <w:tc>
          <w:tcPr>
            <w:tcW w:w="1987" w:type="dxa"/>
            <w:vAlign w:val="center"/>
          </w:tcPr>
          <w:p w14:paraId="40FC6AE7" w14:textId="77777777" w:rsidR="007B165E" w:rsidRDefault="00000000">
            <w:r>
              <w:t>Inventory Level</w:t>
            </w:r>
          </w:p>
        </w:tc>
        <w:tc>
          <w:tcPr>
            <w:tcW w:w="1987" w:type="dxa"/>
            <w:vAlign w:val="center"/>
          </w:tcPr>
          <w:p w14:paraId="2E9DF0C4" w14:textId="77777777" w:rsidR="007B165E" w:rsidRDefault="00000000">
            <w:r>
              <w:t>274.47</w:t>
            </w:r>
          </w:p>
        </w:tc>
        <w:tc>
          <w:tcPr>
            <w:tcW w:w="1987" w:type="dxa"/>
            <w:vAlign w:val="center"/>
          </w:tcPr>
          <w:p w14:paraId="7C2A68AA" w14:textId="77777777" w:rsidR="007B165E" w:rsidRDefault="00000000">
            <w:r>
              <w:t>273</w:t>
            </w:r>
          </w:p>
        </w:tc>
        <w:tc>
          <w:tcPr>
            <w:tcW w:w="1987" w:type="dxa"/>
            <w:vAlign w:val="center"/>
          </w:tcPr>
          <w:p w14:paraId="01FE3D52" w14:textId="77777777" w:rsidR="007B165E" w:rsidRDefault="00000000">
            <w:r>
              <w:t>50</w:t>
            </w:r>
          </w:p>
        </w:tc>
        <w:tc>
          <w:tcPr>
            <w:tcW w:w="1987" w:type="dxa"/>
            <w:vAlign w:val="center"/>
          </w:tcPr>
          <w:p w14:paraId="11831423" w14:textId="77777777" w:rsidR="007B165E" w:rsidRDefault="00000000">
            <w:r>
              <w:t>500</w:t>
            </w:r>
          </w:p>
        </w:tc>
      </w:tr>
      <w:tr w:rsidR="007B165E" w14:paraId="3396A07B" w14:textId="77777777">
        <w:trPr>
          <w:jc w:val="center"/>
        </w:trPr>
        <w:tc>
          <w:tcPr>
            <w:tcW w:w="1987" w:type="dxa"/>
            <w:vAlign w:val="center"/>
          </w:tcPr>
          <w:p w14:paraId="0B39C9BB" w14:textId="77777777" w:rsidR="007B165E" w:rsidRDefault="00000000">
            <w:r>
              <w:t>Units Sold</w:t>
            </w:r>
          </w:p>
        </w:tc>
        <w:tc>
          <w:tcPr>
            <w:tcW w:w="1987" w:type="dxa"/>
            <w:vAlign w:val="center"/>
          </w:tcPr>
          <w:p w14:paraId="42FCC24E" w14:textId="77777777" w:rsidR="007B165E" w:rsidRDefault="00000000">
            <w:r>
              <w:t>136.46</w:t>
            </w:r>
          </w:p>
        </w:tc>
        <w:tc>
          <w:tcPr>
            <w:tcW w:w="1987" w:type="dxa"/>
            <w:vAlign w:val="center"/>
          </w:tcPr>
          <w:p w14:paraId="75B70D17" w14:textId="77777777" w:rsidR="007B165E" w:rsidRDefault="00000000">
            <w:r>
              <w:t>107</w:t>
            </w:r>
          </w:p>
        </w:tc>
        <w:tc>
          <w:tcPr>
            <w:tcW w:w="1987" w:type="dxa"/>
            <w:vAlign w:val="center"/>
          </w:tcPr>
          <w:p w14:paraId="0A7E14A2" w14:textId="77777777" w:rsidR="007B165E" w:rsidRDefault="00000000">
            <w:r>
              <w:t>0</w:t>
            </w:r>
          </w:p>
        </w:tc>
        <w:tc>
          <w:tcPr>
            <w:tcW w:w="1987" w:type="dxa"/>
            <w:vAlign w:val="center"/>
          </w:tcPr>
          <w:p w14:paraId="21EA4646" w14:textId="77777777" w:rsidR="007B165E" w:rsidRDefault="00000000">
            <w:r>
              <w:t>499</w:t>
            </w:r>
          </w:p>
        </w:tc>
      </w:tr>
      <w:tr w:rsidR="007B165E" w14:paraId="1DE0D039" w14:textId="77777777">
        <w:trPr>
          <w:jc w:val="center"/>
        </w:trPr>
        <w:tc>
          <w:tcPr>
            <w:tcW w:w="1987" w:type="dxa"/>
            <w:vAlign w:val="center"/>
          </w:tcPr>
          <w:p w14:paraId="3497593D" w14:textId="77777777" w:rsidR="007B165E" w:rsidRDefault="00000000">
            <w:r>
              <w:t>Units Ordered</w:t>
            </w:r>
          </w:p>
        </w:tc>
        <w:tc>
          <w:tcPr>
            <w:tcW w:w="1987" w:type="dxa"/>
            <w:vAlign w:val="center"/>
          </w:tcPr>
          <w:p w14:paraId="2D4748BC" w14:textId="77777777" w:rsidR="007B165E" w:rsidRDefault="00000000">
            <w:r>
              <w:t>110</w:t>
            </w:r>
          </w:p>
        </w:tc>
        <w:tc>
          <w:tcPr>
            <w:tcW w:w="1987" w:type="dxa"/>
            <w:vAlign w:val="center"/>
          </w:tcPr>
          <w:p w14:paraId="22BE2A64" w14:textId="77777777" w:rsidR="007B165E" w:rsidRDefault="00000000">
            <w:r>
              <w:t>—</w:t>
            </w:r>
          </w:p>
        </w:tc>
        <w:tc>
          <w:tcPr>
            <w:tcW w:w="1987" w:type="dxa"/>
            <w:vAlign w:val="center"/>
          </w:tcPr>
          <w:p w14:paraId="746D0CDA" w14:textId="77777777" w:rsidR="007B165E" w:rsidRDefault="00000000">
            <w:r>
              <w:t>20</w:t>
            </w:r>
          </w:p>
        </w:tc>
        <w:tc>
          <w:tcPr>
            <w:tcW w:w="1987" w:type="dxa"/>
            <w:vAlign w:val="center"/>
          </w:tcPr>
          <w:p w14:paraId="1692EED3" w14:textId="77777777" w:rsidR="007B165E" w:rsidRDefault="00000000">
            <w:r>
              <w:t>200</w:t>
            </w:r>
          </w:p>
        </w:tc>
      </w:tr>
      <w:tr w:rsidR="007B165E" w14:paraId="6B4A5418" w14:textId="77777777">
        <w:trPr>
          <w:jc w:val="center"/>
        </w:trPr>
        <w:tc>
          <w:tcPr>
            <w:tcW w:w="1987" w:type="dxa"/>
            <w:vAlign w:val="center"/>
          </w:tcPr>
          <w:p w14:paraId="54A0DDB1" w14:textId="77777777" w:rsidR="007B165E" w:rsidRDefault="00000000">
            <w:r>
              <w:t>Price</w:t>
            </w:r>
          </w:p>
        </w:tc>
        <w:tc>
          <w:tcPr>
            <w:tcW w:w="1987" w:type="dxa"/>
            <w:vAlign w:val="center"/>
          </w:tcPr>
          <w:p w14:paraId="3A65B7FA" w14:textId="77777777" w:rsidR="007B165E" w:rsidRDefault="00000000">
            <w:r>
              <w:t>55.14</w:t>
            </w:r>
          </w:p>
        </w:tc>
        <w:tc>
          <w:tcPr>
            <w:tcW w:w="1987" w:type="dxa"/>
            <w:vAlign w:val="center"/>
          </w:tcPr>
          <w:p w14:paraId="6B4FC224" w14:textId="77777777" w:rsidR="007B165E" w:rsidRDefault="00000000">
            <w:r>
              <w:t>—</w:t>
            </w:r>
          </w:p>
        </w:tc>
        <w:tc>
          <w:tcPr>
            <w:tcW w:w="1987" w:type="dxa"/>
            <w:vAlign w:val="center"/>
          </w:tcPr>
          <w:p w14:paraId="6DD7D47D" w14:textId="77777777" w:rsidR="007B165E" w:rsidRDefault="00000000">
            <w:r>
              <w:t>10</w:t>
            </w:r>
          </w:p>
        </w:tc>
        <w:tc>
          <w:tcPr>
            <w:tcW w:w="1987" w:type="dxa"/>
            <w:vAlign w:val="center"/>
          </w:tcPr>
          <w:p w14:paraId="0BFFB188" w14:textId="77777777" w:rsidR="007B165E" w:rsidRDefault="00000000">
            <w:r>
              <w:t>100</w:t>
            </w:r>
          </w:p>
        </w:tc>
      </w:tr>
      <w:tr w:rsidR="007B165E" w14:paraId="1E62A982" w14:textId="77777777">
        <w:trPr>
          <w:jc w:val="center"/>
        </w:trPr>
        <w:tc>
          <w:tcPr>
            <w:tcW w:w="1987" w:type="dxa"/>
            <w:vAlign w:val="center"/>
          </w:tcPr>
          <w:p w14:paraId="1D890492" w14:textId="77777777" w:rsidR="007B165E" w:rsidRDefault="00000000">
            <w:r>
              <w:t>Competitor Pricing</w:t>
            </w:r>
          </w:p>
        </w:tc>
        <w:tc>
          <w:tcPr>
            <w:tcW w:w="1987" w:type="dxa"/>
            <w:vAlign w:val="center"/>
          </w:tcPr>
          <w:p w14:paraId="2C812597" w14:textId="77777777" w:rsidR="007B165E" w:rsidRDefault="00000000">
            <w:r>
              <w:t>55.15</w:t>
            </w:r>
          </w:p>
        </w:tc>
        <w:tc>
          <w:tcPr>
            <w:tcW w:w="1987" w:type="dxa"/>
            <w:vAlign w:val="center"/>
          </w:tcPr>
          <w:p w14:paraId="718BCF72" w14:textId="77777777" w:rsidR="007B165E" w:rsidRDefault="00000000">
            <w:r>
              <w:t>—</w:t>
            </w:r>
          </w:p>
        </w:tc>
        <w:tc>
          <w:tcPr>
            <w:tcW w:w="1987" w:type="dxa"/>
            <w:vAlign w:val="center"/>
          </w:tcPr>
          <w:p w14:paraId="1BA22E18" w14:textId="77777777" w:rsidR="007B165E" w:rsidRDefault="00000000">
            <w:r>
              <w:t>5.03</w:t>
            </w:r>
          </w:p>
        </w:tc>
        <w:tc>
          <w:tcPr>
            <w:tcW w:w="1987" w:type="dxa"/>
            <w:vAlign w:val="center"/>
          </w:tcPr>
          <w:p w14:paraId="37CF14ED" w14:textId="77777777" w:rsidR="007B165E" w:rsidRDefault="00000000">
            <w:r>
              <w:t>104.94</w:t>
            </w:r>
          </w:p>
        </w:tc>
      </w:tr>
    </w:tbl>
    <w:p w14:paraId="4A0D98CC" w14:textId="77777777" w:rsidR="007B165E" w:rsidRPr="007E7BCC" w:rsidRDefault="00000000">
      <w:pPr>
        <w:rPr>
          <w:rFonts w:ascii="Times New Roman" w:hAnsi="Times New Roman" w:cs="Times New Roman"/>
          <w:sz w:val="24"/>
          <w:szCs w:val="24"/>
        </w:rPr>
      </w:pPr>
      <w:r w:rsidRPr="007E7BCC">
        <w:rPr>
          <w:rFonts w:ascii="Times New Roman" w:hAnsi="Times New Roman" w:cs="Times New Roman"/>
          <w:sz w:val="24"/>
          <w:szCs w:val="24"/>
        </w:rPr>
        <w:t>Inventory ranges from 50 to 500 units, while daily units sold ranges from 0 to 499. This variation provides sufficient numerical range for testing demand forecasting and inventory-risk models.</w:t>
      </w:r>
    </w:p>
    <w:p w14:paraId="06ABA946" w14:textId="77777777" w:rsidR="007B165E" w:rsidRDefault="00000000">
      <w:pPr>
        <w:pStyle w:val="Heading1"/>
      </w:pPr>
      <w:r>
        <w:t>6. Categorical Feature Analysis</w:t>
      </w:r>
    </w:p>
    <w:p w14:paraId="028989C5"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dataset contains five product categories: Furniture, Toys, Clothing, Groceries, and Electronics. Weather conditions include Sunny, Rainy, Snowy, and Cloudy. Seasonality is represented by Spring, Summer, Autumn, and Winter. Discount levels include 0%, 5%, 10%, 15%, and 20%. The Holiday/Promotion field provides a binary promotional indicator.</w:t>
      </w:r>
    </w:p>
    <w:p w14:paraId="71770BE7" w14:textId="77777777" w:rsidR="007B165E" w:rsidRDefault="00000000">
      <w:pPr>
        <w:pStyle w:val="Heading1"/>
      </w:pPr>
      <w:r>
        <w:t>7. Time-Series Analysis</w:t>
      </w:r>
    </w:p>
    <w:p w14:paraId="7F1085BE"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dataset spans approximately two years of daily observations from January 2022 through January 2024. Every day contains 100 store-product observations. This regular structure supports the creation of lag features, rolling statistics, day/week/month indicators, and time-based training and validation splits.</w:t>
      </w:r>
    </w:p>
    <w:p w14:paraId="37E7BF49"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Monthly average sales are relatively stable, approximately within the 134–</w:t>
      </w:r>
      <w:proofErr w:type="gramStart"/>
      <w:r w:rsidRPr="007E7BCC">
        <w:rPr>
          <w:rFonts w:ascii="Times New Roman" w:hAnsi="Times New Roman" w:cs="Times New Roman"/>
          <w:sz w:val="24"/>
          <w:szCs w:val="24"/>
        </w:rPr>
        <w:t>139 unit</w:t>
      </w:r>
      <w:proofErr w:type="gramEnd"/>
      <w:r w:rsidRPr="007E7BCC">
        <w:rPr>
          <w:rFonts w:ascii="Times New Roman" w:hAnsi="Times New Roman" w:cs="Times New Roman"/>
          <w:sz w:val="24"/>
          <w:szCs w:val="24"/>
        </w:rPr>
        <w:t xml:space="preserve"> range. Therefore, the dataset does not demonstrate an especially strong natural seasonal pattern. Seasonality should be treated as a candidate feature and evaluated empirically rather than being assumed to have a strong causal effect.</w:t>
      </w:r>
    </w:p>
    <w:p w14:paraId="50A237B3" w14:textId="77777777" w:rsidR="007B165E" w:rsidRDefault="00000000">
      <w:pPr>
        <w:pStyle w:val="Heading1"/>
      </w:pPr>
      <w:r>
        <w:lastRenderedPageBreak/>
        <w:t>8. Inventory and Sales Relationships</w:t>
      </w:r>
    </w:p>
    <w:p w14:paraId="7A3FA23E"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Units sold never exceed the recorded inventory level in the observations examined, which keeps the records internally consistent for basic inventory analysis. Low-inventory observations are available and can be used to investigate potential stockout-risk conditions.</w:t>
      </w:r>
    </w:p>
    <w:tbl>
      <w:tblPr>
        <w:tblStyle w:val="TableGrid"/>
        <w:tblW w:w="0" w:type="auto"/>
        <w:jc w:val="center"/>
        <w:tblLook w:val="04A0" w:firstRow="1" w:lastRow="0" w:firstColumn="1" w:lastColumn="0" w:noHBand="0" w:noVBand="1"/>
      </w:tblPr>
      <w:tblGrid>
        <w:gridCol w:w="4963"/>
        <w:gridCol w:w="4963"/>
      </w:tblGrid>
      <w:tr w:rsidR="007B165E" w14:paraId="413253AD" w14:textId="77777777">
        <w:trPr>
          <w:jc w:val="center"/>
        </w:trPr>
        <w:tc>
          <w:tcPr>
            <w:tcW w:w="4968" w:type="dxa"/>
          </w:tcPr>
          <w:p w14:paraId="76402B04" w14:textId="77777777" w:rsidR="007B165E" w:rsidRDefault="00000000">
            <w:r>
              <w:rPr>
                <w:b/>
              </w:rPr>
              <w:t>Inventory threshold</w:t>
            </w:r>
          </w:p>
        </w:tc>
        <w:tc>
          <w:tcPr>
            <w:tcW w:w="4968" w:type="dxa"/>
          </w:tcPr>
          <w:p w14:paraId="16BF3A75" w14:textId="77777777" w:rsidR="007B165E" w:rsidRDefault="00000000">
            <w:r>
              <w:rPr>
                <w:b/>
              </w:rPr>
              <w:t>Number of records</w:t>
            </w:r>
          </w:p>
        </w:tc>
      </w:tr>
      <w:tr w:rsidR="007B165E" w14:paraId="6D9DA8E9" w14:textId="77777777">
        <w:trPr>
          <w:jc w:val="center"/>
        </w:trPr>
        <w:tc>
          <w:tcPr>
            <w:tcW w:w="4968" w:type="dxa"/>
            <w:vAlign w:val="center"/>
          </w:tcPr>
          <w:p w14:paraId="42C0DE07" w14:textId="77777777" w:rsidR="007B165E" w:rsidRDefault="00000000">
            <w:r>
              <w:t>≤ 50 units</w:t>
            </w:r>
          </w:p>
        </w:tc>
        <w:tc>
          <w:tcPr>
            <w:tcW w:w="4968" w:type="dxa"/>
            <w:vAlign w:val="center"/>
          </w:tcPr>
          <w:p w14:paraId="7C1285A3" w14:textId="77777777" w:rsidR="007B165E" w:rsidRDefault="00000000">
            <w:r>
              <w:t>130</w:t>
            </w:r>
          </w:p>
        </w:tc>
      </w:tr>
      <w:tr w:rsidR="007B165E" w14:paraId="7AAB815D" w14:textId="77777777">
        <w:trPr>
          <w:jc w:val="center"/>
        </w:trPr>
        <w:tc>
          <w:tcPr>
            <w:tcW w:w="4968" w:type="dxa"/>
            <w:vAlign w:val="center"/>
          </w:tcPr>
          <w:p w14:paraId="5465E5A9" w14:textId="77777777" w:rsidR="007B165E" w:rsidRDefault="00000000">
            <w:r>
              <w:t>≤ 75 units</w:t>
            </w:r>
          </w:p>
        </w:tc>
        <w:tc>
          <w:tcPr>
            <w:tcW w:w="4968" w:type="dxa"/>
            <w:vAlign w:val="center"/>
          </w:tcPr>
          <w:p w14:paraId="64285757" w14:textId="77777777" w:rsidR="007B165E" w:rsidRDefault="00000000">
            <w:r>
              <w:t>4,168</w:t>
            </w:r>
          </w:p>
        </w:tc>
      </w:tr>
      <w:tr w:rsidR="007B165E" w14:paraId="46E8DB9B" w14:textId="77777777">
        <w:trPr>
          <w:jc w:val="center"/>
        </w:trPr>
        <w:tc>
          <w:tcPr>
            <w:tcW w:w="4968" w:type="dxa"/>
            <w:vAlign w:val="center"/>
          </w:tcPr>
          <w:p w14:paraId="208EC80B" w14:textId="77777777" w:rsidR="007B165E" w:rsidRDefault="00000000">
            <w:r>
              <w:t>≤ 100 units</w:t>
            </w:r>
          </w:p>
        </w:tc>
        <w:tc>
          <w:tcPr>
            <w:tcW w:w="4968" w:type="dxa"/>
            <w:vAlign w:val="center"/>
          </w:tcPr>
          <w:p w14:paraId="209D2032" w14:textId="77777777" w:rsidR="007B165E" w:rsidRDefault="00000000">
            <w:r>
              <w:t>8,214</w:t>
            </w:r>
          </w:p>
        </w:tc>
      </w:tr>
      <w:tr w:rsidR="007B165E" w14:paraId="4D531EEC" w14:textId="77777777">
        <w:trPr>
          <w:jc w:val="center"/>
        </w:trPr>
        <w:tc>
          <w:tcPr>
            <w:tcW w:w="4968" w:type="dxa"/>
            <w:vAlign w:val="center"/>
          </w:tcPr>
          <w:p w14:paraId="6E3DA10C" w14:textId="77777777" w:rsidR="007B165E" w:rsidRDefault="00000000">
            <w:r>
              <w:t>≤ 150 units</w:t>
            </w:r>
          </w:p>
        </w:tc>
        <w:tc>
          <w:tcPr>
            <w:tcW w:w="4968" w:type="dxa"/>
            <w:vAlign w:val="center"/>
          </w:tcPr>
          <w:p w14:paraId="4D583E19" w14:textId="77777777" w:rsidR="007B165E" w:rsidRDefault="00000000">
            <w:r>
              <w:t>16,346</w:t>
            </w:r>
          </w:p>
        </w:tc>
      </w:tr>
    </w:tbl>
    <w:p w14:paraId="08D61569" w14:textId="77777777" w:rsidR="007B165E" w:rsidRDefault="00000000" w:rsidP="007E7BCC">
      <w:pPr>
        <w:jc w:val="both"/>
      </w:pPr>
      <w:r>
        <w:t>These thresholds should not automatically be labelled as stockouts. A proper stockout-risk target should consider demand, future demand, replenishment lead time, safety stock, and other operational constraints.</w:t>
      </w:r>
    </w:p>
    <w:p w14:paraId="1800102C" w14:textId="77777777" w:rsidR="007B165E" w:rsidRDefault="00000000">
      <w:pPr>
        <w:pStyle w:val="Heading1"/>
      </w:pPr>
      <w:r>
        <w:t>9. Correlation Analysis</w:t>
      </w:r>
    </w:p>
    <w:tbl>
      <w:tblPr>
        <w:tblStyle w:val="TableGrid"/>
        <w:tblW w:w="0" w:type="auto"/>
        <w:jc w:val="center"/>
        <w:tblLook w:val="04A0" w:firstRow="1" w:lastRow="0" w:firstColumn="1" w:lastColumn="0" w:noHBand="0" w:noVBand="1"/>
      </w:tblPr>
      <w:tblGrid>
        <w:gridCol w:w="3308"/>
        <w:gridCol w:w="3309"/>
        <w:gridCol w:w="3309"/>
      </w:tblGrid>
      <w:tr w:rsidR="007B165E" w14:paraId="62ACCD4A" w14:textId="77777777">
        <w:trPr>
          <w:jc w:val="center"/>
        </w:trPr>
        <w:tc>
          <w:tcPr>
            <w:tcW w:w="3312" w:type="dxa"/>
          </w:tcPr>
          <w:p w14:paraId="55793635" w14:textId="77777777" w:rsidR="007B165E" w:rsidRDefault="00000000">
            <w:r>
              <w:rPr>
                <w:b/>
              </w:rPr>
              <w:t>Relationship</w:t>
            </w:r>
          </w:p>
        </w:tc>
        <w:tc>
          <w:tcPr>
            <w:tcW w:w="3312" w:type="dxa"/>
          </w:tcPr>
          <w:p w14:paraId="2621815F" w14:textId="77777777" w:rsidR="007B165E" w:rsidRDefault="00000000">
            <w:r>
              <w:rPr>
                <w:b/>
              </w:rPr>
              <w:t>Correlation / Observation</w:t>
            </w:r>
          </w:p>
        </w:tc>
        <w:tc>
          <w:tcPr>
            <w:tcW w:w="3312" w:type="dxa"/>
          </w:tcPr>
          <w:p w14:paraId="6E6CE57D" w14:textId="77777777" w:rsidR="007B165E" w:rsidRDefault="00000000">
            <w:r>
              <w:rPr>
                <w:b/>
              </w:rPr>
              <w:t>Interpretation</w:t>
            </w:r>
          </w:p>
        </w:tc>
      </w:tr>
      <w:tr w:rsidR="007B165E" w14:paraId="0D814DD7" w14:textId="77777777">
        <w:trPr>
          <w:jc w:val="center"/>
        </w:trPr>
        <w:tc>
          <w:tcPr>
            <w:tcW w:w="3312" w:type="dxa"/>
            <w:vAlign w:val="center"/>
          </w:tcPr>
          <w:p w14:paraId="1A4C8AD8" w14:textId="77777777" w:rsidR="007B165E" w:rsidRDefault="00000000">
            <w:r>
              <w:t>Units Sold vs Demand Forecast</w:t>
            </w:r>
          </w:p>
        </w:tc>
        <w:tc>
          <w:tcPr>
            <w:tcW w:w="3312" w:type="dxa"/>
            <w:vAlign w:val="center"/>
          </w:tcPr>
          <w:p w14:paraId="057736B9" w14:textId="77777777" w:rsidR="007B165E" w:rsidRDefault="00000000">
            <w:r>
              <w:t>0.997</w:t>
            </w:r>
          </w:p>
        </w:tc>
        <w:tc>
          <w:tcPr>
            <w:tcW w:w="3312" w:type="dxa"/>
            <w:vAlign w:val="center"/>
          </w:tcPr>
          <w:p w14:paraId="497AF7CD" w14:textId="77777777" w:rsidR="007B165E" w:rsidRDefault="00000000">
            <w:r>
              <w:t>Extremely high; requires leakage investigation</w:t>
            </w:r>
          </w:p>
        </w:tc>
      </w:tr>
      <w:tr w:rsidR="007B165E" w14:paraId="2D658098" w14:textId="77777777">
        <w:trPr>
          <w:jc w:val="center"/>
        </w:trPr>
        <w:tc>
          <w:tcPr>
            <w:tcW w:w="3312" w:type="dxa"/>
            <w:vAlign w:val="center"/>
          </w:tcPr>
          <w:p w14:paraId="3493E6D5" w14:textId="77777777" w:rsidR="007B165E" w:rsidRDefault="00000000">
            <w:r>
              <w:t>Inventory Level vs Units Sold</w:t>
            </w:r>
          </w:p>
        </w:tc>
        <w:tc>
          <w:tcPr>
            <w:tcW w:w="3312" w:type="dxa"/>
            <w:vAlign w:val="center"/>
          </w:tcPr>
          <w:p w14:paraId="290B35EC" w14:textId="77777777" w:rsidR="007B165E" w:rsidRDefault="00000000">
            <w:r>
              <w:t>0.590</w:t>
            </w:r>
          </w:p>
        </w:tc>
        <w:tc>
          <w:tcPr>
            <w:tcW w:w="3312" w:type="dxa"/>
            <w:vAlign w:val="center"/>
          </w:tcPr>
          <w:p w14:paraId="2E206F95" w14:textId="77777777" w:rsidR="007B165E" w:rsidRDefault="00000000">
            <w:r>
              <w:t>Moderate positive relationship</w:t>
            </w:r>
          </w:p>
        </w:tc>
      </w:tr>
      <w:tr w:rsidR="007B165E" w14:paraId="40F22C52" w14:textId="77777777">
        <w:trPr>
          <w:jc w:val="center"/>
        </w:trPr>
        <w:tc>
          <w:tcPr>
            <w:tcW w:w="3312" w:type="dxa"/>
            <w:vAlign w:val="center"/>
          </w:tcPr>
          <w:p w14:paraId="2A031C6A" w14:textId="77777777" w:rsidR="007B165E" w:rsidRDefault="00000000">
            <w:r>
              <w:t>Price vs Competitor Pricing</w:t>
            </w:r>
          </w:p>
        </w:tc>
        <w:tc>
          <w:tcPr>
            <w:tcW w:w="3312" w:type="dxa"/>
            <w:vAlign w:val="center"/>
          </w:tcPr>
          <w:p w14:paraId="5465D623" w14:textId="77777777" w:rsidR="007B165E" w:rsidRDefault="00000000">
            <w:r>
              <w:t>0.994</w:t>
            </w:r>
          </w:p>
        </w:tc>
        <w:tc>
          <w:tcPr>
            <w:tcW w:w="3312" w:type="dxa"/>
            <w:vAlign w:val="center"/>
          </w:tcPr>
          <w:p w14:paraId="61D4EF6E" w14:textId="77777777" w:rsidR="007B165E" w:rsidRDefault="00000000">
            <w:r>
              <w:t>Extremely high; likely synthetic relationship</w:t>
            </w:r>
          </w:p>
        </w:tc>
      </w:tr>
    </w:tbl>
    <w:p w14:paraId="259B2C11"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correlations are useful for identifying relationships, but correlation alone does not establish causation. In particular, the very high correlations between some variables require careful feature selection before model training.</w:t>
      </w:r>
    </w:p>
    <w:p w14:paraId="4CF65FB1" w14:textId="77777777" w:rsidR="007B165E" w:rsidRDefault="00000000">
      <w:pPr>
        <w:pStyle w:val="Heading1"/>
      </w:pPr>
      <w:r>
        <w:t>10. Critical Finding: Demand Forecast Leakage</w:t>
      </w:r>
    </w:p>
    <w:p w14:paraId="22C1E923"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existing Demand Forecast column is almost perfectly correlated with Units Sold. Its difference from Units Sold is approximately between -10 and +20 units, with a mean difference of about +5 units. This strongly suggests that the provided forecast is generated from or closely derived from the observed sales value.</w:t>
      </w:r>
    </w:p>
    <w:p w14:paraId="0419A368"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b/>
          <w:sz w:val="24"/>
          <w:szCs w:val="24"/>
        </w:rPr>
        <w:t xml:space="preserve">Decision: </w:t>
      </w:r>
      <w:r w:rsidRPr="007E7BCC">
        <w:rPr>
          <w:rFonts w:ascii="Times New Roman" w:hAnsi="Times New Roman" w:cs="Times New Roman"/>
          <w:sz w:val="24"/>
          <w:szCs w:val="24"/>
        </w:rPr>
        <w:t>The Demand Forecast column should NOT be used as an input feature when training SmartStorage's own demand forecasting model. Doing so could introduce target leakage and produce artificially high model performance.</w:t>
      </w:r>
    </w:p>
    <w:p w14:paraId="669E8F64"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Instead, SmartStorage will learn demand from historical observations and generate its own future forecasts.</w:t>
      </w:r>
    </w:p>
    <w:p w14:paraId="6BEFDB86" w14:textId="77777777" w:rsidR="007B165E" w:rsidRDefault="00000000">
      <w:pPr>
        <w:pStyle w:val="Heading1"/>
      </w:pPr>
      <w:r>
        <w:t>11. Critical Finding: Price and Competitor Pricing</w:t>
      </w:r>
    </w:p>
    <w:p w14:paraId="6BC5889B"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Price and Competitor Pricing have a correlation of approximately 0.994. This is unusually high for independent competitive pricing data and suggests that the competitor price field may have been synthetically generated around the product price.</w:t>
      </w:r>
    </w:p>
    <w:p w14:paraId="141695ED"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lastRenderedPageBreak/>
        <w:t>The feature can still be retained as a candidate predictor, but the project should not claim that competitor pricing has a strong causal effect on demand unless this is demonstrated through controlled modelling and additional evidence.</w:t>
      </w:r>
    </w:p>
    <w:p w14:paraId="41826310" w14:textId="77777777" w:rsidR="007B165E" w:rsidRDefault="00000000">
      <w:pPr>
        <w:pStyle w:val="Heading1"/>
      </w:pPr>
      <w:r>
        <w:t>12. Synthetic Nature and Dataset Limitations</w:t>
      </w:r>
    </w:p>
    <w:p w14:paraId="421F3EF8" w14:textId="77777777" w:rsidR="007B165E" w:rsidRPr="007E7BCC" w:rsidRDefault="00000000" w:rsidP="007E7BCC">
      <w:pPr>
        <w:jc w:val="both"/>
        <w:rPr>
          <w:sz w:val="24"/>
          <w:szCs w:val="24"/>
        </w:rPr>
      </w:pPr>
      <w:r w:rsidRPr="007E7BCC">
        <w:rPr>
          <w:sz w:val="24"/>
          <w:szCs w:val="24"/>
        </w:rPr>
        <w:t>Some categorical mappings and relationships appear synthetic. For example, product/category and store/region relationships should be examined carefully before being treated as fixed business master-data relationships. The dataset is therefore best treated as a controlled research/prototyping dataset rather than as a direct representation of a real retailer's production database.</w:t>
      </w:r>
    </w:p>
    <w:p w14:paraId="43BF87FC" w14:textId="77777777" w:rsidR="007B165E" w:rsidRDefault="00000000">
      <w:pPr>
        <w:pStyle w:val="Heading1"/>
      </w:pPr>
      <w:r>
        <w:t>13. Data Available for SmartStorage</w:t>
      </w:r>
    </w:p>
    <w:p w14:paraId="25D0AADC"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real dataset provides the foundation for demand and inventory analytics:</w:t>
      </w:r>
    </w:p>
    <w:p w14:paraId="51378B5E"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Historical units sold and demand signals</w:t>
      </w:r>
    </w:p>
    <w:p w14:paraId="5AEA7FFF"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Observed inventory levels</w:t>
      </w:r>
    </w:p>
    <w:p w14:paraId="713D3439"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Units ordered</w:t>
      </w:r>
    </w:p>
    <w:p w14:paraId="54095FB3"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Product and store identifiers</w:t>
      </w:r>
    </w:p>
    <w:p w14:paraId="06A92C93"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Pricing and discount information</w:t>
      </w:r>
    </w:p>
    <w:p w14:paraId="231FAF03"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Promotion/holiday information</w:t>
      </w:r>
    </w:p>
    <w:p w14:paraId="1189D4FE"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Weather and seasonality indicators</w:t>
      </w:r>
    </w:p>
    <w:p w14:paraId="6FBCD203" w14:textId="77777777" w:rsidR="007B165E" w:rsidRDefault="00000000">
      <w:pPr>
        <w:pStyle w:val="Heading1"/>
      </w:pPr>
      <w:r>
        <w:t>14. Information Missing for the Full SmartStorage System</w:t>
      </w:r>
    </w:p>
    <w:p w14:paraId="39D1B0B4"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dataset does not provide sufficient operational information for supplier-aware replenishment optimization. The following fields will therefore be introduced later through a documented synthetic operational layer:</w:t>
      </w:r>
    </w:p>
    <w:p w14:paraId="3C74CDB8"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Supplier ID and supplier-product mapping</w:t>
      </w:r>
    </w:p>
    <w:p w14:paraId="6804EDFF"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Supplier lead time</w:t>
      </w:r>
    </w:p>
    <w:p w14:paraId="202B4DE5"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Minimum Order Quantity (MOQ)</w:t>
      </w:r>
    </w:p>
    <w:p w14:paraId="38580024"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Unit procurement cost</w:t>
      </w:r>
    </w:p>
    <w:p w14:paraId="230A3687"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Supplier reliability</w:t>
      </w:r>
    </w:p>
    <w:p w14:paraId="59DA9D87"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Warehouse/storage capacity</w:t>
      </w:r>
    </w:p>
    <w:p w14:paraId="32DA1EA2"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Safety-stock policy</w:t>
      </w:r>
    </w:p>
    <w:p w14:paraId="74D5F77A"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Purchase-order status</w:t>
      </w:r>
    </w:p>
    <w:p w14:paraId="4F84003A"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Expected and actual delivery dates</w:t>
      </w:r>
    </w:p>
    <w:p w14:paraId="1609831F" w14:textId="77777777" w:rsidR="007B165E" w:rsidRPr="007E7BCC" w:rsidRDefault="00000000" w:rsidP="007E7BCC">
      <w:pPr>
        <w:pStyle w:val="ListBullet"/>
        <w:jc w:val="both"/>
        <w:rPr>
          <w:rFonts w:ascii="Times New Roman" w:hAnsi="Times New Roman" w:cs="Times New Roman"/>
          <w:sz w:val="24"/>
          <w:szCs w:val="24"/>
        </w:rPr>
      </w:pPr>
      <w:r w:rsidRPr="007E7BCC">
        <w:rPr>
          <w:rFonts w:ascii="Times New Roman" w:hAnsi="Times New Roman" w:cs="Times New Roman"/>
          <w:sz w:val="24"/>
          <w:szCs w:val="24"/>
        </w:rPr>
        <w:t>Supplier location or delivery constraints</w:t>
      </w:r>
    </w:p>
    <w:p w14:paraId="6FB4378B" w14:textId="01771366" w:rsidR="007B165E" w:rsidRDefault="00000000">
      <w:pPr>
        <w:pStyle w:val="Heading1"/>
      </w:pPr>
      <w:r>
        <w:lastRenderedPageBreak/>
        <w:t>1</w:t>
      </w:r>
      <w:r w:rsidR="007A10C9">
        <w:t>5</w:t>
      </w:r>
      <w:r>
        <w:t>. EDA Conclusion</w:t>
      </w:r>
    </w:p>
    <w:p w14:paraId="6FC3B4DF"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The Retail Store Inventory &amp; Demand Forecasting dataset is a suitable starting point for SmartStorage because it provides a complete daily store-product panel with sales, inventory, orders, pricing, promotional, weather, and seasonal information. Its lack of missing values and duplicate records simplifies initial preprocessing. However, EDA reveals that several variables have highly synthetic relationships, particularly Demand Forecast with Units Sold and Price with Competitor Pricing. These findings are important because they prevent data leakage and unsupported interpretations during model development.</w:t>
      </w:r>
    </w:p>
    <w:p w14:paraId="41FEC613" w14:textId="77777777" w:rsidR="007B165E" w:rsidRPr="007E7BCC" w:rsidRDefault="00000000" w:rsidP="007E7BCC">
      <w:pPr>
        <w:jc w:val="both"/>
        <w:rPr>
          <w:rFonts w:ascii="Times New Roman" w:hAnsi="Times New Roman" w:cs="Times New Roman"/>
          <w:sz w:val="24"/>
          <w:szCs w:val="24"/>
        </w:rPr>
      </w:pPr>
      <w:r w:rsidRPr="007E7BCC">
        <w:rPr>
          <w:rFonts w:ascii="Times New Roman" w:hAnsi="Times New Roman" w:cs="Times New Roman"/>
          <w:sz w:val="24"/>
          <w:szCs w:val="24"/>
        </w:rPr>
        <w:t xml:space="preserve">The next stage should therefore be </w:t>
      </w:r>
      <w:proofErr w:type="gramStart"/>
      <w:r w:rsidRPr="007E7BCC">
        <w:rPr>
          <w:rFonts w:ascii="Times New Roman" w:hAnsi="Times New Roman" w:cs="Times New Roman"/>
          <w:sz w:val="24"/>
          <w:szCs w:val="24"/>
        </w:rPr>
        <w:t>feature</w:t>
      </w:r>
      <w:proofErr w:type="gramEnd"/>
      <w:r w:rsidRPr="007E7BCC">
        <w:rPr>
          <w:rFonts w:ascii="Times New Roman" w:hAnsi="Times New Roman" w:cs="Times New Roman"/>
          <w:sz w:val="24"/>
          <w:szCs w:val="24"/>
        </w:rPr>
        <w:t xml:space="preserve"> selection and preparation of a leakage-safe time-series modelling dataset. The SmartStorage demand forecasting model should learn from historical sales and legitimately available explanatory variables rather than relying on the provided Demand Forecast field. Supplier, lead-time, MOQ, cost, capacity, safety-stock, and purchase-order information will be added later through a controlled synthetic operational layer for the inventory optimization and Agentic AI components.</w:t>
      </w:r>
    </w:p>
    <w:p w14:paraId="2CAF64F0" w14:textId="2BDCF190" w:rsidR="007B165E" w:rsidRDefault="007B165E" w:rsidP="007E7BCC">
      <w:pPr>
        <w:pStyle w:val="ListNumber"/>
        <w:numPr>
          <w:ilvl w:val="0"/>
          <w:numId w:val="0"/>
        </w:numPr>
      </w:pPr>
    </w:p>
    <w:sectPr w:rsidR="007B165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CAF1E" w14:textId="77777777" w:rsidR="00D746A6" w:rsidRDefault="00D746A6">
      <w:pPr>
        <w:spacing w:after="0" w:line="240" w:lineRule="auto"/>
      </w:pPr>
      <w:r>
        <w:separator/>
      </w:r>
    </w:p>
  </w:endnote>
  <w:endnote w:type="continuationSeparator" w:id="0">
    <w:p w14:paraId="1C19A78C" w14:textId="77777777" w:rsidR="00D746A6" w:rsidRDefault="00D7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AE9D" w14:textId="37EA2011" w:rsidR="007B165E" w:rsidRDefault="007B16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8BC8" w14:textId="77777777" w:rsidR="00D746A6" w:rsidRDefault="00D746A6">
      <w:pPr>
        <w:spacing w:after="0" w:line="240" w:lineRule="auto"/>
      </w:pPr>
      <w:r>
        <w:separator/>
      </w:r>
    </w:p>
  </w:footnote>
  <w:footnote w:type="continuationSeparator" w:id="0">
    <w:p w14:paraId="56594492" w14:textId="77777777" w:rsidR="00D746A6" w:rsidRDefault="00D74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670489">
    <w:abstractNumId w:val="8"/>
  </w:num>
  <w:num w:numId="2" w16cid:durableId="413280641">
    <w:abstractNumId w:val="6"/>
  </w:num>
  <w:num w:numId="3" w16cid:durableId="2037654104">
    <w:abstractNumId w:val="5"/>
  </w:num>
  <w:num w:numId="4" w16cid:durableId="185026113">
    <w:abstractNumId w:val="4"/>
  </w:num>
  <w:num w:numId="5" w16cid:durableId="1362978334">
    <w:abstractNumId w:val="7"/>
  </w:num>
  <w:num w:numId="6" w16cid:durableId="938609360">
    <w:abstractNumId w:val="3"/>
  </w:num>
  <w:num w:numId="7" w16cid:durableId="1033648462">
    <w:abstractNumId w:val="2"/>
  </w:num>
  <w:num w:numId="8" w16cid:durableId="1536843257">
    <w:abstractNumId w:val="1"/>
  </w:num>
  <w:num w:numId="9" w16cid:durableId="117815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1E55"/>
    <w:rsid w:val="00587AAC"/>
    <w:rsid w:val="00642AF0"/>
    <w:rsid w:val="007A10C9"/>
    <w:rsid w:val="007A18F0"/>
    <w:rsid w:val="007B165E"/>
    <w:rsid w:val="007E7BCC"/>
    <w:rsid w:val="00AA1D8D"/>
    <w:rsid w:val="00B47730"/>
    <w:rsid w:val="00CB0664"/>
    <w:rsid w:val="00D25644"/>
    <w:rsid w:val="00D74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EAD09"/>
  <w14:defaultImageDpi w14:val="300"/>
  <w15:docId w15:val="{44475B17-E0C3-4916-8CEA-1DF4F980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1303</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sadwik sankalamaddi</cp:lastModifiedBy>
  <cp:revision>2</cp:revision>
  <dcterms:created xsi:type="dcterms:W3CDTF">2026-09-28T15:46:00Z</dcterms:created>
  <dcterms:modified xsi:type="dcterms:W3CDTF">2026-09-28T15:46:00Z</dcterms:modified>
  <cp:category/>
</cp:coreProperties>
</file>