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50"/>
        </w:tabs>
        <w:spacing w:line="680" w:lineRule="exact"/>
        <w:jc w:val="center"/>
        <w:rPr>
          <w:rFonts w:hint="eastAsia" w:ascii="仿宋_GB2312" w:eastAsia="仿宋_GB2312"/>
          <w:color w:val="0D1E0F"/>
          <w:sz w:val="32"/>
        </w:rPr>
      </w:pPr>
    </w:p>
    <w:p>
      <w:pPr>
        <w:tabs>
          <w:tab w:val="left" w:pos="350"/>
        </w:tabs>
        <w:spacing w:line="680" w:lineRule="exact"/>
        <w:jc w:val="center"/>
        <w:rPr>
          <w:rFonts w:ascii="仿宋_GB2312" w:eastAsia="仿宋_GB2312"/>
          <w:color w:val="0D1E0F"/>
          <w:sz w:val="32"/>
        </w:rPr>
      </w:pPr>
    </w:p>
    <w:p>
      <w:pPr>
        <w:tabs>
          <w:tab w:val="left" w:pos="350"/>
        </w:tabs>
        <w:spacing w:line="680" w:lineRule="exact"/>
        <w:jc w:val="center"/>
        <w:rPr>
          <w:rFonts w:ascii="仿宋_GB2312" w:eastAsia="仿宋_GB2312"/>
          <w:color w:val="0D1E0F"/>
          <w:sz w:val="32"/>
        </w:rPr>
      </w:pPr>
    </w:p>
    <w:p>
      <w:pPr>
        <w:tabs>
          <w:tab w:val="left" w:pos="350"/>
        </w:tabs>
        <w:spacing w:line="680" w:lineRule="exact"/>
        <w:jc w:val="center"/>
        <w:rPr>
          <w:rFonts w:ascii="仿宋_GB2312" w:eastAsia="仿宋_GB2312"/>
          <w:color w:val="0D1E0F"/>
          <w:sz w:val="32"/>
        </w:rPr>
      </w:pPr>
    </w:p>
    <w:p>
      <w:pPr>
        <w:tabs>
          <w:tab w:val="left" w:pos="350"/>
        </w:tabs>
        <w:spacing w:line="680" w:lineRule="exact"/>
        <w:jc w:val="center"/>
        <w:rPr>
          <w:rFonts w:ascii="仿宋_GB2312" w:eastAsia="仿宋_GB2312"/>
          <w:color w:val="0D1E0F"/>
          <w:sz w:val="32"/>
        </w:rPr>
      </w:pPr>
    </w:p>
    <w:p>
      <w:pPr>
        <w:tabs>
          <w:tab w:val="left" w:pos="350"/>
        </w:tabs>
        <w:spacing w:before="468" w:beforeLines="150" w:after="312" w:afterLines="100" w:line="680" w:lineRule="exact"/>
        <w:jc w:val="center"/>
        <w:rPr>
          <w:rFonts w:ascii="仿宋_GB2312" w:eastAsia="仿宋_GB2312"/>
          <w:color w:val="0D1E0F"/>
          <w:sz w:val="32"/>
        </w:rPr>
      </w:pPr>
    </w:p>
    <w:p>
      <w:pPr>
        <w:tabs>
          <w:tab w:val="left" w:pos="322"/>
        </w:tabs>
        <w:spacing w:line="360" w:lineRule="auto"/>
        <w:jc w:val="center"/>
        <w:rPr>
          <w:rFonts w:ascii="宋体" w:hAnsi="宋体" w:cs="宋体"/>
          <w:b/>
          <w:bCs/>
          <w:color w:val="0D1E0F"/>
          <w:sz w:val="44"/>
          <w:szCs w:val="44"/>
        </w:rPr>
      </w:pPr>
      <w:r>
        <w:rPr>
          <w:rFonts w:hint="eastAsia" w:ascii="仿宋_GB2312" w:eastAsia="仿宋_GB2312"/>
          <w:color w:val="0D1E0F"/>
          <w:sz w:val="32"/>
        </w:rPr>
        <w:t>萍学院教字〔202</w:t>
      </w:r>
      <w:r>
        <w:rPr>
          <w:rFonts w:hint="eastAsia" w:ascii="仿宋_GB2312" w:eastAsia="仿宋_GB2312"/>
          <w:color w:val="0D1E0F"/>
          <w:sz w:val="32"/>
          <w:lang w:val="en-US" w:eastAsia="zh-CN"/>
        </w:rPr>
        <w:t>3</w:t>
      </w:r>
      <w:r>
        <w:rPr>
          <w:rFonts w:hint="eastAsia" w:ascii="仿宋_GB2312" w:eastAsia="仿宋_GB2312"/>
          <w:color w:val="0D1E0F"/>
          <w:sz w:val="32"/>
        </w:rPr>
        <w:t>〕</w:t>
      </w:r>
      <w:r>
        <w:rPr>
          <w:rFonts w:hint="eastAsia" w:ascii="仿宋_GB2312" w:eastAsia="仿宋_GB2312"/>
          <w:color w:val="0D1E0F"/>
          <w:sz w:val="32"/>
          <w:lang w:val="en-US" w:eastAsia="zh-CN"/>
        </w:rPr>
        <w:t>141</w:t>
      </w:r>
      <w:r>
        <w:rPr>
          <w:rFonts w:hint="eastAsia" w:ascii="仿宋_GB2312" w:eastAsia="仿宋_GB2312"/>
          <w:color w:val="0D1E0F"/>
          <w:sz w:val="32"/>
        </w:rPr>
        <w:t>号</w:t>
      </w:r>
    </w:p>
    <w:p>
      <w:pPr>
        <w:tabs>
          <w:tab w:val="left" w:pos="322"/>
        </w:tabs>
        <w:spacing w:line="560" w:lineRule="exact"/>
        <w:jc w:val="center"/>
        <w:rPr>
          <w:rFonts w:ascii="仿宋_GB2312" w:eastAsia="仿宋_GB2312"/>
          <w:color w:val="0D1E0F"/>
          <w:sz w:val="32"/>
        </w:rPr>
      </w:pPr>
    </w:p>
    <w:p>
      <w:pPr>
        <w:tabs>
          <w:tab w:val="left" w:pos="322"/>
        </w:tabs>
        <w:spacing w:line="560" w:lineRule="exact"/>
        <w:jc w:val="center"/>
        <w:rPr>
          <w:rFonts w:ascii="仿宋_GB2312" w:eastAsia="仿宋_GB2312"/>
          <w:color w:val="0D1E0F"/>
          <w:sz w:val="32"/>
        </w:rPr>
      </w:pPr>
    </w:p>
    <w:p>
      <w:pPr>
        <w:spacing w:line="700" w:lineRule="exact"/>
        <w:jc w:val="center"/>
        <w:rPr>
          <w:rFonts w:hint="eastAsia" w:ascii="方正小标宋简体" w:hAnsi="宋体" w:eastAsia="方正小标宋简体" w:cs="宋体"/>
          <w:color w:val="000000"/>
          <w:kern w:val="0"/>
          <w:sz w:val="36"/>
          <w:szCs w:val="36"/>
        </w:rPr>
      </w:pPr>
      <w:r>
        <w:rPr>
          <w:rFonts w:hint="eastAsia" w:ascii="方正小标宋简体" w:hAnsi="宋体" w:eastAsia="方正小标宋简体" w:cs="宋体"/>
          <w:color w:val="000000"/>
          <w:kern w:val="0"/>
          <w:sz w:val="44"/>
          <w:szCs w:val="44"/>
        </w:rPr>
        <w:t>关于做好202</w:t>
      </w:r>
      <w:r>
        <w:rPr>
          <w:rFonts w:hint="eastAsia" w:ascii="方正小标宋简体" w:hAnsi="宋体" w:eastAsia="方正小标宋简体" w:cs="宋体"/>
          <w:color w:val="000000"/>
          <w:kern w:val="0"/>
          <w:sz w:val="44"/>
          <w:szCs w:val="44"/>
          <w:lang w:val="en-US" w:eastAsia="zh-CN"/>
        </w:rPr>
        <w:t>4</w:t>
      </w:r>
      <w:r>
        <w:rPr>
          <w:rFonts w:hint="eastAsia" w:ascii="方正小标宋简体" w:hAnsi="宋体" w:eastAsia="方正小标宋简体" w:cs="宋体"/>
          <w:color w:val="000000"/>
          <w:kern w:val="0"/>
          <w:sz w:val="44"/>
          <w:szCs w:val="44"/>
        </w:rPr>
        <w:t>届本科毕业设计（论文）工作的通  知</w:t>
      </w:r>
    </w:p>
    <w:p>
      <w:pPr>
        <w:widowControl/>
        <w:spacing w:line="600" w:lineRule="exact"/>
        <w:ind w:firstLine="640" w:firstLineChars="200"/>
        <w:rPr>
          <w:rFonts w:hint="eastAsia" w:ascii="仿宋_GB2312" w:hAnsi="仿宋" w:eastAsia="仿宋_GB2312" w:cs="宋体"/>
          <w:color w:val="000000"/>
          <w:kern w:val="0"/>
          <w:sz w:val="32"/>
          <w:szCs w:val="32"/>
        </w:rPr>
      </w:pPr>
    </w:p>
    <w:p>
      <w:pPr>
        <w:keepNext w:val="0"/>
        <w:keepLines w:val="0"/>
        <w:pageBreakBefore w:val="0"/>
        <w:kinsoku/>
        <w:wordWrap/>
        <w:overflowPunct/>
        <w:topLinePunct w:val="0"/>
        <w:autoSpaceDE/>
        <w:autoSpaceDN/>
        <w:bidi w:val="0"/>
        <w:snapToGrid/>
        <w:spacing w:line="580" w:lineRule="exact"/>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各二级学院：</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为切实落实202</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4</w:t>
      </w:r>
      <w:r>
        <w:rPr>
          <w:rFonts w:hint="eastAsia" w:ascii="仿宋_GB2312" w:hAnsi="仿宋" w:eastAsia="仿宋_GB2312" w:cs="宋体"/>
          <w:color w:val="000000" w:themeColor="text1"/>
          <w:kern w:val="0"/>
          <w:sz w:val="32"/>
          <w:szCs w:val="32"/>
          <w14:textFill>
            <w14:solidFill>
              <w14:schemeClr w14:val="tx1"/>
            </w14:solidFill>
          </w14:textFill>
        </w:rPr>
        <w:t>届本科毕业实践环节教学工作，加强对202</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4</w:t>
      </w:r>
      <w:r>
        <w:rPr>
          <w:rFonts w:hint="eastAsia" w:ascii="仿宋_GB2312" w:hAnsi="仿宋" w:eastAsia="仿宋_GB2312" w:cs="宋体"/>
          <w:color w:val="000000" w:themeColor="text1"/>
          <w:kern w:val="0"/>
          <w:sz w:val="32"/>
          <w:szCs w:val="32"/>
          <w14:textFill>
            <w14:solidFill>
              <w14:schemeClr w14:val="tx1"/>
            </w14:solidFill>
          </w14:textFill>
        </w:rPr>
        <w:t>届本科毕业设计（论文）的管理，保证本科毕业设计（论文）质量，根据《江西省本科毕业论文（设计）抽检实施细则》《萍乡学院本科生毕业设计（论文）管理办法》《萍乡学院主要教学环节质量标准（节选）》及相关文件规定，结合工作实际，现就做好202</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4</w:t>
      </w:r>
      <w:r>
        <w:rPr>
          <w:rFonts w:hint="eastAsia" w:ascii="仿宋_GB2312" w:hAnsi="仿宋" w:eastAsia="仿宋_GB2312" w:cs="宋体"/>
          <w:color w:val="000000" w:themeColor="text1"/>
          <w:kern w:val="0"/>
          <w:sz w:val="32"/>
          <w:szCs w:val="32"/>
          <w14:textFill>
            <w14:solidFill>
              <w14:schemeClr w14:val="tx1"/>
            </w14:solidFill>
          </w14:textFill>
        </w:rPr>
        <w:t>届本科毕业设计（论文）工作有关事项通知如下：</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黑体" w:hAnsi="黑体" w:eastAsia="黑体" w:cs="宋体"/>
          <w:b/>
          <w:color w:val="000000" w:themeColor="text1"/>
          <w:sz w:val="32"/>
          <w:szCs w:val="32"/>
          <w14:textFill>
            <w14:solidFill>
              <w14:schemeClr w14:val="tx1"/>
            </w14:solidFill>
          </w14:textFill>
        </w:rPr>
      </w:pPr>
      <w:r>
        <w:rPr>
          <w:rStyle w:val="7"/>
          <w:rFonts w:hint="eastAsia" w:ascii="黑体" w:hAnsi="黑体" w:eastAsia="黑体" w:cs="宋体"/>
          <w:b w:val="0"/>
          <w:color w:val="000000" w:themeColor="text1"/>
          <w:kern w:val="0"/>
          <w:sz w:val="32"/>
          <w:szCs w:val="32"/>
          <w14:textFill>
            <w14:solidFill>
              <w14:schemeClr w14:val="tx1"/>
            </w14:solidFill>
          </w14:textFill>
        </w:rPr>
        <w:t>一、加强组织领导，做好宣传动员</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各学院应提前成立毕业设计（论文）工作领导小组，加强对毕业设计（论文）工作的指导和管理，做好宣传动员，使全体师生能够从思想上充分认识做好毕业设计（论文）工作的重要意义。各学院要采取有效措施，认真处理好毕业设计（论文）与学生考研就业等工作的关系，从时间安排、组织实施等方面切实加强和改进毕业设计（论文）各环节的管理，把毕业设计(论文)工作的重心放在提高质量和培养学生实际能力上来。</w:t>
      </w:r>
    </w:p>
    <w:p>
      <w:pPr>
        <w:keepNext w:val="0"/>
        <w:keepLines w:val="0"/>
        <w:pageBreakBefore w:val="0"/>
        <w:kinsoku/>
        <w:wordWrap/>
        <w:overflowPunct/>
        <w:topLinePunct w:val="0"/>
        <w:autoSpaceDE/>
        <w:autoSpaceDN/>
        <w:bidi w:val="0"/>
        <w:snapToGrid/>
        <w:spacing w:line="580" w:lineRule="exact"/>
        <w:ind w:firstLine="640" w:firstLineChars="200"/>
        <w:textAlignment w:val="auto"/>
        <w:rPr>
          <w:rStyle w:val="7"/>
          <w:rFonts w:ascii="黑体" w:hAnsi="黑体" w:eastAsia="黑体" w:cs="宋体"/>
          <w:color w:val="000000" w:themeColor="text1"/>
          <w:kern w:val="0"/>
          <w14:textFill>
            <w14:solidFill>
              <w14:schemeClr w14:val="tx1"/>
            </w14:solidFill>
          </w14:textFill>
        </w:rPr>
      </w:pPr>
      <w:r>
        <w:rPr>
          <w:rStyle w:val="7"/>
          <w:rFonts w:hint="eastAsia" w:ascii="黑体" w:hAnsi="黑体" w:eastAsia="黑体" w:cs="宋体"/>
          <w:b w:val="0"/>
          <w:color w:val="000000" w:themeColor="text1"/>
          <w:kern w:val="0"/>
          <w:sz w:val="32"/>
          <w:szCs w:val="32"/>
          <w14:textFill>
            <w14:solidFill>
              <w14:schemeClr w14:val="tx1"/>
            </w14:solidFill>
          </w14:textFill>
        </w:rPr>
        <w:t>二、明确工作目标，注重过程与质量管理</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楷体_GB2312" w:hAnsi="仿宋" w:eastAsia="楷体_GB2312" w:cs="宋体"/>
          <w:color w:val="000000" w:themeColor="text1"/>
          <w:sz w:val="32"/>
          <w:szCs w:val="32"/>
          <w14:textFill>
            <w14:solidFill>
              <w14:schemeClr w14:val="tx1"/>
            </w14:solidFill>
          </w14:textFill>
        </w:rPr>
      </w:pPr>
      <w:r>
        <w:rPr>
          <w:rFonts w:hint="eastAsia" w:ascii="楷体_GB2312" w:hAnsi="仿宋" w:eastAsia="楷体_GB2312" w:cs="宋体"/>
          <w:color w:val="000000" w:themeColor="text1"/>
          <w:kern w:val="0"/>
          <w:sz w:val="32"/>
          <w:szCs w:val="32"/>
          <w14:textFill>
            <w14:solidFill>
              <w14:schemeClr w14:val="tx1"/>
            </w14:solidFill>
          </w14:textFill>
        </w:rPr>
        <w:t>（一）严格执行人才培养方案，明确工作内容</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各学院要根据各专业人才培养方案的具体要求，在总结202</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3</w:t>
      </w:r>
      <w:r>
        <w:rPr>
          <w:rFonts w:hint="eastAsia" w:ascii="仿宋_GB2312" w:hAnsi="仿宋" w:eastAsia="仿宋_GB2312" w:cs="宋体"/>
          <w:color w:val="000000" w:themeColor="text1"/>
          <w:kern w:val="0"/>
          <w:sz w:val="32"/>
          <w:szCs w:val="32"/>
          <w14:textFill>
            <w14:solidFill>
              <w14:schemeClr w14:val="tx1"/>
            </w14:solidFill>
          </w14:textFill>
        </w:rPr>
        <w:t>届本科毕业设计（论文）专项检查结果的基础上，以问题为导向，对本学院202</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4</w:t>
      </w:r>
      <w:r>
        <w:rPr>
          <w:rFonts w:hint="eastAsia" w:ascii="仿宋_GB2312" w:hAnsi="仿宋" w:eastAsia="仿宋_GB2312" w:cs="宋体"/>
          <w:color w:val="000000" w:themeColor="text1"/>
          <w:kern w:val="0"/>
          <w:sz w:val="32"/>
          <w:szCs w:val="32"/>
          <w14:textFill>
            <w14:solidFill>
              <w14:schemeClr w14:val="tx1"/>
            </w14:solidFill>
          </w14:textFill>
        </w:rPr>
        <w:t>届本科毕业设计（论文）整体工作进行改进。强化和完善学院毕业设计（论文）的二级管理，合理安排工作程序和进度，围绕选题、开题、教师指导、中期检查、论文定稿、评阅、答辩等环节，制定具体的实施细则。</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楷体_GB2312" w:hAnsi="仿宋" w:eastAsia="楷体_GB2312" w:cs="宋体"/>
          <w:color w:val="000000" w:themeColor="text1"/>
          <w:kern w:val="0"/>
          <w:sz w:val="32"/>
          <w:szCs w:val="32"/>
          <w14:textFill>
            <w14:solidFill>
              <w14:schemeClr w14:val="tx1"/>
            </w14:solidFill>
          </w14:textFill>
        </w:rPr>
      </w:pPr>
      <w:r>
        <w:rPr>
          <w:rFonts w:hint="eastAsia" w:ascii="楷体_GB2312" w:hAnsi="仿宋" w:eastAsia="楷体_GB2312" w:cs="宋体"/>
          <w:color w:val="000000" w:themeColor="text1"/>
          <w:kern w:val="0"/>
          <w:sz w:val="32"/>
          <w:szCs w:val="32"/>
          <w14:textFill>
            <w14:solidFill>
              <w14:schemeClr w14:val="tx1"/>
            </w14:solidFill>
          </w14:textFill>
        </w:rPr>
        <w:t>（二）加强选题管理，提高选题质量</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选题应符合专业培养目标，不能“大”，不能“空”，应结合生产实际、教师科研课题和学生创新、竞赛成果，鼓励与课题和成果的“零对接”、“再深化”，切实提高在实验、实习、工程实践和社会调查等实践中完成的比例。在选题环节，各学院要严格按照选题原则和程序操作，把好“选题”关。</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1.加大对毕业设计（论文）课题的征集力度，课题数量保证每学生一题（包括子课题），每年课题更新率应大于80%。</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2.毕业设计（论文）课题应执行教研室、学院审核制度。在努力增加课题数量、拓宽课题范围的基础上，认真组织对申报课题进行把关，给出审核结论。</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3.毕业设计（论文）选题</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应</w:t>
      </w:r>
      <w:r>
        <w:rPr>
          <w:rFonts w:hint="eastAsia" w:ascii="仿宋_GB2312" w:hAnsi="仿宋" w:eastAsia="仿宋_GB2312" w:cs="宋体"/>
          <w:color w:val="000000" w:themeColor="text1"/>
          <w:kern w:val="0"/>
          <w:sz w:val="32"/>
          <w:szCs w:val="32"/>
          <w14:textFill>
            <w14:solidFill>
              <w14:schemeClr w14:val="tx1"/>
            </w14:solidFill>
          </w14:textFill>
        </w:rPr>
        <w:t>符合国家立德树人要求</w:t>
      </w:r>
      <w:r>
        <w:rPr>
          <w:rFonts w:hint="eastAsia" w:ascii="仿宋_GB2312" w:hAnsi="仿宋" w:eastAsia="仿宋_GB2312" w:cs="宋体"/>
          <w:color w:val="000000" w:themeColor="text1"/>
          <w:kern w:val="0"/>
          <w:sz w:val="32"/>
          <w:szCs w:val="32"/>
          <w:lang w:eastAsia="zh-CN"/>
          <w14:textFill>
            <w14:solidFill>
              <w14:schemeClr w14:val="tx1"/>
            </w14:solidFill>
          </w14:textFill>
        </w:rPr>
        <w:t>、</w:t>
      </w:r>
      <w:r>
        <w:rPr>
          <w:rFonts w:hint="eastAsia" w:ascii="仿宋_GB2312" w:hAnsi="仿宋" w:eastAsia="仿宋_GB2312" w:cs="宋体"/>
          <w:color w:val="000000" w:themeColor="text1"/>
          <w:kern w:val="0"/>
          <w:sz w:val="32"/>
          <w:szCs w:val="32"/>
          <w14:textFill>
            <w14:solidFill>
              <w14:schemeClr w14:val="tx1"/>
            </w14:solidFill>
          </w14:textFill>
        </w:rPr>
        <w:t>政治方向正确</w:t>
      </w:r>
      <w:r>
        <w:rPr>
          <w:rFonts w:hint="eastAsia" w:ascii="仿宋_GB2312" w:hAnsi="仿宋" w:eastAsia="仿宋_GB2312" w:cs="宋体"/>
          <w:color w:val="000000" w:themeColor="text1"/>
          <w:kern w:val="0"/>
          <w:sz w:val="32"/>
          <w:szCs w:val="32"/>
          <w:lang w:eastAsia="zh-CN"/>
          <w14:textFill>
            <w14:solidFill>
              <w14:schemeClr w14:val="tx1"/>
            </w14:solidFill>
          </w14:textFill>
        </w:rPr>
        <w:t>、</w:t>
      </w:r>
      <w:r>
        <w:rPr>
          <w:rFonts w:hint="eastAsia" w:ascii="仿宋_GB2312" w:hAnsi="仿宋" w:eastAsia="仿宋_GB2312" w:cs="宋体"/>
          <w:color w:val="000000" w:themeColor="text1"/>
          <w:kern w:val="0"/>
          <w:sz w:val="32"/>
          <w:szCs w:val="32"/>
          <w14:textFill>
            <w14:solidFill>
              <w14:schemeClr w14:val="tx1"/>
            </w14:solidFill>
          </w14:textFill>
        </w:rPr>
        <w:t>符合社会主义核心价值观；应符合本专业培养目标的要求</w:t>
      </w:r>
      <w:r>
        <w:rPr>
          <w:rFonts w:hint="eastAsia" w:ascii="仿宋_GB2312" w:hAnsi="仿宋" w:eastAsia="仿宋_GB2312" w:cs="宋体"/>
          <w:color w:val="000000" w:themeColor="text1"/>
          <w:kern w:val="0"/>
          <w:sz w:val="32"/>
          <w:szCs w:val="32"/>
          <w:lang w:eastAsia="zh-CN"/>
          <w14:textFill>
            <w14:solidFill>
              <w14:schemeClr w14:val="tx1"/>
            </w14:solidFill>
          </w14:textFill>
        </w:rPr>
        <w:t>，</w:t>
      </w:r>
      <w:r>
        <w:rPr>
          <w:rFonts w:hint="eastAsia" w:ascii="仿宋_GB2312" w:hAnsi="仿宋" w:eastAsia="仿宋_GB2312" w:cs="宋体"/>
          <w:color w:val="000000" w:themeColor="text1"/>
          <w:kern w:val="0"/>
          <w:sz w:val="32"/>
          <w:szCs w:val="32"/>
          <w14:textFill>
            <w14:solidFill>
              <w14:schemeClr w14:val="tx1"/>
            </w14:solidFill>
          </w14:textFill>
        </w:rPr>
        <w:t>立足于所在专业领域的理论问题、现实问题或技术问题。选题应尽量结合生产实际、科学研究和社会实践，鼓励应用型专业毕业设计（论文）在实验、实习、工程实践和社会调查中完成。各专业要有50％以上的毕业设计（论文）在实验、实习、工程实践和社会调查等社会实践中完成。</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4.允许学生以反映真才实学和创新能力的与专业相关的创新性实践项目作为毕业设计（论文）选题。学生关于毕业设计（论文）的创新实践类选题必须在其专业范围以内，并符合其专业培养目标和教学要求且必须通过开题小组同意。</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default" w:ascii="仿宋_GB2312" w:hAnsi="仿宋" w:eastAsia="仿宋_GB2312" w:cs="宋体"/>
          <w:color w:val="000000" w:themeColor="text1"/>
          <w:kern w:val="0"/>
          <w:sz w:val="32"/>
          <w:szCs w:val="32"/>
          <w:lang w:val="en-US" w:eastAsia="zh-CN"/>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5.学生选题一经确定，不得随意变动，如确需变更，学生必须提出书面选题变更申请，经指导老师批准后</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执行并在维普毕业论文管理系统中修改选题，务必保证选题与论文最终稿保持一致。</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楷体_GB2312" w:hAnsi="仿宋" w:eastAsia="楷体_GB2312" w:cs="宋体"/>
          <w:color w:val="000000" w:themeColor="text1"/>
          <w:kern w:val="0"/>
          <w:sz w:val="32"/>
          <w:szCs w:val="32"/>
          <w14:textFill>
            <w14:solidFill>
              <w14:schemeClr w14:val="tx1"/>
            </w14:solidFill>
          </w14:textFill>
        </w:rPr>
      </w:pPr>
      <w:r>
        <w:rPr>
          <w:rFonts w:hint="eastAsia" w:ascii="楷体_GB2312" w:hAnsi="仿宋" w:eastAsia="楷体_GB2312" w:cs="宋体"/>
          <w:color w:val="000000" w:themeColor="text1"/>
          <w:kern w:val="0"/>
          <w:sz w:val="32"/>
          <w:szCs w:val="32"/>
          <w14:textFill>
            <w14:solidFill>
              <w14:schemeClr w14:val="tx1"/>
            </w14:solidFill>
          </w14:textFill>
        </w:rPr>
        <w:t>（三）强化指导教师责任意识，提高指导水平</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1.认真审查指导教师资格，明确指导教师的职责，增强责任意识。原则上每位教授、副教授必须参加本科生的毕业设计（论文）指导工作。</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2.考虑到教师工作负荷，控制好指导教师与学生人数比例。每位指导教师指导毕业设计（论文）的学生一般不超过8个。</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3.可以聘请校外单位特别是实习基地具有中级职称以上（含中级）科研人员、工程技术人员参与毕业设计（论文）的指导工作。</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4.加强对毕业设计（论文）指导教师的管理，采取有效措施，调动指导教师的积极性。要进行必要的指导培训和经验交流活动，提高指导教师的指导水平。随时了解指导教师对学生的指导情况，及时发现和解决指导过程中出现的各种问题。</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楷体_GB2312" w:hAnsi="仿宋" w:eastAsia="楷体_GB2312" w:cs="宋体"/>
          <w:color w:val="000000" w:themeColor="text1"/>
          <w:kern w:val="0"/>
          <w:sz w:val="32"/>
          <w:szCs w:val="32"/>
          <w14:textFill>
            <w14:solidFill>
              <w14:schemeClr w14:val="tx1"/>
            </w14:solidFill>
          </w14:textFill>
        </w:rPr>
      </w:pPr>
      <w:r>
        <w:rPr>
          <w:rFonts w:hint="eastAsia" w:ascii="楷体_GB2312" w:hAnsi="仿宋" w:eastAsia="楷体_GB2312" w:cs="宋体"/>
          <w:color w:val="000000" w:themeColor="text1"/>
          <w:kern w:val="0"/>
          <w:sz w:val="32"/>
          <w:szCs w:val="32"/>
          <w14:textFill>
            <w14:solidFill>
              <w14:schemeClr w14:val="tx1"/>
            </w14:solidFill>
          </w14:textFill>
        </w:rPr>
        <w:t>（四）增强质量意识，做好过程监控</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1.各学院要组织指导教师、评阅教师认真学习《萍乡学院本科生毕业设计（论文）管理办法》《萍乡学院主要教学环节质量标准（节选）》等相关管理制度文件。</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2.各学院应加大毕业设计（论文）工作研究深度，根据各自学科、专业特点，建立与之配套的质量评价体系，开展院级毕业设计（论文）的管理工作。</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仿宋_GB2312" w:hAnsi="仿宋" w:eastAsia="仿宋_GB2312" w:cs="宋体"/>
          <w:color w:val="000000" w:themeColor="text1"/>
          <w:kern w:val="0"/>
          <w:sz w:val="32"/>
          <w:szCs w:val="32"/>
          <w:lang w:val="en-US" w:eastAsia="zh-CN"/>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3.加大检查力度</w:t>
      </w:r>
      <w:r>
        <w:rPr>
          <w:rFonts w:hint="eastAsia" w:ascii="仿宋_GB2312" w:hAnsi="仿宋" w:eastAsia="仿宋_GB2312" w:cs="宋体"/>
          <w:color w:val="000000" w:themeColor="text1"/>
          <w:kern w:val="0"/>
          <w:sz w:val="32"/>
          <w:szCs w:val="32"/>
          <w:lang w:eastAsia="zh-CN"/>
          <w14:textFill>
            <w14:solidFill>
              <w14:schemeClr w14:val="tx1"/>
            </w14:solidFill>
          </w14:textFill>
        </w:rPr>
        <w:t>，</w:t>
      </w:r>
      <w:r>
        <w:rPr>
          <w:rFonts w:hint="eastAsia" w:ascii="仿宋_GB2312" w:hAnsi="仿宋" w:eastAsia="仿宋_GB2312" w:cs="宋体"/>
          <w:color w:val="000000" w:themeColor="text1"/>
          <w:kern w:val="0"/>
          <w:sz w:val="32"/>
          <w:szCs w:val="32"/>
          <w14:textFill>
            <w14:solidFill>
              <w14:schemeClr w14:val="tx1"/>
            </w14:solidFill>
          </w14:textFill>
        </w:rPr>
        <w:t>做好毕业设计（论文）工作过程监控</w:t>
      </w:r>
      <w:r>
        <w:rPr>
          <w:rFonts w:hint="eastAsia" w:ascii="仿宋_GB2312" w:hAnsi="仿宋" w:eastAsia="仿宋_GB2312" w:cs="宋体"/>
          <w:color w:val="000000" w:themeColor="text1"/>
          <w:kern w:val="0"/>
          <w:sz w:val="32"/>
          <w:szCs w:val="32"/>
          <w:lang w:eastAsia="zh-CN"/>
          <w14:textFill>
            <w14:solidFill>
              <w14:schemeClr w14:val="tx1"/>
            </w14:solidFill>
          </w14:textFill>
        </w:rPr>
        <w:t>。</w:t>
      </w:r>
      <w:r>
        <w:rPr>
          <w:rFonts w:hint="eastAsia" w:ascii="仿宋_GB2312" w:hAnsi="仿宋" w:eastAsia="仿宋_GB2312" w:cs="宋体"/>
          <w:color w:val="000000" w:themeColor="text1"/>
          <w:kern w:val="0"/>
          <w:sz w:val="32"/>
          <w:szCs w:val="32"/>
          <w14:textFill>
            <w14:solidFill>
              <w14:schemeClr w14:val="tx1"/>
            </w14:solidFill>
          </w14:textFill>
        </w:rPr>
        <w:t>202</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4</w:t>
      </w:r>
      <w:r>
        <w:rPr>
          <w:rFonts w:hint="eastAsia" w:ascii="仿宋_GB2312" w:hAnsi="仿宋" w:eastAsia="仿宋_GB2312" w:cs="宋体"/>
          <w:color w:val="000000" w:themeColor="text1"/>
          <w:kern w:val="0"/>
          <w:sz w:val="32"/>
          <w:szCs w:val="32"/>
          <w14:textFill>
            <w14:solidFill>
              <w14:schemeClr w14:val="tx1"/>
            </w14:solidFill>
          </w14:textFill>
        </w:rPr>
        <w:t>届毕业生的毕业设计（论文）的</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课题申报、学生</w:t>
      </w:r>
      <w:r>
        <w:rPr>
          <w:rFonts w:hint="eastAsia" w:ascii="仿宋_GB2312" w:hAnsi="仿宋" w:eastAsia="仿宋_GB2312" w:cs="宋体"/>
          <w:color w:val="000000" w:themeColor="text1"/>
          <w:kern w:val="0"/>
          <w:sz w:val="32"/>
          <w:szCs w:val="32"/>
          <w14:textFill>
            <w14:solidFill>
              <w14:schemeClr w14:val="tx1"/>
            </w14:solidFill>
          </w14:textFill>
        </w:rPr>
        <w:t>选题、任务书</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下达</w:t>
      </w:r>
      <w:r>
        <w:rPr>
          <w:rFonts w:hint="eastAsia" w:ascii="仿宋_GB2312" w:hAnsi="仿宋" w:eastAsia="仿宋_GB2312" w:cs="宋体"/>
          <w:color w:val="000000" w:themeColor="text1"/>
          <w:kern w:val="0"/>
          <w:sz w:val="32"/>
          <w:szCs w:val="32"/>
          <w14:textFill>
            <w14:solidFill>
              <w14:schemeClr w14:val="tx1"/>
            </w14:solidFill>
          </w14:textFill>
        </w:rPr>
        <w:t>、开题报告</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提交</w:t>
      </w:r>
      <w:r>
        <w:rPr>
          <w:rFonts w:hint="eastAsia" w:ascii="仿宋_GB2312" w:hAnsi="仿宋" w:eastAsia="仿宋_GB2312" w:cs="宋体"/>
          <w:color w:val="000000" w:themeColor="text1"/>
          <w:kern w:val="0"/>
          <w:sz w:val="32"/>
          <w:szCs w:val="32"/>
          <w14:textFill>
            <w14:solidFill>
              <w14:schemeClr w14:val="tx1"/>
            </w14:solidFill>
          </w14:textFill>
        </w:rPr>
        <w:t>、</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初稿提交、定稿提交、工作总结上传、指导教师填写论文形式审查、</w:t>
      </w:r>
      <w:r>
        <w:rPr>
          <w:rFonts w:hint="eastAsia" w:ascii="仿宋_GB2312" w:hAnsi="仿宋" w:eastAsia="仿宋_GB2312" w:cs="宋体"/>
          <w:color w:val="000000" w:themeColor="text1"/>
          <w:kern w:val="0"/>
          <w:sz w:val="32"/>
          <w:szCs w:val="32"/>
          <w14:textFill>
            <w14:solidFill>
              <w14:schemeClr w14:val="tx1"/>
            </w14:solidFill>
          </w14:textFill>
        </w:rPr>
        <w:t>论文评阅、答辩过程管理</w:t>
      </w:r>
      <w:r>
        <w:rPr>
          <w:rFonts w:hint="eastAsia" w:ascii="仿宋_GB2312" w:hAnsi="仿宋" w:eastAsia="仿宋_GB2312" w:cs="宋体"/>
          <w:color w:val="000000" w:themeColor="text1"/>
          <w:kern w:val="0"/>
          <w:sz w:val="32"/>
          <w:szCs w:val="32"/>
          <w:lang w:eastAsia="zh-CN"/>
          <w14:textFill>
            <w14:solidFill>
              <w14:schemeClr w14:val="tx1"/>
            </w14:solidFill>
          </w14:textFill>
        </w:rPr>
        <w:t>、</w:t>
      </w:r>
      <w:r>
        <w:rPr>
          <w:rFonts w:hint="eastAsia" w:ascii="仿宋_GB2312" w:hAnsi="仿宋" w:eastAsia="仿宋_GB2312" w:cs="宋体"/>
          <w:color w:val="000000" w:themeColor="text1"/>
          <w:kern w:val="0"/>
          <w:sz w:val="32"/>
          <w:szCs w:val="32"/>
          <w14:textFill>
            <w14:solidFill>
              <w14:schemeClr w14:val="tx1"/>
            </w14:solidFill>
          </w14:textFill>
        </w:rPr>
        <w:t>答辩评分管理等工作</w:t>
      </w:r>
      <w:bookmarkStart w:id="0" w:name="OLE_LINK1"/>
      <w:r>
        <w:rPr>
          <w:rFonts w:hint="eastAsia" w:ascii="仿宋_GB2312" w:hAnsi="仿宋" w:eastAsia="仿宋_GB2312" w:cs="宋体"/>
          <w:color w:val="000000" w:themeColor="text1"/>
          <w:kern w:val="0"/>
          <w:sz w:val="32"/>
          <w:szCs w:val="32"/>
          <w14:textFill>
            <w14:solidFill>
              <w14:schemeClr w14:val="tx1"/>
            </w14:solidFill>
          </w14:textFill>
        </w:rPr>
        <w:t>都必须在</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维普</w:t>
      </w:r>
      <w:bookmarkEnd w:id="0"/>
      <w:r>
        <w:rPr>
          <w:rFonts w:hint="eastAsia" w:ascii="仿宋_GB2312" w:hAnsi="仿宋" w:eastAsia="仿宋_GB2312" w:cs="宋体"/>
          <w:color w:val="000000" w:themeColor="text1"/>
          <w:kern w:val="0"/>
          <w:sz w:val="32"/>
          <w:szCs w:val="32"/>
          <w14:textFill>
            <w14:solidFill>
              <w14:schemeClr w14:val="tx1"/>
            </w14:solidFill>
          </w14:textFill>
        </w:rPr>
        <w:t>毕业设计（论文）管理系统中完成。</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加强过程监控，确保系统中所设必填项字段内容准确且无遗漏，如论文研究方向等。</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eastAsia"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4.继续对202</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4</w:t>
      </w:r>
      <w:r>
        <w:rPr>
          <w:rFonts w:hint="eastAsia" w:ascii="仿宋_GB2312" w:hAnsi="仿宋" w:eastAsia="仿宋_GB2312" w:cs="宋体"/>
          <w:color w:val="000000" w:themeColor="text1"/>
          <w:kern w:val="0"/>
          <w:sz w:val="32"/>
          <w:szCs w:val="32"/>
          <w14:textFill>
            <w14:solidFill>
              <w14:schemeClr w14:val="tx1"/>
            </w14:solidFill>
          </w14:textFill>
        </w:rPr>
        <w:t>届毕业设计（论文）进行检测，坚决杜绝弄虚作假、抄袭等不良现象，确保毕业设计（论文）质量。每位学生检测权限原则上为3次，</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免费，用于初稿、定稿、最终稿检测，超出次数需付费（平台收取）</w:t>
      </w:r>
      <w:r>
        <w:rPr>
          <w:rFonts w:hint="eastAsia" w:ascii="仿宋_GB2312" w:hAnsi="仿宋" w:eastAsia="仿宋_GB2312" w:cs="宋体"/>
          <w:color w:val="000000" w:themeColor="text1"/>
          <w:kern w:val="0"/>
          <w:sz w:val="32"/>
          <w:szCs w:val="32"/>
          <w14:textFill>
            <w14:solidFill>
              <w14:schemeClr w14:val="tx1"/>
            </w14:solidFill>
          </w14:textFill>
        </w:rPr>
        <w:t>。各学院可根据本单位毕业设计（论文）工作进度安排学生检测时间段。检测结果的认定与处理：</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eastAsia"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（1）第1次检测：文字复制比＜30%的毕业设计（论文），</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视为</w:t>
      </w:r>
      <w:r>
        <w:rPr>
          <w:rFonts w:hint="eastAsia" w:ascii="仿宋_GB2312" w:hAnsi="仿宋" w:eastAsia="仿宋_GB2312" w:cs="宋体"/>
          <w:color w:val="000000" w:themeColor="text1"/>
          <w:kern w:val="0"/>
          <w:sz w:val="32"/>
          <w:szCs w:val="32"/>
          <w14:textFill>
            <w14:solidFill>
              <w14:schemeClr w14:val="tx1"/>
            </w14:solidFill>
          </w14:textFill>
        </w:rPr>
        <w:t>通过检测；</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eastAsia"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（2）第2次检测：文字复制比＜30%的毕业设计（论文），视为通过检测，文字复制比≥30%的不能通过审核，将延期答辩。再次答辩时仍需要满足文字复制比＜30%的要求；</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eastAsia"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（3）申请校级优秀毕业设计（论文）评选的其文字复制比需＜15%。</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5.理工科类和文科类专业的毕业设计（论文）的字数在8000字以上，艺术类专业的毕业设计（论文）的字数在6000字以上。</w:t>
      </w:r>
    </w:p>
    <w:p>
      <w:pPr>
        <w:keepNext w:val="0"/>
        <w:keepLines w:val="0"/>
        <w:pageBreakBefore w:val="0"/>
        <w:kinsoku/>
        <w:wordWrap/>
        <w:overflowPunct/>
        <w:topLinePunct w:val="0"/>
        <w:autoSpaceDE/>
        <w:autoSpaceDN/>
        <w:bidi w:val="0"/>
        <w:snapToGrid/>
        <w:spacing w:line="580" w:lineRule="exact"/>
        <w:ind w:firstLine="640" w:firstLineChars="200"/>
        <w:textAlignment w:val="auto"/>
        <w:rPr>
          <w:rStyle w:val="7"/>
          <w:rFonts w:hint="eastAsia" w:ascii="黑体" w:hAnsi="黑体" w:eastAsia="黑体" w:cs="宋体"/>
          <w:b w:val="0"/>
          <w:color w:val="000000" w:themeColor="text1"/>
          <w:kern w:val="0"/>
          <w:sz w:val="32"/>
          <w:szCs w:val="32"/>
          <w14:textFill>
            <w14:solidFill>
              <w14:schemeClr w14:val="tx1"/>
            </w14:solidFill>
          </w14:textFill>
        </w:rPr>
      </w:pPr>
      <w:r>
        <w:rPr>
          <w:rStyle w:val="7"/>
          <w:rFonts w:hint="eastAsia" w:ascii="黑体" w:hAnsi="黑体" w:eastAsia="黑体" w:cs="宋体"/>
          <w:b w:val="0"/>
          <w:color w:val="000000" w:themeColor="text1"/>
          <w:kern w:val="0"/>
          <w:sz w:val="32"/>
          <w:szCs w:val="32"/>
          <w14:textFill>
            <w14:solidFill>
              <w14:schemeClr w14:val="tx1"/>
            </w14:solidFill>
          </w14:textFill>
        </w:rPr>
        <w:t>三、相关要求及时间安排</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1.启动阶段（202</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3</w:t>
      </w:r>
      <w:r>
        <w:rPr>
          <w:rFonts w:hint="eastAsia" w:ascii="仿宋_GB2312" w:hAnsi="仿宋" w:eastAsia="仿宋_GB2312" w:cs="宋体"/>
          <w:color w:val="000000" w:themeColor="text1"/>
          <w:kern w:val="0"/>
          <w:sz w:val="32"/>
          <w:szCs w:val="32"/>
          <w14:textFill>
            <w14:solidFill>
              <w14:schemeClr w14:val="tx1"/>
            </w14:solidFill>
          </w14:textFill>
        </w:rPr>
        <w:t>年12月</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23</w:t>
      </w:r>
      <w:r>
        <w:rPr>
          <w:rFonts w:hint="eastAsia" w:ascii="仿宋_GB2312" w:hAnsi="仿宋" w:eastAsia="仿宋_GB2312" w:cs="宋体"/>
          <w:color w:val="000000" w:themeColor="text1"/>
          <w:kern w:val="0"/>
          <w:sz w:val="32"/>
          <w:szCs w:val="32"/>
          <w14:textFill>
            <w14:solidFill>
              <w14:schemeClr w14:val="tx1"/>
            </w14:solidFill>
          </w14:textFill>
        </w:rPr>
        <w:t>日前，即至第16周）：完成毕业设计（论文）工作的动员、课题</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申报</w:t>
      </w:r>
      <w:r>
        <w:rPr>
          <w:rFonts w:hint="eastAsia" w:ascii="仿宋_GB2312" w:hAnsi="仿宋" w:eastAsia="仿宋_GB2312" w:cs="宋体"/>
          <w:color w:val="000000" w:themeColor="text1"/>
          <w:kern w:val="0"/>
          <w:sz w:val="32"/>
          <w:szCs w:val="32"/>
          <w14:textFill>
            <w14:solidFill>
              <w14:schemeClr w14:val="tx1"/>
            </w14:solidFill>
          </w14:textFill>
        </w:rPr>
        <w:t>、指导教师遴选、</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学生</w:t>
      </w:r>
      <w:r>
        <w:rPr>
          <w:rFonts w:hint="eastAsia" w:ascii="仿宋_GB2312" w:hAnsi="仿宋" w:eastAsia="仿宋_GB2312" w:cs="宋体"/>
          <w:color w:val="000000" w:themeColor="text1"/>
          <w:kern w:val="0"/>
          <w:sz w:val="32"/>
          <w:szCs w:val="32"/>
          <w14:textFill>
            <w14:solidFill>
              <w14:schemeClr w14:val="tx1"/>
            </w14:solidFill>
          </w14:textFill>
        </w:rPr>
        <w:t>选题及任务书下达等工作。</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2.开题阶段（202</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3</w:t>
      </w:r>
      <w:r>
        <w:rPr>
          <w:rFonts w:hint="eastAsia" w:ascii="仿宋_GB2312" w:hAnsi="仿宋" w:eastAsia="仿宋_GB2312" w:cs="宋体"/>
          <w:color w:val="000000" w:themeColor="text1"/>
          <w:kern w:val="0"/>
          <w:sz w:val="32"/>
          <w:szCs w:val="32"/>
          <w14:textFill>
            <w14:solidFill>
              <w14:schemeClr w14:val="tx1"/>
            </w14:solidFill>
          </w14:textFill>
        </w:rPr>
        <w:t>年</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12</w:t>
      </w:r>
      <w:r>
        <w:rPr>
          <w:rFonts w:hint="eastAsia" w:ascii="仿宋_GB2312" w:hAnsi="仿宋" w:eastAsia="仿宋_GB2312" w:cs="宋体"/>
          <w:color w:val="000000" w:themeColor="text1"/>
          <w:kern w:val="0"/>
          <w:sz w:val="32"/>
          <w:szCs w:val="32"/>
          <w14:textFill>
            <w14:solidFill>
              <w14:schemeClr w14:val="tx1"/>
            </w14:solidFill>
          </w14:textFill>
        </w:rPr>
        <w:t>月</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30</w:t>
      </w:r>
      <w:r>
        <w:rPr>
          <w:rFonts w:hint="eastAsia" w:ascii="仿宋_GB2312" w:hAnsi="仿宋" w:eastAsia="仿宋_GB2312" w:cs="宋体"/>
          <w:color w:val="000000" w:themeColor="text1"/>
          <w:kern w:val="0"/>
          <w:sz w:val="32"/>
          <w:szCs w:val="32"/>
          <w14:textFill>
            <w14:solidFill>
              <w14:schemeClr w14:val="tx1"/>
            </w14:solidFill>
          </w14:textFill>
        </w:rPr>
        <w:t>日前，即至第17周）：督促教师要求学生在广泛查阅文献资料的基础上，完成外文翻译、文献综述和开题报告等工作；完成毕业设计（论文）的开题和前期检查工作。</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3.实施阶段（202</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4</w:t>
      </w:r>
      <w:r>
        <w:rPr>
          <w:rFonts w:hint="eastAsia" w:ascii="仿宋_GB2312" w:hAnsi="仿宋" w:eastAsia="仿宋_GB2312" w:cs="宋体"/>
          <w:color w:val="000000" w:themeColor="text1"/>
          <w:kern w:val="0"/>
          <w:sz w:val="32"/>
          <w:szCs w:val="32"/>
          <w14:textFill>
            <w14:solidFill>
              <w14:schemeClr w14:val="tx1"/>
            </w14:solidFill>
          </w14:textFill>
        </w:rPr>
        <w:t>年4月</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13</w:t>
      </w:r>
      <w:r>
        <w:rPr>
          <w:rFonts w:hint="eastAsia" w:ascii="仿宋_GB2312" w:hAnsi="仿宋" w:eastAsia="仿宋_GB2312" w:cs="宋体"/>
          <w:color w:val="000000" w:themeColor="text1"/>
          <w:kern w:val="0"/>
          <w:sz w:val="32"/>
          <w:szCs w:val="32"/>
          <w14:textFill>
            <w14:solidFill>
              <w14:schemeClr w14:val="tx1"/>
            </w14:solidFill>
          </w14:textFill>
        </w:rPr>
        <w:t>日前，即至第7周）：完成毕业设计（论文）的中期检查工作和“查重”检测工作。</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4.二级学院答辩阶段（202</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4</w:t>
      </w:r>
      <w:r>
        <w:rPr>
          <w:rFonts w:hint="eastAsia" w:ascii="仿宋_GB2312" w:hAnsi="仿宋" w:eastAsia="仿宋_GB2312" w:cs="宋体"/>
          <w:color w:val="000000" w:themeColor="text1"/>
          <w:kern w:val="0"/>
          <w:sz w:val="32"/>
          <w:szCs w:val="32"/>
          <w14:textFill>
            <w14:solidFill>
              <w14:schemeClr w14:val="tx1"/>
            </w14:solidFill>
          </w14:textFill>
        </w:rPr>
        <w:t>年5月1</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8</w:t>
      </w:r>
      <w:r>
        <w:rPr>
          <w:rFonts w:hint="eastAsia" w:ascii="仿宋_GB2312" w:hAnsi="仿宋" w:eastAsia="仿宋_GB2312" w:cs="宋体"/>
          <w:color w:val="000000" w:themeColor="text1"/>
          <w:kern w:val="0"/>
          <w:sz w:val="32"/>
          <w:szCs w:val="32"/>
          <w14:textFill>
            <w14:solidFill>
              <w14:schemeClr w14:val="tx1"/>
            </w14:solidFill>
          </w14:textFill>
        </w:rPr>
        <w:t>日前，即至第12周）：完成毕业设计（论文）的答辩工作。</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5.校级公开答辩及抽查阶段（202</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4</w:t>
      </w:r>
      <w:r>
        <w:rPr>
          <w:rFonts w:hint="eastAsia" w:ascii="仿宋_GB2312" w:hAnsi="仿宋" w:eastAsia="仿宋_GB2312" w:cs="宋体"/>
          <w:color w:val="000000" w:themeColor="text1"/>
          <w:kern w:val="0"/>
          <w:sz w:val="32"/>
          <w:szCs w:val="32"/>
          <w14:textFill>
            <w14:solidFill>
              <w14:schemeClr w14:val="tx1"/>
            </w14:solidFill>
          </w14:textFill>
        </w:rPr>
        <w:t>年5月2</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5</w:t>
      </w:r>
      <w:r>
        <w:rPr>
          <w:rFonts w:hint="eastAsia" w:ascii="仿宋_GB2312" w:hAnsi="仿宋" w:eastAsia="仿宋_GB2312" w:cs="宋体"/>
          <w:color w:val="000000" w:themeColor="text1"/>
          <w:kern w:val="0"/>
          <w:sz w:val="32"/>
          <w:szCs w:val="32"/>
          <w14:textFill>
            <w14:solidFill>
              <w14:schemeClr w14:val="tx1"/>
            </w14:solidFill>
          </w14:textFill>
        </w:rPr>
        <w:t>日前，即至第13周）：具体安排另行通知。</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6.提交成绩（202</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4</w:t>
      </w:r>
      <w:r>
        <w:rPr>
          <w:rFonts w:hint="eastAsia" w:ascii="仿宋_GB2312" w:hAnsi="仿宋" w:eastAsia="仿宋_GB2312" w:cs="宋体"/>
          <w:color w:val="000000" w:themeColor="text1"/>
          <w:kern w:val="0"/>
          <w:sz w:val="32"/>
          <w:szCs w:val="32"/>
          <w14:textFill>
            <w14:solidFill>
              <w14:schemeClr w14:val="tx1"/>
            </w14:solidFill>
          </w14:textFill>
        </w:rPr>
        <w:t>年</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6</w:t>
      </w:r>
      <w:r>
        <w:rPr>
          <w:rFonts w:hint="eastAsia" w:ascii="仿宋_GB2312" w:hAnsi="仿宋" w:eastAsia="仿宋_GB2312" w:cs="宋体"/>
          <w:color w:val="000000" w:themeColor="text1"/>
          <w:kern w:val="0"/>
          <w:sz w:val="32"/>
          <w:szCs w:val="32"/>
          <w14:textFill>
            <w14:solidFill>
              <w14:schemeClr w14:val="tx1"/>
            </w14:solidFill>
          </w14:textFill>
        </w:rPr>
        <w:t>月</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1</w:t>
      </w:r>
      <w:r>
        <w:rPr>
          <w:rFonts w:hint="eastAsia" w:ascii="仿宋_GB2312" w:hAnsi="仿宋" w:eastAsia="仿宋_GB2312" w:cs="宋体"/>
          <w:color w:val="000000" w:themeColor="text1"/>
          <w:kern w:val="0"/>
          <w:sz w:val="32"/>
          <w:szCs w:val="32"/>
          <w14:textFill>
            <w14:solidFill>
              <w14:schemeClr w14:val="tx1"/>
            </w14:solidFill>
          </w14:textFill>
        </w:rPr>
        <w:t>日前，即至第14周）：完成成绩评定，完成毕业设计（论文）的成绩录入提交，以免影响毕业审核。</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7.总结阶段（202</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4</w:t>
      </w:r>
      <w:r>
        <w:rPr>
          <w:rFonts w:hint="eastAsia" w:ascii="仿宋_GB2312" w:hAnsi="仿宋" w:eastAsia="仿宋_GB2312" w:cs="宋体"/>
          <w:color w:val="000000" w:themeColor="text1"/>
          <w:kern w:val="0"/>
          <w:sz w:val="32"/>
          <w:szCs w:val="32"/>
          <w14:textFill>
            <w14:solidFill>
              <w14:schemeClr w14:val="tx1"/>
            </w14:solidFill>
          </w14:textFill>
        </w:rPr>
        <w:t>年6月</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8</w:t>
      </w:r>
      <w:r>
        <w:rPr>
          <w:rFonts w:hint="eastAsia" w:ascii="仿宋_GB2312" w:hAnsi="仿宋" w:eastAsia="仿宋_GB2312" w:cs="宋体"/>
          <w:color w:val="000000" w:themeColor="text1"/>
          <w:kern w:val="0"/>
          <w:sz w:val="32"/>
          <w:szCs w:val="32"/>
          <w14:textFill>
            <w14:solidFill>
              <w14:schemeClr w14:val="tx1"/>
            </w14:solidFill>
          </w14:textFill>
        </w:rPr>
        <w:t>日前，即至第15周）：完成毕业设计（论文）的质量分析</w:t>
      </w:r>
      <w:r>
        <w:rPr>
          <w:rFonts w:hint="eastAsia" w:ascii="仿宋_GB2312" w:hAnsi="仿宋" w:eastAsia="仿宋_GB2312" w:cs="宋体"/>
          <w:color w:val="000000" w:themeColor="text1"/>
          <w:kern w:val="0"/>
          <w:sz w:val="32"/>
          <w:szCs w:val="32"/>
          <w:lang w:eastAsia="zh-CN"/>
          <w14:textFill>
            <w14:solidFill>
              <w14:schemeClr w14:val="tx1"/>
            </w14:solidFill>
          </w14:textFill>
        </w:rPr>
        <w:t>、</w:t>
      </w:r>
      <w:r>
        <w:rPr>
          <w:rFonts w:hint="eastAsia" w:ascii="仿宋_GB2312" w:hAnsi="仿宋" w:eastAsia="仿宋_GB2312" w:cs="宋体"/>
          <w:color w:val="000000" w:themeColor="text1"/>
          <w:kern w:val="0"/>
          <w:sz w:val="32"/>
          <w:szCs w:val="32"/>
          <w14:textFill>
            <w14:solidFill>
              <w14:schemeClr w14:val="tx1"/>
            </w14:solidFill>
          </w14:textFill>
        </w:rPr>
        <w:t>总结</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。做好相关</w:t>
      </w:r>
      <w:r>
        <w:rPr>
          <w:rFonts w:hint="eastAsia" w:ascii="仿宋_GB2312" w:hAnsi="仿宋" w:eastAsia="仿宋_GB2312" w:cs="宋体"/>
          <w:color w:val="000000" w:themeColor="text1"/>
          <w:kern w:val="0"/>
          <w:sz w:val="32"/>
          <w:szCs w:val="32"/>
          <w14:textFill>
            <w14:solidFill>
              <w14:schemeClr w14:val="tx1"/>
            </w14:solidFill>
          </w14:textFill>
        </w:rPr>
        <w:t>资料的收集、整理和归档工作，递交相关材料表格（见附件）至教务处。</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8.校级评优阶段（202</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4</w:t>
      </w:r>
      <w:r>
        <w:rPr>
          <w:rFonts w:hint="eastAsia" w:ascii="仿宋_GB2312" w:hAnsi="仿宋" w:eastAsia="仿宋_GB2312" w:cs="宋体"/>
          <w:color w:val="000000" w:themeColor="text1"/>
          <w:kern w:val="0"/>
          <w:sz w:val="32"/>
          <w:szCs w:val="32"/>
          <w14:textFill>
            <w14:solidFill>
              <w14:schemeClr w14:val="tx1"/>
            </w14:solidFill>
          </w14:textFill>
        </w:rPr>
        <w:t>年6月1</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5</w:t>
      </w:r>
      <w:r>
        <w:rPr>
          <w:rFonts w:hint="eastAsia" w:ascii="仿宋_GB2312" w:hAnsi="仿宋" w:eastAsia="仿宋_GB2312" w:cs="宋体"/>
          <w:color w:val="000000" w:themeColor="text1"/>
          <w:kern w:val="0"/>
          <w:sz w:val="32"/>
          <w:szCs w:val="32"/>
          <w14:textFill>
            <w14:solidFill>
              <w14:schemeClr w14:val="tx1"/>
            </w14:solidFill>
          </w14:textFill>
        </w:rPr>
        <w:t>日前，即至第16周）：完成校级优秀毕业设计（论文）公布，并对优秀毕业论文（设计）获得者给予奖励。</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请各学院以上述安排为基础，及时制定本学院本科生毕业设计（论文）工作计划，按照时间节点推进各项工作有序进行。</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s="宋体"/>
          <w:color w:val="000000" w:themeColor="text1"/>
          <w:kern w:val="0"/>
          <w:sz w:val="32"/>
          <w:szCs w:val="32"/>
          <w14:textFill>
            <w14:solidFill>
              <w14:schemeClr w14:val="tx1"/>
            </w14:solidFill>
          </w14:textFill>
        </w:rPr>
      </w:pP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附件：</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1.《江西省本科毕业论文（设计）抽检实施细则》</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2.《萍乡学院202</w:t>
      </w:r>
      <w:r>
        <w:rPr>
          <w:rFonts w:hint="eastAsia" w:ascii="仿宋_GB2312" w:hAnsi="仿宋" w:eastAsia="仿宋_GB2312"/>
          <w:color w:val="000000" w:themeColor="text1"/>
          <w:sz w:val="32"/>
          <w:szCs w:val="32"/>
          <w:lang w:val="en-US" w:eastAsia="zh-CN"/>
          <w14:textFill>
            <w14:solidFill>
              <w14:schemeClr w14:val="tx1"/>
            </w14:solidFill>
          </w14:textFill>
        </w:rPr>
        <w:t>3</w:t>
      </w:r>
      <w:r>
        <w:rPr>
          <w:rFonts w:hint="eastAsia" w:ascii="仿宋_GB2312" w:hAnsi="仿宋" w:eastAsia="仿宋_GB2312"/>
          <w:color w:val="000000" w:themeColor="text1"/>
          <w:sz w:val="32"/>
          <w:szCs w:val="32"/>
          <w14:textFill>
            <w14:solidFill>
              <w14:schemeClr w14:val="tx1"/>
            </w14:solidFill>
          </w14:textFill>
        </w:rPr>
        <w:t>-202</w:t>
      </w:r>
      <w:r>
        <w:rPr>
          <w:rFonts w:hint="eastAsia" w:ascii="仿宋_GB2312" w:hAnsi="仿宋" w:eastAsia="仿宋_GB2312"/>
          <w:color w:val="000000" w:themeColor="text1"/>
          <w:sz w:val="32"/>
          <w:szCs w:val="32"/>
          <w:lang w:val="en-US" w:eastAsia="zh-CN"/>
          <w14:textFill>
            <w14:solidFill>
              <w14:schemeClr w14:val="tx1"/>
            </w14:solidFill>
          </w14:textFill>
        </w:rPr>
        <w:t>4</w:t>
      </w:r>
      <w:r>
        <w:rPr>
          <w:rFonts w:hint="eastAsia" w:ascii="仿宋_GB2312" w:hAnsi="仿宋" w:eastAsia="仿宋_GB2312"/>
          <w:color w:val="000000" w:themeColor="text1"/>
          <w:sz w:val="32"/>
          <w:szCs w:val="32"/>
          <w14:textFill>
            <w14:solidFill>
              <w14:schemeClr w14:val="tx1"/>
            </w14:solidFill>
          </w14:textFill>
        </w:rPr>
        <w:t>学年教学周历表》</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3.《萍乡学院本科生毕业设计(论文)工作管理办法》（萍学院字〔2017〕14号）</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4.《萍乡学院主要教学环节质量标准（节选）》（萍学院发〔2019〕124号）</w:t>
      </w:r>
    </w:p>
    <w:p>
      <w:pPr>
        <w:keepNext w:val="0"/>
        <w:keepLines w:val="0"/>
        <w:pageBreakBefore w:val="0"/>
        <w:kinsoku/>
        <w:wordWrap/>
        <w:overflowPunct/>
        <w:topLinePunct w:val="0"/>
        <w:autoSpaceDE/>
        <w:autoSpaceDN/>
        <w:bidi w:val="0"/>
        <w:snapToGrid/>
        <w:spacing w:line="580" w:lineRule="exact"/>
        <w:ind w:firstLine="640" w:firstLineChars="200"/>
        <w:textAlignment w:val="auto"/>
        <w:rPr>
          <w:rFonts w:hint="eastAsia" w:ascii="仿宋_GB2312" w:hAnsi="仿宋" w:eastAsia="仿宋_GB2312"/>
          <w:color w:val="000000" w:themeColor="text1"/>
          <w:sz w:val="32"/>
          <w:szCs w:val="32"/>
          <w:lang w:eastAsia="zh-CN"/>
          <w14:textFill>
            <w14:solidFill>
              <w14:schemeClr w14:val="tx1"/>
            </w14:solidFill>
          </w14:textFill>
        </w:rPr>
      </w:pPr>
    </w:p>
    <w:p>
      <w:pPr>
        <w:keepNext w:val="0"/>
        <w:keepLines w:val="0"/>
        <w:pageBreakBefore w:val="0"/>
        <w:widowControl/>
        <w:kinsoku/>
        <w:wordWrap/>
        <w:overflowPunct/>
        <w:topLinePunct w:val="0"/>
        <w:autoSpaceDE/>
        <w:autoSpaceDN/>
        <w:bidi w:val="0"/>
        <w:snapToGrid/>
        <w:spacing w:line="580" w:lineRule="exact"/>
        <w:ind w:left="5460" w:leftChars="2600" w:firstLine="640" w:firstLineChars="200"/>
        <w:jc w:val="center"/>
        <w:textAlignment w:val="auto"/>
        <w:rPr>
          <w:rFonts w:hint="eastAsia"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教务处</w:t>
      </w:r>
    </w:p>
    <w:p>
      <w:pPr>
        <w:keepNext w:val="0"/>
        <w:keepLines w:val="0"/>
        <w:pageBreakBefore w:val="0"/>
        <w:widowControl/>
        <w:kinsoku/>
        <w:wordWrap/>
        <w:overflowPunct/>
        <w:topLinePunct w:val="0"/>
        <w:autoSpaceDE/>
        <w:autoSpaceDN/>
        <w:bidi w:val="0"/>
        <w:snapToGrid/>
        <w:spacing w:line="580" w:lineRule="exact"/>
        <w:ind w:left="5460" w:leftChars="2600" w:firstLine="640" w:firstLineChars="200"/>
        <w:jc w:val="center"/>
        <w:textAlignment w:val="auto"/>
        <w:rPr>
          <w:rFonts w:hint="eastAsia"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202</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3</w:t>
      </w:r>
      <w:r>
        <w:rPr>
          <w:rFonts w:hint="eastAsia" w:ascii="仿宋_GB2312" w:hAnsi="仿宋" w:eastAsia="仿宋_GB2312" w:cs="宋体"/>
          <w:color w:val="000000" w:themeColor="text1"/>
          <w:kern w:val="0"/>
          <w:sz w:val="32"/>
          <w:szCs w:val="32"/>
          <w14:textFill>
            <w14:solidFill>
              <w14:schemeClr w14:val="tx1"/>
            </w14:solidFill>
          </w14:textFill>
        </w:rPr>
        <w:t>年</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10</w:t>
      </w:r>
      <w:r>
        <w:rPr>
          <w:rFonts w:hint="eastAsia" w:ascii="仿宋_GB2312" w:hAnsi="仿宋" w:eastAsia="仿宋_GB2312" w:cs="宋体"/>
          <w:color w:val="000000" w:themeColor="text1"/>
          <w:kern w:val="0"/>
          <w:sz w:val="32"/>
          <w:szCs w:val="32"/>
          <w14:textFill>
            <w14:solidFill>
              <w14:schemeClr w14:val="tx1"/>
            </w14:solidFill>
          </w14:textFill>
        </w:rPr>
        <w:t>月</w:t>
      </w:r>
      <w:r>
        <w:rPr>
          <w:rFonts w:hint="eastAsia" w:ascii="仿宋_GB2312" w:hAnsi="仿宋" w:eastAsia="仿宋_GB2312" w:cs="宋体"/>
          <w:color w:val="000000" w:themeColor="text1"/>
          <w:kern w:val="0"/>
          <w:sz w:val="32"/>
          <w:szCs w:val="32"/>
          <w:lang w:val="en-US" w:eastAsia="zh-CN"/>
          <w14:textFill>
            <w14:solidFill>
              <w14:schemeClr w14:val="tx1"/>
            </w14:solidFill>
          </w14:textFill>
        </w:rPr>
        <w:t>24</w:t>
      </w:r>
      <w:r>
        <w:rPr>
          <w:rFonts w:hint="eastAsia" w:ascii="仿宋_GB2312" w:hAnsi="仿宋" w:eastAsia="仿宋_GB2312" w:cs="宋体"/>
          <w:color w:val="000000" w:themeColor="text1"/>
          <w:kern w:val="0"/>
          <w:sz w:val="32"/>
          <w:szCs w:val="32"/>
          <w14:textFill>
            <w14:solidFill>
              <w14:schemeClr w14:val="tx1"/>
            </w14:solidFill>
          </w14:textFill>
        </w:rPr>
        <w:t>日</w:t>
      </w:r>
    </w:p>
    <w:p>
      <w:pPr>
        <w:keepNext w:val="0"/>
        <w:keepLines w:val="0"/>
        <w:pageBreakBefore w:val="0"/>
        <w:widowControl/>
        <w:kinsoku/>
        <w:wordWrap/>
        <w:overflowPunct/>
        <w:topLinePunct w:val="0"/>
        <w:autoSpaceDE/>
        <w:autoSpaceDN/>
        <w:bidi w:val="0"/>
        <w:snapToGrid/>
        <w:spacing w:line="580" w:lineRule="exact"/>
        <w:ind w:left="5460" w:leftChars="2600" w:firstLine="640" w:firstLineChars="200"/>
        <w:jc w:val="center"/>
        <w:textAlignment w:val="auto"/>
        <w:rPr>
          <w:rFonts w:hint="eastAsia" w:ascii="仿宋_GB2312" w:hAnsi="仿宋" w:eastAsia="仿宋_GB2312" w:cs="宋体"/>
          <w:color w:val="000000" w:themeColor="text1"/>
          <w:kern w:val="0"/>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snapToGrid/>
        <w:spacing w:line="580" w:lineRule="exact"/>
        <w:ind w:left="5460" w:leftChars="2600" w:firstLine="640" w:firstLineChars="200"/>
        <w:jc w:val="center"/>
        <w:textAlignment w:val="auto"/>
        <w:rPr>
          <w:rFonts w:hint="eastAsia" w:ascii="仿宋_GB2312" w:hAnsi="仿宋" w:eastAsia="仿宋_GB2312" w:cs="宋体"/>
          <w:color w:val="000000" w:themeColor="text1"/>
          <w:kern w:val="0"/>
          <w:sz w:val="32"/>
          <w:szCs w:val="32"/>
          <w:lang w:eastAsia="zh-CN"/>
          <w14:textFill>
            <w14:solidFill>
              <w14:schemeClr w14:val="tx1"/>
            </w14:solidFill>
          </w14:textFill>
        </w:rPr>
      </w:pPr>
    </w:p>
    <w:p>
      <w:pPr>
        <w:spacing w:line="520" w:lineRule="exact"/>
        <w:jc w:val="left"/>
        <w:rPr>
          <w:rFonts w:hint="eastAsia" w:ascii="仿宋_GB2312" w:hAnsi="宋体" w:eastAsia="仿宋_GB2312"/>
          <w:color w:val="0D1E0F"/>
          <w:sz w:val="28"/>
          <w:szCs w:val="32"/>
          <w:u w:val="single"/>
        </w:rPr>
      </w:pPr>
      <w:r>
        <w:rPr>
          <w:rFonts w:hint="eastAsia" w:ascii="宋体"/>
          <w:color w:val="0D1E0F"/>
          <w:sz w:val="28"/>
          <w:u w:val="single"/>
        </w:rPr>
        <w:t xml:space="preserve">                                                                </w:t>
      </w:r>
      <w:r>
        <w:rPr>
          <w:rFonts w:eastAsia="仿宋_GB2312"/>
          <w:b/>
          <w:color w:val="0D1E0F"/>
          <w:sz w:val="28"/>
          <w:szCs w:val="32"/>
          <w:u w:val="single"/>
        </w:rPr>
        <w:t xml:space="preserve">  </w:t>
      </w:r>
      <w:r>
        <w:rPr>
          <w:rFonts w:hint="eastAsia" w:ascii="仿宋_GB2312" w:hAnsi="宋体" w:eastAsia="仿宋_GB2312"/>
          <w:color w:val="0D1E0F"/>
          <w:sz w:val="28"/>
          <w:szCs w:val="32"/>
          <w:u w:val="single"/>
        </w:rPr>
        <w:t xml:space="preserve">  </w:t>
      </w:r>
    </w:p>
    <w:p>
      <w:pPr>
        <w:spacing w:line="520" w:lineRule="exact"/>
        <w:jc w:val="left"/>
        <w:rPr>
          <w:rFonts w:hint="eastAsia" w:ascii="仿宋_GB2312" w:eastAsia="仿宋_GB2312"/>
          <w:color w:val="000000"/>
        </w:rPr>
      </w:pPr>
      <w:r>
        <w:rPr>
          <w:rFonts w:hint="eastAsia" w:ascii="仿宋_GB2312" w:hAnsi="宋体" w:eastAsia="仿宋_GB2312"/>
          <w:color w:val="0D1E0F"/>
          <w:sz w:val="28"/>
          <w:szCs w:val="32"/>
          <w:u w:val="single"/>
        </w:rPr>
        <w:t xml:space="preserve"> 萍乡学院教务处                             202</w:t>
      </w:r>
      <w:r>
        <w:rPr>
          <w:rFonts w:hint="eastAsia" w:ascii="仿宋_GB2312" w:hAnsi="宋体" w:eastAsia="仿宋_GB2312"/>
          <w:color w:val="0D1E0F"/>
          <w:sz w:val="28"/>
          <w:szCs w:val="32"/>
          <w:u w:val="single"/>
          <w:lang w:val="en-US" w:eastAsia="zh-CN"/>
        </w:rPr>
        <w:t>3</w:t>
      </w:r>
      <w:r>
        <w:rPr>
          <w:rFonts w:hint="eastAsia" w:ascii="仿宋_GB2312" w:hAnsi="宋体" w:eastAsia="仿宋_GB2312"/>
          <w:color w:val="0D1E0F"/>
          <w:sz w:val="28"/>
          <w:szCs w:val="32"/>
          <w:u w:val="single"/>
        </w:rPr>
        <w:t>年</w:t>
      </w:r>
      <w:r>
        <w:rPr>
          <w:rFonts w:hint="eastAsia" w:ascii="仿宋_GB2312" w:hAnsi="宋体" w:eastAsia="仿宋_GB2312"/>
          <w:color w:val="0D1E0F"/>
          <w:sz w:val="28"/>
          <w:szCs w:val="32"/>
          <w:u w:val="single"/>
          <w:lang w:val="en-US" w:eastAsia="zh-CN"/>
        </w:rPr>
        <w:t>10</w:t>
      </w:r>
      <w:r>
        <w:rPr>
          <w:rFonts w:hint="eastAsia" w:ascii="仿宋_GB2312" w:hAnsi="宋体" w:eastAsia="仿宋_GB2312"/>
          <w:color w:val="0D1E0F"/>
          <w:sz w:val="28"/>
          <w:szCs w:val="32"/>
          <w:u w:val="single"/>
        </w:rPr>
        <w:t>月</w:t>
      </w:r>
      <w:r>
        <w:rPr>
          <w:rFonts w:hint="eastAsia" w:ascii="仿宋_GB2312" w:hAnsi="宋体" w:eastAsia="仿宋_GB2312"/>
          <w:color w:val="0D1E0F"/>
          <w:sz w:val="28"/>
          <w:szCs w:val="32"/>
          <w:u w:val="single"/>
          <w:lang w:val="en-US" w:eastAsia="zh-CN"/>
        </w:rPr>
        <w:t>24</w:t>
      </w:r>
      <w:bookmarkStart w:id="1" w:name="_GoBack"/>
      <w:bookmarkEnd w:id="1"/>
      <w:r>
        <w:rPr>
          <w:rFonts w:hint="eastAsia" w:ascii="仿宋_GB2312" w:hAnsi="宋体" w:eastAsia="仿宋_GB2312"/>
          <w:color w:val="0D1E0F"/>
          <w:sz w:val="28"/>
          <w:szCs w:val="32"/>
          <w:u w:val="single"/>
        </w:rPr>
        <w:t xml:space="preserve">日印发 </w:t>
      </w:r>
    </w:p>
    <w:sectPr>
      <w:headerReference r:id="rId3" w:type="default"/>
      <w:footerReference r:id="rId4" w:type="default"/>
      <w:footerReference r:id="rId5" w:type="even"/>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ascii="仿宋_GB2312" w:eastAsia="仿宋_GB2312"/>
        <w:sz w:val="28"/>
        <w:szCs w:val="28"/>
      </w:rPr>
    </w:pPr>
    <w:r>
      <w:rPr>
        <w:rFonts w:hint="eastAsia" w:ascii="仿宋_GB2312" w:eastAsia="仿宋_GB2312"/>
        <w:sz w:val="28"/>
        <w:szCs w:val="28"/>
      </w:rPr>
      <w:t xml:space="preserve">— </w:t>
    </w:r>
    <w:r>
      <w:rPr>
        <w:rFonts w:hint="eastAsia" w:ascii="仿宋_GB2312" w:eastAsia="仿宋_GB2312"/>
        <w:sz w:val="28"/>
        <w:szCs w:val="28"/>
      </w:rPr>
      <w:fldChar w:fldCharType="begin"/>
    </w:r>
    <w:r>
      <w:rPr>
        <w:rFonts w:hint="eastAsia" w:ascii="仿宋_GB2312" w:eastAsia="仿宋_GB2312"/>
        <w:sz w:val="28"/>
        <w:szCs w:val="28"/>
      </w:rPr>
      <w:instrText xml:space="preserve"> PAGE   \* MERGEFORMAT </w:instrText>
    </w:r>
    <w:r>
      <w:rPr>
        <w:rFonts w:hint="eastAsia" w:ascii="仿宋_GB2312" w:eastAsia="仿宋_GB2312"/>
        <w:sz w:val="28"/>
        <w:szCs w:val="28"/>
      </w:rPr>
      <w:fldChar w:fldCharType="separate"/>
    </w:r>
    <w:r>
      <w:rPr>
        <w:rFonts w:ascii="仿宋_GB2312" w:eastAsia="仿宋_GB2312"/>
        <w:sz w:val="28"/>
        <w:szCs w:val="28"/>
        <w:lang w:val="zh-CN"/>
      </w:rPr>
      <w:t>5</w:t>
    </w:r>
    <w:r>
      <w:rPr>
        <w:rFonts w:hint="eastAsia" w:ascii="仿宋_GB2312" w:eastAsia="仿宋_GB2312"/>
        <w:sz w:val="28"/>
        <w:szCs w:val="28"/>
        <w:lang w:val="zh-CN"/>
      </w:rPr>
      <w:fldChar w:fldCharType="end"/>
    </w:r>
    <w:r>
      <w:rPr>
        <w:rFonts w:hint="eastAsia" w:ascii="仿宋_GB2312" w:eastAsia="仿宋_GB2312"/>
        <w:sz w:val="28"/>
        <w:szCs w:val="28"/>
        <w:lang w:val="zh-CN"/>
      </w:rPr>
      <w:t xml:space="preserve"> </w:t>
    </w:r>
    <w:r>
      <w:rPr>
        <w:rFonts w:hint="eastAsia" w:ascii="仿宋_GB2312" w:eastAsia="仿宋_GB2312"/>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仿宋_GB2312" w:eastAsia="仿宋_GB2312"/>
        <w:sz w:val="28"/>
        <w:szCs w:val="28"/>
      </w:rPr>
    </w:pPr>
    <w:r>
      <w:rPr>
        <w:rFonts w:hint="eastAsia" w:ascii="仿宋_GB2312" w:eastAsia="仿宋_GB2312"/>
        <w:sz w:val="28"/>
        <w:szCs w:val="28"/>
      </w:rPr>
      <w:t xml:space="preserve">— </w:t>
    </w:r>
    <w:r>
      <w:rPr>
        <w:rFonts w:hint="eastAsia" w:ascii="仿宋_GB2312" w:eastAsia="仿宋_GB2312"/>
        <w:sz w:val="28"/>
        <w:szCs w:val="28"/>
      </w:rPr>
      <w:fldChar w:fldCharType="begin"/>
    </w:r>
    <w:r>
      <w:rPr>
        <w:rFonts w:hint="eastAsia" w:ascii="仿宋_GB2312" w:eastAsia="仿宋_GB2312"/>
        <w:sz w:val="28"/>
        <w:szCs w:val="28"/>
      </w:rPr>
      <w:instrText xml:space="preserve">PAGE   \* MERGEFORMAT</w:instrText>
    </w:r>
    <w:r>
      <w:rPr>
        <w:rFonts w:hint="eastAsia" w:ascii="仿宋_GB2312" w:eastAsia="仿宋_GB2312"/>
        <w:sz w:val="28"/>
        <w:szCs w:val="28"/>
      </w:rPr>
      <w:fldChar w:fldCharType="separate"/>
    </w:r>
    <w:r>
      <w:rPr>
        <w:rFonts w:ascii="仿宋_GB2312" w:eastAsia="仿宋_GB2312"/>
        <w:sz w:val="28"/>
        <w:szCs w:val="28"/>
        <w:lang w:val="zh-CN"/>
      </w:rPr>
      <w:t>6</w:t>
    </w:r>
    <w:r>
      <w:rPr>
        <w:rFonts w:hint="eastAsia" w:ascii="仿宋_GB2312" w:eastAsia="仿宋_GB2312"/>
        <w:sz w:val="28"/>
        <w:szCs w:val="28"/>
      </w:rPr>
      <w:fldChar w:fldCharType="end"/>
    </w:r>
    <w:r>
      <w:rPr>
        <w:rFonts w:hint="eastAsia" w:ascii="仿宋_GB2312" w:eastAsia="仿宋_GB2312"/>
        <w:sz w:val="28"/>
        <w:szCs w:val="2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NotTrackMoves/>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g1MDUwNDIzZjUyYTQwNWE2NGQ3YTVlNTA5YjNhZWIifQ=="/>
  </w:docVars>
  <w:rsids>
    <w:rsidRoot w:val="4FE16CD9"/>
    <w:rsid w:val="0005649F"/>
    <w:rsid w:val="000617D3"/>
    <w:rsid w:val="0016484A"/>
    <w:rsid w:val="00194366"/>
    <w:rsid w:val="00213DF4"/>
    <w:rsid w:val="002C4F16"/>
    <w:rsid w:val="002F1273"/>
    <w:rsid w:val="003218E4"/>
    <w:rsid w:val="00383801"/>
    <w:rsid w:val="00383FD7"/>
    <w:rsid w:val="003F0843"/>
    <w:rsid w:val="004F47C7"/>
    <w:rsid w:val="004F74F4"/>
    <w:rsid w:val="00547266"/>
    <w:rsid w:val="00585150"/>
    <w:rsid w:val="005E174C"/>
    <w:rsid w:val="0077434E"/>
    <w:rsid w:val="007D7A47"/>
    <w:rsid w:val="007F664C"/>
    <w:rsid w:val="008178B8"/>
    <w:rsid w:val="0091678D"/>
    <w:rsid w:val="00937464"/>
    <w:rsid w:val="00982065"/>
    <w:rsid w:val="009C4640"/>
    <w:rsid w:val="009E460D"/>
    <w:rsid w:val="00A669AC"/>
    <w:rsid w:val="00AA229B"/>
    <w:rsid w:val="00AE34D7"/>
    <w:rsid w:val="00AE7043"/>
    <w:rsid w:val="00B16C1D"/>
    <w:rsid w:val="00B847BF"/>
    <w:rsid w:val="00BC114B"/>
    <w:rsid w:val="00BD3455"/>
    <w:rsid w:val="00C0163E"/>
    <w:rsid w:val="00C425BE"/>
    <w:rsid w:val="00C522D5"/>
    <w:rsid w:val="00CD2880"/>
    <w:rsid w:val="00D84FE7"/>
    <w:rsid w:val="00DB63A2"/>
    <w:rsid w:val="00DC62AC"/>
    <w:rsid w:val="00E37B70"/>
    <w:rsid w:val="00E61BBC"/>
    <w:rsid w:val="00EA4160"/>
    <w:rsid w:val="00EC71A6"/>
    <w:rsid w:val="00EE58F0"/>
    <w:rsid w:val="00F3005C"/>
    <w:rsid w:val="00F5162A"/>
    <w:rsid w:val="00F7477F"/>
    <w:rsid w:val="01802C9E"/>
    <w:rsid w:val="040E0F4A"/>
    <w:rsid w:val="04483F81"/>
    <w:rsid w:val="06BD404D"/>
    <w:rsid w:val="07D31B32"/>
    <w:rsid w:val="07FB077E"/>
    <w:rsid w:val="0DD50BA6"/>
    <w:rsid w:val="0FA97864"/>
    <w:rsid w:val="100B3418"/>
    <w:rsid w:val="10EE7AE9"/>
    <w:rsid w:val="12000674"/>
    <w:rsid w:val="125D153E"/>
    <w:rsid w:val="129709DA"/>
    <w:rsid w:val="12B9479F"/>
    <w:rsid w:val="13007EF5"/>
    <w:rsid w:val="132C18C7"/>
    <w:rsid w:val="166B7621"/>
    <w:rsid w:val="18DC65B5"/>
    <w:rsid w:val="197B4EEB"/>
    <w:rsid w:val="203C6CAE"/>
    <w:rsid w:val="24F42423"/>
    <w:rsid w:val="263B16D3"/>
    <w:rsid w:val="273B152D"/>
    <w:rsid w:val="2A2E0C3A"/>
    <w:rsid w:val="2AD908DC"/>
    <w:rsid w:val="2D5A1C0C"/>
    <w:rsid w:val="2DB107B3"/>
    <w:rsid w:val="2E830572"/>
    <w:rsid w:val="2ECF1F82"/>
    <w:rsid w:val="325173ED"/>
    <w:rsid w:val="32F72AD9"/>
    <w:rsid w:val="33320ECB"/>
    <w:rsid w:val="33930C3D"/>
    <w:rsid w:val="33AD233D"/>
    <w:rsid w:val="37595BF0"/>
    <w:rsid w:val="39983869"/>
    <w:rsid w:val="404455FD"/>
    <w:rsid w:val="448C0DAE"/>
    <w:rsid w:val="454809AA"/>
    <w:rsid w:val="458878A2"/>
    <w:rsid w:val="45E4486B"/>
    <w:rsid w:val="47B241A8"/>
    <w:rsid w:val="49D86E48"/>
    <w:rsid w:val="4AEF2D77"/>
    <w:rsid w:val="4B8459B6"/>
    <w:rsid w:val="4D754EDB"/>
    <w:rsid w:val="4FE16CD9"/>
    <w:rsid w:val="518600C4"/>
    <w:rsid w:val="52BF3697"/>
    <w:rsid w:val="53D35964"/>
    <w:rsid w:val="54503EEC"/>
    <w:rsid w:val="556F1F83"/>
    <w:rsid w:val="55D10548"/>
    <w:rsid w:val="57D8460C"/>
    <w:rsid w:val="583E196F"/>
    <w:rsid w:val="59873872"/>
    <w:rsid w:val="5B302293"/>
    <w:rsid w:val="5C0C5724"/>
    <w:rsid w:val="5D37214A"/>
    <w:rsid w:val="5F631384"/>
    <w:rsid w:val="5F8D1E12"/>
    <w:rsid w:val="669F5121"/>
    <w:rsid w:val="67973267"/>
    <w:rsid w:val="691357B2"/>
    <w:rsid w:val="6AD749B5"/>
    <w:rsid w:val="6B132A5A"/>
    <w:rsid w:val="6E543845"/>
    <w:rsid w:val="6EC67784"/>
    <w:rsid w:val="70674FB0"/>
    <w:rsid w:val="71E64671"/>
    <w:rsid w:val="74284D7C"/>
    <w:rsid w:val="76DA5057"/>
    <w:rsid w:val="7C0058DF"/>
    <w:rsid w:val="7C6B3F36"/>
    <w:rsid w:val="7CA64253"/>
    <w:rsid w:val="7F98306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qFormat="1" w:unhideWhenUsed="0" w:uiPriority="99" w:semiHidden="0" w:name="Date"/>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qFormat/>
    <w:uiPriority w:val="99"/>
    <w:pPr>
      <w:ind w:left="100" w:leftChars="2500"/>
    </w:p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character" w:styleId="7">
    <w:name w:val="Strong"/>
    <w:qFormat/>
    <w:uiPriority w:val="99"/>
    <w:rPr>
      <w:rFonts w:cs="Times New Roman"/>
      <w:b/>
    </w:rPr>
  </w:style>
  <w:style w:type="character" w:styleId="8">
    <w:name w:val="FollowedHyperlink"/>
    <w:qFormat/>
    <w:uiPriority w:val="99"/>
    <w:rPr>
      <w:rFonts w:cs="Times New Roman"/>
      <w:color w:val="333333"/>
      <w:sz w:val="18"/>
      <w:szCs w:val="18"/>
      <w:u w:val="none"/>
    </w:rPr>
  </w:style>
  <w:style w:type="character" w:styleId="9">
    <w:name w:val="Hyperlink"/>
    <w:qFormat/>
    <w:uiPriority w:val="99"/>
    <w:rPr>
      <w:rFonts w:cs="Times New Roman"/>
      <w:color w:val="333333"/>
      <w:sz w:val="18"/>
      <w:szCs w:val="18"/>
      <w:u w:val="none"/>
    </w:rPr>
  </w:style>
  <w:style w:type="character" w:customStyle="1" w:styleId="10">
    <w:name w:val="style21"/>
    <w:qFormat/>
    <w:uiPriority w:val="99"/>
    <w:rPr>
      <w:rFonts w:cs="Times New Roman"/>
      <w:color w:val="666666"/>
    </w:rPr>
  </w:style>
  <w:style w:type="character" w:customStyle="1" w:styleId="11">
    <w:name w:val="页眉 Char"/>
    <w:link w:val="4"/>
    <w:semiHidden/>
    <w:qFormat/>
    <w:locked/>
    <w:uiPriority w:val="99"/>
    <w:rPr>
      <w:rFonts w:ascii="Calibri" w:hAnsi="Calibri" w:cs="Times New Roman"/>
      <w:sz w:val="18"/>
      <w:szCs w:val="18"/>
    </w:rPr>
  </w:style>
  <w:style w:type="character" w:customStyle="1" w:styleId="12">
    <w:name w:val="页脚 Char"/>
    <w:link w:val="3"/>
    <w:qFormat/>
    <w:locked/>
    <w:uiPriority w:val="99"/>
    <w:rPr>
      <w:rFonts w:ascii="Calibri" w:hAnsi="Calibri" w:cs="Times New Roman"/>
      <w:sz w:val="18"/>
      <w:szCs w:val="18"/>
    </w:rPr>
  </w:style>
  <w:style w:type="character" w:customStyle="1" w:styleId="13">
    <w:name w:val="日期 Char"/>
    <w:link w:val="2"/>
    <w:semiHidden/>
    <w:qFormat/>
    <w:locked/>
    <w:uiPriority w:val="99"/>
    <w:rPr>
      <w:rFonts w:ascii="Calibri" w:hAnsi="Calibri"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萍乡学院</Company>
  <Pages>6</Pages>
  <Words>2769</Words>
  <Characters>2907</Characters>
  <Lines>20</Lines>
  <Paragraphs>5</Paragraphs>
  <TotalTime>4</TotalTime>
  <ScaleCrop>false</ScaleCrop>
  <LinksUpToDate>false</LinksUpToDate>
  <CharactersWithSpaces>3008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2017-11-07T02:45:00Z</dcterms:created>
  <dc:creator>熊福</dc:creator>
  <cp:lastModifiedBy>こぶし</cp:lastModifiedBy>
  <cp:lastPrinted>2022-02-21T08:08:00Z</cp:lastPrinted>
  <dcterms:modified xsi:type="dcterms:W3CDTF">2023-10-24T06:46:48Z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EA092C2482DA4400985ACC7692F6515A_13</vt:lpwstr>
  </property>
</Properties>
</file>