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ATLANTIQUE EXPORT INC.</w:t>
      </w:r>
    </w:p>
    <w:p>
      <w:pPr>
        <w:jc w:val="center"/>
      </w:pPr>
      <w:r>
        <w:rPr>
          <w:b/>
          <w:sz w:val="48"/>
        </w:rPr>
        <w:t>PLAN DE CONTRÔLE PRÉVENTIF (PCP)</w:t>
      </w:r>
    </w:p>
    <w:p>
      <w:pPr>
        <w:jc w:val="center"/>
      </w:pPr>
      <w:r>
        <w:rPr>
          <w:sz w:val="28"/>
        </w:rPr>
        <w:t>Importation et distribution de mangues fraîches et de madd frais</w:t>
      </w:r>
    </w:p>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
              <w:rPr>
                <w:b/>
                <w:sz w:val="18"/>
              </w:rPr>
              <w:t>Entreprise</w:t>
            </w:r>
          </w:p>
        </w:tc>
        <w:tc>
          <w:tcPr>
            <w:tcW w:type="dxa" w:w="5112"/>
          </w:tcPr>
          <w:p>
            <w:r/>
            <w:r>
              <w:rPr>
                <w:b w:val="0"/>
                <w:sz w:val="18"/>
              </w:rPr>
              <w:t>Atlantique Export Inc.</w:t>
            </w:r>
          </w:p>
        </w:tc>
      </w:tr>
      <w:tr>
        <w:tc>
          <w:tcPr>
            <w:tcW w:type="dxa" w:w="5112"/>
            <w:shd w:fill="E7E6E6"/>
          </w:tcPr>
          <w:p>
            <w:r/>
            <w:r>
              <w:rPr>
                <w:b/>
                <w:sz w:val="18"/>
              </w:rPr>
              <w:t>Portée</w:t>
            </w:r>
          </w:p>
        </w:tc>
        <w:tc>
          <w:tcPr>
            <w:tcW w:type="dxa" w:w="5112"/>
          </w:tcPr>
          <w:p>
            <w:r/>
            <w:r>
              <w:rPr>
                <w:b w:val="0"/>
                <w:sz w:val="18"/>
              </w:rPr>
              <w:t>Mangues fraîches entières et madd frais entier</w:t>
            </w:r>
          </w:p>
        </w:tc>
      </w:tr>
      <w:tr>
        <w:tc>
          <w:tcPr>
            <w:tcW w:type="dxa" w:w="5112"/>
            <w:shd w:fill="E7E6E6"/>
          </w:tcPr>
          <w:p>
            <w:r/>
            <w:r>
              <w:rPr>
                <w:b/>
                <w:sz w:val="18"/>
              </w:rPr>
              <w:t>Pays d'origine</w:t>
            </w:r>
          </w:p>
        </w:tc>
        <w:tc>
          <w:tcPr>
            <w:tcW w:type="dxa" w:w="5112"/>
          </w:tcPr>
          <w:p>
            <w:r/>
            <w:r>
              <w:rPr>
                <w:b w:val="0"/>
                <w:sz w:val="18"/>
              </w:rPr>
              <w:t>Sénégal</w:t>
            </w:r>
          </w:p>
        </w:tc>
      </w:tr>
      <w:tr>
        <w:tc>
          <w:tcPr>
            <w:tcW w:type="dxa" w:w="5112"/>
            <w:shd w:fill="E7E6E6"/>
          </w:tcPr>
          <w:p>
            <w:r/>
            <w:r>
              <w:rPr>
                <w:b/>
                <w:sz w:val="18"/>
              </w:rPr>
              <w:t>Version</w:t>
            </w:r>
          </w:p>
        </w:tc>
        <w:tc>
          <w:tcPr>
            <w:tcW w:type="dxa" w:w="5112"/>
          </w:tcPr>
          <w:p>
            <w:r>
              <w:t>3.0 - 23 août 2026</w:t>
            </w:r>
          </w:p>
        </w:tc>
      </w:tr>
      <w:tr>
        <w:tc>
          <w:tcPr>
            <w:tcW w:type="dxa" w:w="5112"/>
            <w:shd w:fill="E7E6E6"/>
          </w:tcPr>
          <w:p>
            <w:r/>
            <w:r>
              <w:rPr>
                <w:b/>
                <w:sz w:val="18"/>
              </w:rPr>
              <w:t>Statut</w:t>
            </w:r>
          </w:p>
        </w:tc>
        <w:tc>
          <w:tcPr>
            <w:tcW w:type="dxa" w:w="5112"/>
          </w:tcPr>
          <w:p>
            <w:r>
              <w:t>PCP mis en œuvre - Mangues et Madd</w:t>
            </w:r>
          </w:p>
        </w:tc>
      </w:tr>
    </w:tbl>
    <w:p/>
    <w:p>
      <w:pPr>
        <w:jc w:val="center"/>
      </w:pPr>
      <w:r>
        <w:rPr>
          <w:i/>
          <w:sz w:val="19"/>
        </w:rPr>
        <w:t>Ce PCP reflète les activités actuellement décrites par Atlantique Export. Il doit être révisé avant l'ajout de nouveaux produits ou de nouvelles activités (ex. poisson, miel, transformation, reconditionnement ou entreposage).</w:t>
      </w:r>
    </w:p>
    <w:p>
      <w:r>
        <w:br w:type="page"/>
      </w:r>
    </w:p>
    <w:p>
      <w:pPr>
        <w:pStyle w:val="Heading1"/>
      </w:pPr>
      <w:r>
        <w:t>1. Objet et portée</w:t>
      </w:r>
    </w:p>
    <w:p>
      <w:r>
        <w:t>Le présent plan de contrôle préventif décrit les mesures mises en place par Atlantique Export Inc. pour l'importation et la distribution au Canada de mangues fraîches entières (Mangifera indica) et de madd frais entier (Saba senegalensis) provenant du Sénégal.</w:t>
      </w:r>
    </w:p>
    <w:p>
      <w:r>
        <w:t>Les produits sont reçus en cartons. Atlantique Export ne lave pas, ne coupe pas, ne transforme pas et ne reconditionne pas les produits. Les commandes sont principalement effectuées selon les précommandes; après récupération de l'arrivage, les produits sont chargés dans le véhicule et livrés directement aux clients. Le plan ne couvre pas, pour le moment, le miel, le poisson ni d'autres catégories de produits.</w:t>
      </w:r>
    </w:p>
    <w:p>
      <w:pPr>
        <w:pStyle w:val="Heading1"/>
      </w:pPr>
      <w:r>
        <w:t>2. Renseignements sur l'entreprise et responsabilités</w:t>
      </w:r>
    </w:p>
    <w:p>
      <w:pPr>
        <w:pStyle w:val="ListBullet"/>
      </w:pPr>
      <w:r>
        <w:t>Importateur et distributeur : Atlantique Export Inc.</w:t>
      </w:r>
    </w:p>
    <w:p>
      <w:pPr>
        <w:pStyle w:val="ListBullet"/>
      </w:pPr>
      <w:r>
        <w:t>Responsable principal de la réception : Mouhamadou Sady ou un partenaire autorisé.</w:t>
      </w:r>
    </w:p>
    <w:p>
      <w:pPr>
        <w:pStyle w:val="ListBullet"/>
      </w:pPr>
      <w:r>
        <w:t>Clients : particuliers, épiceries, restaurants et autres clients commerciaux.</w:t>
      </w:r>
    </w:p>
    <w:p>
      <w:pPr>
        <w:pStyle w:val="ListBullet"/>
      </w:pPr>
      <w:r>
        <w:t>Point d'arrivée habituel : aéroport de Montréal, Québec.</w:t>
      </w:r>
    </w:p>
    <w:p>
      <w:pPr>
        <w:pStyle w:val="ListBullet"/>
      </w:pPr>
      <w:r>
        <w:t>Transport international : transport aérien depuis le Sénégal.</w:t>
      </w:r>
    </w:p>
    <w:p>
      <w:pPr>
        <w:pStyle w:val="ListBullet"/>
      </w:pPr>
      <w:r>
        <w:t>Fournisseurs actuels : KMC Groupe Co (mangues et madd) et Bayakh Fruits Company (madd).</w:t>
      </w:r>
    </w:p>
    <w:p>
      <w:r>
        <w:t>Toute personne d'Atlantique Export qui réceptionne ou livre les produits doit connaître les critères d'acceptation, les règles de séparation des produits non conformes et les exigences de traçabilité.</w:t>
      </w:r>
    </w:p>
    <w:p>
      <w:pPr>
        <w:pStyle w:val="Heading1"/>
      </w:pPr>
      <w:r>
        <w:t>3. Description des produits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
              <w:rPr>
                <w:b/>
                <w:sz w:val="18"/>
              </w:rPr>
              <w:t>Produit</w:t>
            </w:r>
          </w:p>
        </w:tc>
        <w:tc>
          <w:tcPr>
            <w:tcW w:type="dxa" w:w="2045"/>
            <w:shd w:fill="D9EAF7"/>
          </w:tcPr>
          <w:p>
            <w:r/>
            <w:r>
              <w:rPr>
                <w:b/>
                <w:sz w:val="18"/>
              </w:rPr>
              <w:t>Forme</w:t>
            </w:r>
          </w:p>
        </w:tc>
        <w:tc>
          <w:tcPr>
            <w:tcW w:type="dxa" w:w="2045"/>
            <w:shd w:fill="D9EAF7"/>
          </w:tcPr>
          <w:p>
            <w:r/>
            <w:r>
              <w:rPr>
                <w:b/>
                <w:sz w:val="18"/>
              </w:rPr>
              <w:t>Conditionnement</w:t>
            </w:r>
          </w:p>
        </w:tc>
        <w:tc>
          <w:tcPr>
            <w:tcW w:type="dxa" w:w="2045"/>
            <w:shd w:fill="D9EAF7"/>
          </w:tcPr>
          <w:p>
            <w:r/>
            <w:r>
              <w:rPr>
                <w:b/>
                <w:sz w:val="18"/>
              </w:rPr>
              <w:t>Traitement au Canada</w:t>
            </w:r>
          </w:p>
        </w:tc>
        <w:tc>
          <w:tcPr>
            <w:tcW w:type="dxa" w:w="2045"/>
            <w:shd w:fill="D9EAF7"/>
          </w:tcPr>
          <w:p>
            <w:r/>
            <w:r>
              <w:rPr>
                <w:b/>
                <w:sz w:val="18"/>
              </w:rPr>
              <w:t>Distribution</w:t>
            </w:r>
          </w:p>
        </w:tc>
      </w:tr>
      <w:tr>
        <w:tc>
          <w:tcPr>
            <w:tcW w:type="dxa" w:w="2045"/>
          </w:tcPr>
          <w:p>
            <w:r/>
            <w:r>
              <w:rPr>
                <w:b w:val="0"/>
                <w:sz w:val="18"/>
              </w:rPr>
              <w:t>Mangue</w:t>
            </w:r>
          </w:p>
        </w:tc>
        <w:tc>
          <w:tcPr>
            <w:tcW w:type="dxa" w:w="2045"/>
          </w:tcPr>
          <w:p>
            <w:r/>
            <w:r>
              <w:rPr>
                <w:b w:val="0"/>
                <w:sz w:val="18"/>
              </w:rPr>
              <w:t>Fruit frais entier</w:t>
            </w:r>
          </w:p>
        </w:tc>
        <w:tc>
          <w:tcPr>
            <w:tcW w:type="dxa" w:w="2045"/>
          </w:tcPr>
          <w:p>
            <w:r/>
            <w:r>
              <w:rPr>
                <w:b w:val="0"/>
                <w:sz w:val="18"/>
              </w:rPr>
              <w:t>Cartons, env. 6 kg pour les cartons de mangues observés</w:t>
            </w:r>
          </w:p>
        </w:tc>
        <w:tc>
          <w:tcPr>
            <w:tcW w:type="dxa" w:w="2045"/>
          </w:tcPr>
          <w:p>
            <w:r/>
            <w:r>
              <w:rPr>
                <w:b w:val="0"/>
                <w:sz w:val="18"/>
              </w:rPr>
              <w:t>Aucun</w:t>
            </w:r>
          </w:p>
        </w:tc>
        <w:tc>
          <w:tcPr>
            <w:tcW w:type="dxa" w:w="2045"/>
          </w:tcPr>
          <w:p>
            <w:r/>
            <w:r>
              <w:rPr>
                <w:b w:val="0"/>
                <w:sz w:val="18"/>
              </w:rPr>
              <w:t>Livraison directe</w:t>
            </w:r>
          </w:p>
        </w:tc>
      </w:tr>
      <w:tr>
        <w:tc>
          <w:tcPr>
            <w:tcW w:type="dxa" w:w="2045"/>
          </w:tcPr>
          <w:p>
            <w:r/>
            <w:r>
              <w:rPr>
                <w:b w:val="0"/>
                <w:sz w:val="18"/>
              </w:rPr>
              <w:t>Madd</w:t>
            </w:r>
          </w:p>
        </w:tc>
        <w:tc>
          <w:tcPr>
            <w:tcW w:type="dxa" w:w="2045"/>
          </w:tcPr>
          <w:p>
            <w:r/>
            <w:r>
              <w:rPr>
                <w:b w:val="0"/>
                <w:sz w:val="18"/>
              </w:rPr>
              <w:t>Fruit frais entier</w:t>
            </w:r>
          </w:p>
        </w:tc>
        <w:tc>
          <w:tcPr>
            <w:tcW w:type="dxa" w:w="2045"/>
          </w:tcPr>
          <w:p>
            <w:r/>
            <w:r>
              <w:rPr>
                <w:b w:val="0"/>
                <w:sz w:val="18"/>
              </w:rPr>
              <w:t>Cartons</w:t>
            </w:r>
          </w:p>
        </w:tc>
        <w:tc>
          <w:tcPr>
            <w:tcW w:type="dxa" w:w="2045"/>
          </w:tcPr>
          <w:p>
            <w:r/>
            <w:r>
              <w:rPr>
                <w:b w:val="0"/>
                <w:sz w:val="18"/>
              </w:rPr>
              <w:t>Aucun</w:t>
            </w:r>
          </w:p>
        </w:tc>
        <w:tc>
          <w:tcPr>
            <w:tcW w:type="dxa" w:w="2045"/>
          </w:tcPr>
          <w:p>
            <w:r/>
            <w:r>
              <w:rPr>
                <w:b w:val="0"/>
                <w:sz w:val="18"/>
              </w:rPr>
              <w:t>Livraison directe</w:t>
            </w:r>
          </w:p>
        </w:tc>
      </w:tr>
    </w:tbl>
    <w:p>
      <w:pPr>
        <w:pStyle w:val="Heading1"/>
      </w:pPr>
      <w:r>
        <w:t>4. Chaîne d'approvisionnement et diagramme du procédé</w:t>
      </w:r>
    </w:p>
    <w:p>
      <w:pPr>
        <w:jc w:val="center"/>
      </w:pPr>
      <w:r>
        <w:t>1. Commande auprès du fournisseur/exportateur au Sénégal</w:t>
      </w:r>
      <w:r>
        <w:br/>
        <w:t>↓</w:t>
      </w:r>
    </w:p>
    <w:p>
      <w:pPr>
        <w:jc w:val="center"/>
      </w:pPr>
      <w:r>
        <w:t>2. Préparation et conditionnement en cartons</w:t>
      </w:r>
      <w:r>
        <w:br/>
        <w:t>↓</w:t>
      </w:r>
    </w:p>
    <w:p>
      <w:pPr>
        <w:jc w:val="center"/>
      </w:pPr>
      <w:r>
        <w:t>3. Documents d'exportation et certificat phytosanitaire, lorsque requis</w:t>
      </w:r>
      <w:r>
        <w:br/>
        <w:t>↓</w:t>
      </w:r>
    </w:p>
    <w:p>
      <w:pPr>
        <w:jc w:val="center"/>
      </w:pPr>
      <w:r>
        <w:t>4. Transport aérien Sénégal → Canada</w:t>
      </w:r>
      <w:r>
        <w:br/>
        <w:t>↓</w:t>
      </w:r>
    </w:p>
    <w:p>
      <w:pPr>
        <w:jc w:val="center"/>
      </w:pPr>
      <w:r>
        <w:t>5. Arrivée et formalités d'importation</w:t>
      </w:r>
      <w:r>
        <w:br/>
        <w:t>↓</w:t>
      </w:r>
    </w:p>
    <w:p>
      <w:pPr>
        <w:jc w:val="center"/>
      </w:pPr>
      <w:r>
        <w:t>6. Récupération par Atlantique Export</w:t>
      </w:r>
      <w:r>
        <w:br/>
        <w:t>↓</w:t>
      </w:r>
    </w:p>
    <w:p>
      <w:pPr>
        <w:jc w:val="center"/>
      </w:pPr>
      <w:r>
        <w:t>7. Vérification documentaire, quantité et état général</w:t>
      </w:r>
      <w:r>
        <w:br/>
        <w:t>↓</w:t>
      </w:r>
    </w:p>
    <w:p>
      <w:pPr>
        <w:jc w:val="center"/>
      </w:pPr>
      <w:r>
        <w:t>8. Inspection visuelle et tri au besoin</w:t>
      </w:r>
      <w:r>
        <w:br/>
        <w:t>↓</w:t>
      </w:r>
    </w:p>
    <w:p>
      <w:pPr>
        <w:jc w:val="center"/>
      </w:pPr>
      <w:r>
        <w:t>9. Séparation et élimination des produits impropres</w:t>
      </w:r>
      <w:r>
        <w:br/>
        <w:t>↓</w:t>
      </w:r>
    </w:p>
    <w:p>
      <w:pPr>
        <w:jc w:val="center"/>
      </w:pPr>
      <w:r>
        <w:t>10. Chargement dans le véhicule</w:t>
      </w:r>
      <w:r>
        <w:br/>
        <w:t>↓</w:t>
      </w:r>
    </w:p>
    <w:p>
      <w:pPr>
        <w:jc w:val="center"/>
      </w:pPr>
      <w:r>
        <w:t>11. Livraison directe aux clients</w:t>
      </w:r>
      <w:r>
        <w:br/>
        <w:t>↓</w:t>
      </w:r>
    </w:p>
    <w:p>
      <w:pPr>
        <w:jc w:val="center"/>
      </w:pPr>
      <w:r>
        <w:t>12. Conservation des informations de traçabilité</w:t>
      </w:r>
    </w:p>
    <w:p>
      <w:pPr>
        <w:pStyle w:val="Heading1"/>
      </w:pPr>
      <w:r>
        <w:t>5. Contrôle des fournisseurs et documents</w:t>
      </w:r>
    </w:p>
    <w:p>
      <w:r>
        <w:t>Atlantique Export conserve, selon ce qui est applicable à chaque expédition, les documents permettant d'identifier le fournisseur/exportateur, le produit, la quantité, l'origine et le transport. Les dossiers déjà fournis comprennent notamment des factures commerciales, des lettres de transport aérien et des certificats phytosanitaires.</w:t>
      </w:r>
    </w:p>
    <w:p>
      <w:pPr>
        <w:pStyle w:val="ListBullet"/>
      </w:pPr>
      <w:r>
        <w:t>Facture commerciale ou document équivalent.</w:t>
      </w:r>
    </w:p>
    <w:p>
      <w:pPr>
        <w:pStyle w:val="ListBullet"/>
      </w:pPr>
      <w:r>
        <w:t>Air Waybill (AWB) ou document de transport.</w:t>
      </w:r>
    </w:p>
    <w:p>
      <w:pPr>
        <w:pStyle w:val="ListBullet"/>
      </w:pPr>
      <w:r>
        <w:t>Certificat phytosanitaire lorsque requis.</w:t>
      </w:r>
    </w:p>
    <w:p>
      <w:pPr>
        <w:pStyle w:val="ListBullet"/>
      </w:pPr>
      <w:r>
        <w:t>Nom du fournisseur/exportateur et pays d'origine.</w:t>
      </w:r>
    </w:p>
    <w:p>
      <w:pPr>
        <w:pStyle w:val="ListBullet"/>
      </w:pPr>
      <w:r>
        <w:t>Description du produit et quantité expédiée.</w:t>
      </w:r>
    </w:p>
    <w:p>
      <w:pPr>
        <w:pStyle w:val="ListBullet"/>
      </w:pPr>
      <w:r>
        <w:t>Référence de facture/AWB utilisée comme référence d'arrivage lorsqu'aucun numéro de lot distinct n'est disponible.</w:t>
      </w:r>
    </w:p>
    <w:p>
      <w:r>
        <w:t>Avant une nouvelle commande importante ou l'utilisation d'un nouveau fournisseur, Atlantique Export doit vérifier que le fournisseur peut fournir les renseignements et documents nécessaires pour soutenir la conformité et la traçabilité de l'importation.</w:t>
      </w:r>
    </w:p>
    <w:p>
      <w:pPr>
        <w:pStyle w:val="Heading1"/>
      </w:pPr>
      <w:r>
        <w:t>6. Réception des mangues et du madd</w:t>
      </w:r>
    </w:p>
    <w:p>
      <w:pPr>
        <w:pStyle w:val="Heading2"/>
      </w:pPr>
      <w:r>
        <w:t>6.1 Vérification documentaire</w:t>
      </w:r>
    </w:p>
    <w:p>
      <w:r>
        <w:t>À la réception, le responsable compare l'arrivage aux documents disponibles : produit, fournisseur, quantité, référence d'expédition et documents réglementaires applicables.</w:t>
      </w:r>
    </w:p>
    <w:p>
      <w:pPr>
        <w:pStyle w:val="Heading2"/>
      </w:pPr>
      <w:r>
        <w:t>6.2 Inspection physique</w:t>
      </w:r>
    </w:p>
    <w:p>
      <w:pPr>
        <w:pStyle w:val="ListBullet"/>
      </w:pPr>
      <w:r>
        <w:t>État général des cartons et signes de dommages importants.</w:t>
      </w:r>
    </w:p>
    <w:p>
      <w:pPr>
        <w:pStyle w:val="ListBullet"/>
      </w:pPr>
      <w:r>
        <w:t>Correspondance approximative entre les quantités reçues et commandées.</w:t>
      </w:r>
    </w:p>
    <w:p>
      <w:pPr>
        <w:pStyle w:val="ListBullet"/>
      </w:pPr>
      <w:r>
        <w:t>Pourriture, moisissure ou odeur anormale.</w:t>
      </w:r>
    </w:p>
    <w:p>
      <w:pPr>
        <w:pStyle w:val="ListBullet"/>
      </w:pPr>
      <w:r>
        <w:t>Présence visible d'insectes, souillures ou contamination.</w:t>
      </w:r>
    </w:p>
    <w:p>
      <w:pPr>
        <w:pStyle w:val="ListBullet"/>
      </w:pPr>
      <w:r>
        <w:t>Fruits fortement écrasés ou détériorés.</w:t>
      </w:r>
    </w:p>
    <w:p>
      <w:pPr>
        <w:pStyle w:val="ListBullet"/>
      </w:pPr>
      <w:r>
        <w:t>Pour le madd : attention particulière aux fruits cassés et aux fruits présentant des signes de pourriture.</w:t>
      </w:r>
    </w:p>
    <w:p>
      <w:r>
        <w:t>L'inspection est visuelle et adaptée à l'état de l'arrivage. Atlantique Export ne prétend pas effectuer une analyse de laboratoire à la réception.</w:t>
      </w:r>
    </w:p>
    <w:p>
      <w:pPr>
        <w:pStyle w:val="Heading2"/>
      </w:pPr>
      <w:r>
        <w:t>6.3 Décision à la réception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sz w:val="18"/>
              </w:rPr>
              <w:t>Décision</w:t>
            </w:r>
          </w:p>
        </w:tc>
        <w:tc>
          <w:tcPr>
            <w:tcW w:type="dxa" w:w="3408"/>
            <w:shd w:fill="D9EAF7"/>
          </w:tcPr>
          <w:p>
            <w:r/>
            <w:r>
              <w:rPr>
                <w:b/>
                <w:sz w:val="18"/>
              </w:rPr>
              <w:t>Situation</w:t>
            </w:r>
          </w:p>
        </w:tc>
        <w:tc>
          <w:tcPr>
            <w:tcW w:type="dxa" w:w="3408"/>
            <w:shd w:fill="D9EAF7"/>
          </w:tcPr>
          <w:p>
            <w:r/>
            <w:r>
              <w:rPr>
                <w:b/>
                <w:sz w:val="18"/>
              </w:rPr>
              <w:t>Action</w:t>
            </w:r>
          </w:p>
        </w:tc>
      </w:tr>
      <w:tr>
        <w:tc>
          <w:tcPr>
            <w:tcW w:type="dxa" w:w="3408"/>
          </w:tcPr>
          <w:p>
            <w:r/>
            <w:r>
              <w:rPr>
                <w:b w:val="0"/>
                <w:sz w:val="18"/>
              </w:rPr>
              <w:t>Accepté</w:t>
            </w:r>
          </w:p>
        </w:tc>
        <w:tc>
          <w:tcPr>
            <w:tcW w:type="dxa" w:w="3408"/>
          </w:tcPr>
          <w:p>
            <w:r/>
            <w:r>
              <w:rPr>
                <w:b w:val="0"/>
                <w:sz w:val="18"/>
              </w:rPr>
              <w:t>Arrivage conforme, sans anomalie importante visible.</w:t>
            </w:r>
          </w:p>
        </w:tc>
        <w:tc>
          <w:tcPr>
            <w:tcW w:type="dxa" w:w="3408"/>
          </w:tcPr>
          <w:p>
            <w:r/>
            <w:r>
              <w:rPr>
                <w:b w:val="0"/>
                <w:sz w:val="18"/>
              </w:rPr>
              <w:t>Poursuivre la distribution.</w:t>
            </w:r>
          </w:p>
        </w:tc>
      </w:tr>
      <w:tr>
        <w:tc>
          <w:tcPr>
            <w:tcW w:type="dxa" w:w="3408"/>
          </w:tcPr>
          <w:p>
            <w:r/>
            <w:r>
              <w:rPr>
                <w:b w:val="0"/>
                <w:sz w:val="18"/>
              </w:rPr>
              <w:t>Accepté avec tri</w:t>
            </w:r>
          </w:p>
        </w:tc>
        <w:tc>
          <w:tcPr>
            <w:tcW w:type="dxa" w:w="3408"/>
          </w:tcPr>
          <w:p>
            <w:r/>
            <w:r>
              <w:rPr>
                <w:b w:val="0"/>
                <w:sz w:val="18"/>
              </w:rPr>
              <w:t>Quelques fruits sont cassés, abîmés ou détériorés, mais le reste est acceptable.</w:t>
            </w:r>
          </w:p>
        </w:tc>
        <w:tc>
          <w:tcPr>
            <w:tcW w:type="dxa" w:w="3408"/>
          </w:tcPr>
          <w:p>
            <w:r/>
            <w:r>
              <w:rPr>
                <w:b w:val="0"/>
                <w:sz w:val="18"/>
              </w:rPr>
              <w:t>Retirer les unités concernées et distribuer le reste.</w:t>
            </w:r>
          </w:p>
        </w:tc>
      </w:tr>
      <w:tr>
        <w:tc>
          <w:tcPr>
            <w:tcW w:type="dxa" w:w="3408"/>
          </w:tcPr>
          <w:p>
            <w:r/>
            <w:r>
              <w:rPr>
                <w:b w:val="0"/>
                <w:sz w:val="18"/>
              </w:rPr>
              <w:t>Non conforme / retenu</w:t>
            </w:r>
          </w:p>
        </w:tc>
        <w:tc>
          <w:tcPr>
            <w:tcW w:type="dxa" w:w="3408"/>
          </w:tcPr>
          <w:p>
            <w:r/>
            <w:r>
              <w:rPr>
                <w:b w:val="0"/>
                <w:sz w:val="18"/>
              </w:rPr>
              <w:t>Pourriture ou moisissure importante, infestation, contamination apparente, odeur anormale importante ou autre doute sur la salubrité.</w:t>
            </w:r>
          </w:p>
        </w:tc>
        <w:tc>
          <w:tcPr>
            <w:tcW w:type="dxa" w:w="3408"/>
          </w:tcPr>
          <w:p>
            <w:r/>
            <w:r>
              <w:rPr>
                <w:b w:val="0"/>
                <w:sz w:val="18"/>
              </w:rPr>
              <w:t>Ne pas distribuer; séparer l'arrivage ou la partie touchée et déterminer l'action corrective.</w:t>
            </w:r>
          </w:p>
        </w:tc>
      </w:tr>
    </w:tbl>
    <w:p>
      <w:pPr>
        <w:pStyle w:val="Heading1"/>
      </w:pPr>
      <w:r>
        <w:t>7. Gestion des produits non conformes</w:t>
      </w:r>
    </w:p>
    <w:p>
      <w:r>
        <w:t>Tout produit manifestement pourri, fortement détérioré ou présentant une anomalie qui le rend impropre à la vente est retiré des produits destinés aux clients. Les produits rejetés sont séparés afin d'éviter leur distribution accidentelle et sont éliminés de façon appropriée.</w:t>
      </w:r>
    </w:p>
    <w:p>
      <w:r>
        <w:t>Un madd simplement cassé n'est pas automatiquement considéré comme dangereux. Le responsable évalue son état; s'il présente de la détérioration, une contamination ou un doute raisonnable sur sa salubrité, il est rejeté.</w:t>
      </w:r>
    </w:p>
    <w:p>
      <w:pPr>
        <w:pStyle w:val="ListBullet"/>
      </w:pPr>
      <w:r>
        <w:t>Consigner la quantité approximative rejetée lorsque cela est possible.</w:t>
      </w:r>
    </w:p>
    <w:p>
      <w:pPr>
        <w:pStyle w:val="ListBullet"/>
      </w:pPr>
      <w:r>
        <w:t>Indiquer le motif du rejet.</w:t>
      </w:r>
    </w:p>
    <w:p>
      <w:pPr>
        <w:pStyle w:val="ListBullet"/>
      </w:pPr>
      <w:r>
        <w:t>En cas de problème important ou récurrent, communiquer avec le fournisseur et conserver les échanges pertinents.</w:t>
      </w:r>
    </w:p>
    <w:p>
      <w:pPr>
        <w:pStyle w:val="ListBullet"/>
      </w:pPr>
      <w:r>
        <w:t>Si un problème peut toucher des produits déjà distribués, appliquer la procédure de traçabilité et de rappel.</w:t>
      </w:r>
    </w:p>
    <w:p>
      <w:pPr>
        <w:pStyle w:val="Heading1"/>
      </w:pPr>
      <w:r>
        <w:t>8. Transport et livraison au Canada</w:t>
      </w:r>
    </w:p>
    <w:p>
      <w:r>
        <w:t>Après récupération, les produits restent dans leurs cartons d'origine et sont chargés dans le véhicule utilisé par Atlantique Export pour la livraison. Il n'y a normalement pas d'entreposage intermédiaire.</w:t>
      </w:r>
    </w:p>
    <w:p>
      <w:pPr>
        <w:pStyle w:val="ListBullet"/>
      </w:pPr>
      <w:r>
        <w:t>Le véhicule doit être raisonnablement propre et exempt de déchets, odeurs fortes, produits chimiques ou autres sources évidentes de contamination.</w:t>
      </w:r>
    </w:p>
    <w:p>
      <w:pPr>
        <w:pStyle w:val="ListBullet"/>
      </w:pPr>
      <w:r>
        <w:t>Les cartons sont placés de manière à limiter l'écrasement et les dommages.</w:t>
      </w:r>
    </w:p>
    <w:p>
      <w:pPr>
        <w:pStyle w:val="ListBullet"/>
      </w:pPr>
      <w:r>
        <w:t>Les produits alimentaires ne doivent pas être transportés avec des substances susceptibles de les contaminer.</w:t>
      </w:r>
    </w:p>
    <w:p>
      <w:pPr>
        <w:pStyle w:val="ListBullet"/>
      </w:pPr>
      <w:r>
        <w:t>La livraison est effectuée aussi directement que possible après la récupération de l'arrivage.</w:t>
      </w:r>
    </w:p>
    <w:p>
      <w:r>
        <w:t>Les documents de transport historiques comportent des indications de température qui ne permettent pas d'établir une consigne unique pour toutes les expéditions. Atlantique Export vérifie donc l'état des fruits et des cartons à chaque réception. Toute exigence future de température contrôlée devra être définie, surveillée et enregistrée.</w:t>
      </w:r>
    </w:p>
    <w:p>
      <w:pPr>
        <w:pStyle w:val="Heading1"/>
      </w:pPr>
      <w:r>
        <w:t>9. Hygiène et manipulation</w:t>
      </w:r>
    </w:p>
    <w:p>
      <w:r>
        <w:t>Atlantique Export ne transforme pas les produits. La manipulation se limite principalement au déplacement des cartons, à l'inspection visuelle, au tri et à la livraison.</w:t>
      </w:r>
    </w:p>
    <w:p>
      <w:pPr>
        <w:pStyle w:val="ListBullet"/>
      </w:pPr>
      <w:r>
        <w:t>Les personnes manipulant les produits doivent avoir les mains propres et éviter de manipuler les fruits lorsqu'elles sont susceptibles de les contaminer.</w:t>
      </w:r>
    </w:p>
    <w:p>
      <w:pPr>
        <w:pStyle w:val="ListBullet"/>
      </w:pPr>
      <w:r>
        <w:t>Les surfaces ou contenants utilisés pour déposer temporairement des produits doivent être propres.</w:t>
      </w:r>
    </w:p>
    <w:p>
      <w:pPr>
        <w:pStyle w:val="ListBullet"/>
      </w:pPr>
      <w:r>
        <w:t>Aucun produit chimique, déchet ou objet sale ne doit être placé en contact avec les fruits ou les cartons.</w:t>
      </w:r>
    </w:p>
    <w:p>
      <w:pPr>
        <w:pStyle w:val="ListBullet"/>
      </w:pPr>
      <w:r>
        <w:t>Après un déversement ou une contamination du véhicule, nettoyer avant de transporter des aliments.</w:t>
      </w:r>
    </w:p>
    <w:p>
      <w:pPr>
        <w:pStyle w:val="Heading1"/>
      </w:pPr>
      <w:r>
        <w:t>10. Traçabilité</w:t>
      </w:r>
    </w:p>
    <w:p>
      <w:r>
        <w:t>Atlantique Export doit pouvoir relier un arrivage à son fournisseur et, dans la mesure raisonnablement possible, retrouver les clients auxquels les produits de cet arrivage ont été distribués. Lorsque le fournisseur n'inscrit pas de numéro de lot distinct, Atlantique Export utilise une référence interne fondée sur la date de réception et la facture/AWB.</w:t>
      </w:r>
    </w:p>
    <w:p>
      <w:r>
        <w:t>Format recommandé : AE-AAAAMMJJ-[PRODUIT]-[référence courte]. Exemple : AE-20260815-MADD-INV123.</w:t>
      </w:r>
    </w:p>
    <w:p>
      <w:pPr>
        <w:pStyle w:val="ListBullet"/>
      </w:pPr>
      <w:r>
        <w:t>Conserver la date de réception, le produit, le fournisseur, la facture/AWB et la quantité.</w:t>
      </w:r>
    </w:p>
    <w:p>
      <w:pPr>
        <w:pStyle w:val="ListBullet"/>
      </w:pPr>
      <w:r>
        <w:t>Conserver les noms ou coordonnées des clients disponibles, la date de livraison et la quantité livrée.</w:t>
      </w:r>
    </w:p>
    <w:p>
      <w:pPr>
        <w:pStyle w:val="ListBullet"/>
      </w:pPr>
      <w:r>
        <w:t>Pour les ventes commerciales, conserver les renseignements permettant d'identifier clairement le client.</w:t>
      </w:r>
    </w:p>
    <w:p>
      <w:pPr>
        <w:pStyle w:val="ListBullet"/>
      </w:pPr>
      <w:r>
        <w:t>Éviter de mélanger les références d'arrivages dans les registres lorsque plusieurs expéditions sont reçues.</w:t>
      </w:r>
    </w:p>
    <w:p>
      <w:pPr>
        <w:pStyle w:val="Heading1"/>
      </w:pPr>
      <w:r>
        <w:t>11. Procédure de plainte et de rappel</w:t>
      </w:r>
    </w:p>
    <w:p>
      <w:pPr>
        <w:pStyle w:val="Heading2"/>
      </w:pPr>
      <w:r>
        <w:t>11.1 Plainte</w:t>
      </w:r>
    </w:p>
    <w:p>
      <w:r>
        <w:t>Toute plainte liée à la salubrité ou à une détérioration importante doit être documentée. Le responsable identifie le produit, la date d'achat/livraison, le client et, si possible, l'arrivage concerné. Il évalue si d'autres clients peuvent avoir reçu le même produit.</w:t>
      </w:r>
    </w:p>
    <w:p>
      <w:pPr>
        <w:pStyle w:val="Heading2"/>
      </w:pPr>
      <w:r>
        <w:t>11.2 Rappel ou retrait</w:t>
      </w:r>
    </w:p>
    <w:p>
      <w:pPr>
        <w:pStyle w:val="ListNumber"/>
      </w:pPr>
      <w:r>
        <w:t>Suspendre immédiatement la distribution du produit ou de l'arrivage concerné.</w:t>
      </w:r>
    </w:p>
    <w:p>
      <w:pPr>
        <w:pStyle w:val="ListNumber"/>
      </w:pPr>
      <w:r>
        <w:t>Identifier la facture/AWB, la date de réception et les quantités concernées.</w:t>
      </w:r>
    </w:p>
    <w:p>
      <w:pPr>
        <w:pStyle w:val="ListNumber"/>
      </w:pPr>
      <w:r>
        <w:t>Identifier les clients ayant reçu les produits concernés à partir des commandes et livraisons.</w:t>
      </w:r>
    </w:p>
    <w:p>
      <w:pPr>
        <w:pStyle w:val="ListNumber"/>
      </w:pPr>
      <w:r>
        <w:t>Communiquer avec les clients concernés et leur demander de ne pas consommer/distribuer le produit si nécessaire.</w:t>
      </w:r>
    </w:p>
    <w:p>
      <w:pPr>
        <w:pStyle w:val="ListNumber"/>
      </w:pPr>
      <w:r>
        <w:t>Isoler tout produit restant.</w:t>
      </w:r>
    </w:p>
    <w:p>
      <w:pPr>
        <w:pStyle w:val="ListNumber"/>
      </w:pPr>
      <w:r>
        <w:t>Communiquer avec les autorités compétentes lorsque la situation l'exige et suivre leurs instructions.</w:t>
      </w:r>
    </w:p>
    <w:p>
      <w:pPr>
        <w:pStyle w:val="ListNumber"/>
      </w:pPr>
      <w:r>
        <w:t>Documenter les quantités récupérées, éliminées ou autrement traitées.</w:t>
      </w:r>
    </w:p>
    <w:p>
      <w:pPr>
        <w:pStyle w:val="ListNumber"/>
      </w:pPr>
      <w:r>
        <w:t>Examiner la cause du problème et mettre en place une mesure corrective avant de reprendre la distribution si nécessaire.</w:t>
      </w:r>
    </w:p>
    <w:p>
      <w:pPr>
        <w:pStyle w:val="Heading1"/>
      </w:pPr>
      <w:r>
        <w:t>12. Vérification et mesures correctives</w:t>
      </w:r>
    </w:p>
    <w:p>
      <w:r>
        <w:t>Le responsable d'Atlantique Export vérifie périodiquement que les registres de réception et de livraison sont remplis et que les documents des expéditions sont conservés. Lorsqu'une lacune est constatée, une mesure corrective est prise et documentée.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sz w:val="18"/>
              </w:rPr>
              <w:t>Écart</w:t>
            </w:r>
          </w:p>
        </w:tc>
        <w:tc>
          <w:tcPr>
            <w:tcW w:type="dxa" w:w="3408"/>
            <w:shd w:fill="D9EAF7"/>
          </w:tcPr>
          <w:p>
            <w:r/>
            <w:r>
              <w:rPr>
                <w:b/>
                <w:sz w:val="18"/>
              </w:rPr>
              <w:t>Mesure immédiate</w:t>
            </w:r>
          </w:p>
        </w:tc>
        <w:tc>
          <w:tcPr>
            <w:tcW w:type="dxa" w:w="3408"/>
            <w:shd w:fill="D9EAF7"/>
          </w:tcPr>
          <w:p>
            <w:r/>
            <w:r>
              <w:rPr>
                <w:b/>
                <w:sz w:val="18"/>
              </w:rPr>
              <w:t>Suivi</w:t>
            </w:r>
          </w:p>
        </w:tc>
      </w:tr>
      <w:tr>
        <w:tc>
          <w:tcPr>
            <w:tcW w:type="dxa" w:w="3408"/>
          </w:tcPr>
          <w:p>
            <w:r/>
            <w:r>
              <w:rPr>
                <w:b w:val="0"/>
                <w:sz w:val="18"/>
              </w:rPr>
              <w:t>Document d'expédition manquant</w:t>
            </w:r>
          </w:p>
        </w:tc>
        <w:tc>
          <w:tcPr>
            <w:tcW w:type="dxa" w:w="3408"/>
          </w:tcPr>
          <w:p>
            <w:r/>
            <w:r>
              <w:rPr>
                <w:b w:val="0"/>
                <w:sz w:val="18"/>
              </w:rPr>
              <w:t>Demander le document au fournisseur/transporteur.</w:t>
            </w:r>
          </w:p>
        </w:tc>
        <w:tc>
          <w:tcPr>
            <w:tcW w:type="dxa" w:w="3408"/>
          </w:tcPr>
          <w:p>
            <w:r/>
            <w:r>
              <w:rPr>
                <w:b w:val="0"/>
                <w:sz w:val="18"/>
              </w:rPr>
              <w:t>Conserver le document reçu et revoir le dossier.</w:t>
            </w:r>
          </w:p>
        </w:tc>
      </w:tr>
      <w:tr>
        <w:tc>
          <w:tcPr>
            <w:tcW w:type="dxa" w:w="3408"/>
          </w:tcPr>
          <w:p>
            <w:r/>
            <w:r>
              <w:rPr>
                <w:b w:val="0"/>
                <w:sz w:val="18"/>
              </w:rPr>
              <w:t>Quantité différente</w:t>
            </w:r>
          </w:p>
        </w:tc>
        <w:tc>
          <w:tcPr>
            <w:tcW w:type="dxa" w:w="3408"/>
          </w:tcPr>
          <w:p>
            <w:r/>
            <w:r>
              <w:rPr>
                <w:b w:val="0"/>
                <w:sz w:val="18"/>
              </w:rPr>
              <w:t>Vérifier facture/AWB et recompter.</w:t>
            </w:r>
          </w:p>
        </w:tc>
        <w:tc>
          <w:tcPr>
            <w:tcW w:type="dxa" w:w="3408"/>
          </w:tcPr>
          <w:p>
            <w:r/>
            <w:r>
              <w:rPr>
                <w:b w:val="0"/>
                <w:sz w:val="18"/>
              </w:rPr>
              <w:t>Noter l'écart et communiquer avec le fournisseur si nécessaire.</w:t>
            </w:r>
          </w:p>
        </w:tc>
      </w:tr>
      <w:tr>
        <w:tc>
          <w:tcPr>
            <w:tcW w:type="dxa" w:w="3408"/>
          </w:tcPr>
          <w:p>
            <w:r/>
            <w:r>
              <w:rPr>
                <w:b w:val="0"/>
                <w:sz w:val="18"/>
              </w:rPr>
              <w:t>Fruits détériorés</w:t>
            </w:r>
          </w:p>
        </w:tc>
        <w:tc>
          <w:tcPr>
            <w:tcW w:type="dxa" w:w="3408"/>
          </w:tcPr>
          <w:p>
            <w:r/>
            <w:r>
              <w:rPr>
                <w:b w:val="0"/>
                <w:sz w:val="18"/>
              </w:rPr>
              <w:t>Trier, séparer et rejeter les produits impropres.</w:t>
            </w:r>
          </w:p>
        </w:tc>
        <w:tc>
          <w:tcPr>
            <w:tcW w:type="dxa" w:w="3408"/>
          </w:tcPr>
          <w:p>
            <w:r/>
            <w:r>
              <w:rPr>
                <w:b w:val="0"/>
                <w:sz w:val="18"/>
              </w:rPr>
              <w:t>Noter la quantité et surveiller les arrivages suivants.</w:t>
            </w:r>
          </w:p>
        </w:tc>
      </w:tr>
      <w:tr>
        <w:tc>
          <w:tcPr>
            <w:tcW w:type="dxa" w:w="3408"/>
          </w:tcPr>
          <w:p>
            <w:r/>
            <w:r>
              <w:rPr>
                <w:b w:val="0"/>
                <w:sz w:val="18"/>
              </w:rPr>
              <w:t>Problème majeur de salubrité</w:t>
            </w:r>
          </w:p>
        </w:tc>
        <w:tc>
          <w:tcPr>
            <w:tcW w:type="dxa" w:w="3408"/>
          </w:tcPr>
          <w:p>
            <w:r/>
            <w:r>
              <w:rPr>
                <w:b w:val="0"/>
                <w:sz w:val="18"/>
              </w:rPr>
              <w:t>Suspendre la distribution.</w:t>
            </w:r>
          </w:p>
        </w:tc>
        <w:tc>
          <w:tcPr>
            <w:tcW w:type="dxa" w:w="3408"/>
          </w:tcPr>
          <w:p>
            <w:r/>
            <w:r>
              <w:rPr>
                <w:b w:val="0"/>
                <w:sz w:val="18"/>
              </w:rPr>
              <w:t>Évaluer rappel/retrait et contacter les autorités si requis.</w:t>
            </w:r>
          </w:p>
        </w:tc>
      </w:tr>
    </w:tbl>
    <w:p>
      <w:pPr>
        <w:pStyle w:val="Heading1"/>
      </w:pPr>
      <w:r>
        <w:t>13. Registres à conserver</w:t>
      </w:r>
    </w:p>
    <w:p>
      <w:pPr>
        <w:pStyle w:val="ListBullet"/>
      </w:pPr>
      <w:r>
        <w:t>Dossier de chaque importation : facture, AWB, certificat phytosanitaire et autres documents applicables.</w:t>
      </w:r>
    </w:p>
    <w:p>
      <w:pPr>
        <w:pStyle w:val="ListBullet"/>
      </w:pPr>
      <w:r>
        <w:t>Registre de réception et d'inspection.</w:t>
      </w:r>
    </w:p>
    <w:p>
      <w:pPr>
        <w:pStyle w:val="ListBullet"/>
      </w:pPr>
      <w:r>
        <w:t>Registre des produits rejetés/non conformes lorsqu'il y en a.</w:t>
      </w:r>
    </w:p>
    <w:p>
      <w:pPr>
        <w:pStyle w:val="ListBullet"/>
      </w:pPr>
      <w:r>
        <w:t>Registre de livraison/vente permettant la traçabilité.</w:t>
      </w:r>
    </w:p>
    <w:p>
      <w:pPr>
        <w:pStyle w:val="ListBullet"/>
      </w:pPr>
      <w:r>
        <w:t>Registre des plaintes et mesures prises.</w:t>
      </w:r>
    </w:p>
    <w:p>
      <w:pPr>
        <w:pStyle w:val="ListBullet"/>
      </w:pPr>
      <w:r>
        <w:t>Dossier de tout retrait ou rappel, le cas échéant.</w:t>
      </w:r>
    </w:p>
    <w:p>
      <w:pPr>
        <w:pStyle w:val="ListBullet"/>
      </w:pPr>
      <w:r>
        <w:t>Informations pertinentes sur les fournisseurs.</w:t>
      </w:r>
    </w:p>
    <w:p>
      <w:r>
        <w:t>Les registres peuvent être conservés électroniquement ou sur papier, à condition d'être lisibles, accessibles et reliés clairement aux expéditions concernées.</w:t>
      </w:r>
    </w:p>
    <w:p>
      <w:pPr>
        <w:pStyle w:val="Heading1"/>
      </w:pPr>
      <w:r>
        <w:t>14. Révision du PCP</w:t>
      </w:r>
    </w:p>
    <w:p>
      <w:r>
        <w:t>Le PCP est révisé lorsqu'un changement important survient dans les produits, fournisseurs, méthodes de transport, entreposage, transformation, reconditionnement ou distribution, ou lorsqu'un incident démontre qu'une mesure de contrôle doit être améliorée.</w:t>
      </w:r>
    </w:p>
    <w:p>
      <w:r>
        <w:t>Avant l'importation de miel, poisson/fruits de mer ou autres catégories non couvertes par ce document, Atlantique Export doit ajouter les dangers, contrôles, exigences documentaires et procédures propres à ces produits.</w:t>
      </w:r>
    </w:p>
    <w:p>
      <w:r>
        <w:br w:type="page"/>
      </w:r>
    </w:p>
    <w:p>
      <w:pPr>
        <w:pStyle w:val="Heading1"/>
      </w:pPr>
      <w:r>
        <w:t>Approbation et mise en œuvre</w:t>
      </w:r>
    </w:p>
    <w:p>
      <w:r>
        <w:t>Date de mise en œuvre : 23 août 2026</w:t>
      </w:r>
    </w:p>
    <w:p>
      <w:r>
        <w:t>Responsable du PCP : Mouhamadou Sady</w:t>
      </w:r>
    </w:p>
    <w:p>
      <w:r>
        <w:t>Signature : ____________________________________    Date : __________________</w:t>
      </w:r>
    </w:p>
    <w:p>
      <w:pPr>
        <w:pStyle w:val="Heading1"/>
      </w:pPr>
      <w:r>
        <w:t>ANNEXE A - Registre de réception et d'inspection</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AF7"/>
          </w:tcPr>
          <w:p>
            <w:r/>
            <w:r>
              <w:rPr>
                <w:b/>
                <w:sz w:val="18"/>
              </w:rPr>
              <w:t>Date</w:t>
            </w:r>
          </w:p>
        </w:tc>
        <w:tc>
          <w:tcPr>
            <w:tcW w:type="dxa" w:w="1278"/>
            <w:shd w:fill="D9EAF7"/>
          </w:tcPr>
          <w:p>
            <w:r/>
            <w:r>
              <w:rPr>
                <w:b/>
                <w:sz w:val="18"/>
              </w:rPr>
              <w:t>Produit</w:t>
            </w:r>
          </w:p>
        </w:tc>
        <w:tc>
          <w:tcPr>
            <w:tcW w:type="dxa" w:w="1278"/>
            <w:shd w:fill="D9EAF7"/>
          </w:tcPr>
          <w:p>
            <w:r/>
            <w:r>
              <w:rPr>
                <w:b/>
                <w:sz w:val="18"/>
              </w:rPr>
              <w:t>Fournisseur</w:t>
            </w:r>
          </w:p>
        </w:tc>
        <w:tc>
          <w:tcPr>
            <w:tcW w:type="dxa" w:w="1278"/>
            <w:shd w:fill="D9EAF7"/>
          </w:tcPr>
          <w:p>
            <w:r/>
            <w:r>
              <w:rPr>
                <w:b/>
                <w:sz w:val="18"/>
              </w:rPr>
              <w:t>Facture/AWB</w:t>
            </w:r>
          </w:p>
        </w:tc>
        <w:tc>
          <w:tcPr>
            <w:tcW w:type="dxa" w:w="1278"/>
            <w:shd w:fill="D9EAF7"/>
          </w:tcPr>
          <w:p>
            <w:r/>
            <w:r>
              <w:rPr>
                <w:b/>
                <w:sz w:val="18"/>
              </w:rPr>
              <w:t>Qté reçue</w:t>
            </w:r>
          </w:p>
        </w:tc>
        <w:tc>
          <w:tcPr>
            <w:tcW w:type="dxa" w:w="1278"/>
            <w:shd w:fill="D9EAF7"/>
          </w:tcPr>
          <w:p>
            <w:r/>
            <w:r>
              <w:rPr>
                <w:b/>
                <w:sz w:val="18"/>
              </w:rPr>
              <w:t>État / anomalies</w:t>
            </w:r>
          </w:p>
        </w:tc>
        <w:tc>
          <w:tcPr>
            <w:tcW w:type="dxa" w:w="1278"/>
            <w:shd w:fill="D9EAF7"/>
          </w:tcPr>
          <w:p>
            <w:r/>
            <w:r>
              <w:rPr>
                <w:b/>
                <w:sz w:val="18"/>
              </w:rPr>
              <w:t>Qté rejetée</w:t>
            </w:r>
          </w:p>
        </w:tc>
        <w:tc>
          <w:tcPr>
            <w:tcW w:type="dxa" w:w="1278"/>
            <w:shd w:fill="D9EAF7"/>
          </w:tcPr>
          <w:p>
            <w:r/>
            <w:r>
              <w:rPr>
                <w:b/>
                <w:sz w:val="18"/>
              </w:rPr>
              <w:t>Responsable</w:t>
            </w:r>
          </w:p>
        </w:tc>
      </w:tr>
      <w:tr>
        <w:tc>
          <w:tcPr>
            <w:tcW w:type="dxa" w:w="1278"/>
          </w:tcPr>
          <w:p>
            <w:r/>
            <w:r>
              <w:rPr>
                <w:b w:val="0"/>
                <w:sz w:val="18"/>
              </w:rPr>
            </w:r>
          </w:p>
        </w:tc>
        <w:tc>
          <w:tcPr>
            <w:tcW w:type="dxa" w:w="1278"/>
          </w:tcPr>
          <w:p>
            <w:r/>
            <w:r>
              <w:rPr>
                <w:b w:val="0"/>
                <w:sz w:val="18"/>
              </w:rPr>
            </w:r>
          </w:p>
        </w:tc>
        <w:tc>
          <w:tcPr>
            <w:tcW w:type="dxa" w:w="1278"/>
          </w:tcPr>
          <w:p>
            <w:r/>
            <w:r>
              <w:rPr>
                <w:b w:val="0"/>
                <w:sz w:val="18"/>
              </w:rPr>
            </w:r>
          </w:p>
        </w:tc>
        <w:tc>
          <w:tcPr>
            <w:tcW w:type="dxa" w:w="1278"/>
          </w:tcPr>
          <w:p>
            <w:r/>
            <w:r>
              <w:rPr>
                <w:b w:val="0"/>
                <w:sz w:val="18"/>
              </w:rPr>
            </w:r>
          </w:p>
        </w:tc>
        <w:tc>
          <w:tcPr>
            <w:tcW w:type="dxa" w:w="1278"/>
          </w:tcPr>
          <w:p>
            <w:r/>
            <w:r>
              <w:rPr>
                <w:b w:val="0"/>
                <w:sz w:val="18"/>
              </w:rPr>
            </w:r>
          </w:p>
        </w:tc>
        <w:tc>
          <w:tcPr>
            <w:tcW w:type="dxa" w:w="1278"/>
          </w:tcPr>
          <w:p>
            <w:r/>
            <w:r>
              <w:rPr>
                <w:b w:val="0"/>
                <w:sz w:val="18"/>
              </w:rPr>
            </w:r>
          </w:p>
        </w:tc>
        <w:tc>
          <w:tcPr>
            <w:tcW w:type="dxa" w:w="1278"/>
          </w:tcPr>
          <w:p>
            <w:r/>
            <w:r>
              <w:rPr>
                <w:b w:val="0"/>
                <w:sz w:val="18"/>
              </w:rPr>
            </w:r>
          </w:p>
        </w:tc>
        <w:tc>
          <w:tcPr>
            <w:tcW w:type="dxa" w:w="1278"/>
          </w:tcPr>
          <w:p>
            <w:r/>
            <w:r>
              <w:rPr>
                <w:b w:val="0"/>
                <w:sz w:val="18"/>
              </w:rPr>
            </w:r>
          </w:p>
        </w:tc>
      </w:tr>
    </w:tbl>
    <w:p>
      <w:r>
        <w:t>Décision : ☐ Accepté   ☐ Accepté avec tri   ☐ Retenu/non conforme</w:t>
      </w:r>
    </w:p>
    <w:p>
      <w:r>
        <w:t>Mesure corrective / commentaire : _________________________________________________</w:t>
      </w:r>
    </w:p>
    <w:p>
      <w:pPr>
        <w:pStyle w:val="Heading1"/>
      </w:pPr>
      <w:r>
        <w:t>ANNEXE B - Registre de traçabilité des livraisons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
              <w:rPr>
                <w:b/>
                <w:sz w:val="18"/>
              </w:rPr>
              <w:t>Date</w:t>
            </w:r>
          </w:p>
        </w:tc>
        <w:tc>
          <w:tcPr>
            <w:tcW w:type="dxa" w:w="1461"/>
            <w:shd w:fill="D9EAF7"/>
          </w:tcPr>
          <w:p>
            <w:r/>
            <w:r>
              <w:rPr>
                <w:b/>
                <w:sz w:val="18"/>
              </w:rPr>
              <w:t>Réf. arrivage</w:t>
            </w:r>
          </w:p>
        </w:tc>
        <w:tc>
          <w:tcPr>
            <w:tcW w:type="dxa" w:w="1461"/>
            <w:shd w:fill="D9EAF7"/>
          </w:tcPr>
          <w:p>
            <w:r/>
            <w:r>
              <w:rPr>
                <w:b/>
                <w:sz w:val="18"/>
              </w:rPr>
              <w:t>Produit</w:t>
            </w:r>
          </w:p>
        </w:tc>
        <w:tc>
          <w:tcPr>
            <w:tcW w:type="dxa" w:w="1461"/>
            <w:shd w:fill="D9EAF7"/>
          </w:tcPr>
          <w:p>
            <w:r/>
            <w:r>
              <w:rPr>
                <w:b/>
                <w:sz w:val="18"/>
              </w:rPr>
              <w:t>Client</w:t>
            </w:r>
          </w:p>
        </w:tc>
        <w:tc>
          <w:tcPr>
            <w:tcW w:type="dxa" w:w="1461"/>
            <w:shd w:fill="D9EAF7"/>
          </w:tcPr>
          <w:p>
            <w:r/>
            <w:r>
              <w:rPr>
                <w:b/>
                <w:sz w:val="18"/>
              </w:rPr>
              <w:t>Coordonnées</w:t>
            </w:r>
          </w:p>
        </w:tc>
        <w:tc>
          <w:tcPr>
            <w:tcW w:type="dxa" w:w="1461"/>
            <w:shd w:fill="D9EAF7"/>
          </w:tcPr>
          <w:p>
            <w:r/>
            <w:r>
              <w:rPr>
                <w:b/>
                <w:sz w:val="18"/>
              </w:rPr>
              <w:t>Quantité</w:t>
            </w:r>
          </w:p>
        </w:tc>
        <w:tc>
          <w:tcPr>
            <w:tcW w:type="dxa" w:w="1461"/>
            <w:shd w:fill="D9EAF7"/>
          </w:tcPr>
          <w:p>
            <w:r/>
            <w:r>
              <w:rPr>
                <w:b/>
                <w:sz w:val="18"/>
              </w:rPr>
              <w:t>Mode de livraison</w:t>
            </w:r>
          </w:p>
        </w:tc>
      </w:tr>
      <w:tr>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r>
    </w:tbl>
    <w:p>
      <w:pPr>
        <w:pStyle w:val="Heading1"/>
      </w:pPr>
      <w:r>
        <w:t>ANNEXE C - Registre des non-conformités / plaintes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
              <w:rPr>
                <w:b/>
                <w:sz w:val="18"/>
              </w:rPr>
              <w:t>Date</w:t>
            </w:r>
          </w:p>
        </w:tc>
        <w:tc>
          <w:tcPr>
            <w:tcW w:type="dxa" w:w="1461"/>
            <w:shd w:fill="D9EAF7"/>
          </w:tcPr>
          <w:p>
            <w:r/>
            <w:r>
              <w:rPr>
                <w:b/>
                <w:sz w:val="18"/>
              </w:rPr>
              <w:t>Produit / lot</w:t>
            </w:r>
          </w:p>
        </w:tc>
        <w:tc>
          <w:tcPr>
            <w:tcW w:type="dxa" w:w="1461"/>
            <w:shd w:fill="D9EAF7"/>
          </w:tcPr>
          <w:p>
            <w:r/>
            <w:r>
              <w:rPr>
                <w:b/>
                <w:sz w:val="18"/>
              </w:rPr>
              <w:t>Problème</w:t>
            </w:r>
          </w:p>
        </w:tc>
        <w:tc>
          <w:tcPr>
            <w:tcW w:type="dxa" w:w="1461"/>
            <w:shd w:fill="D9EAF7"/>
          </w:tcPr>
          <w:p>
            <w:r/>
            <w:r>
              <w:rPr>
                <w:b/>
                <w:sz w:val="18"/>
              </w:rPr>
              <w:t>Quantité</w:t>
            </w:r>
          </w:p>
        </w:tc>
        <w:tc>
          <w:tcPr>
            <w:tcW w:type="dxa" w:w="1461"/>
            <w:shd w:fill="D9EAF7"/>
          </w:tcPr>
          <w:p>
            <w:r/>
            <w:r>
              <w:rPr>
                <w:b/>
                <w:sz w:val="18"/>
              </w:rPr>
              <w:t>Action immédiate</w:t>
            </w:r>
          </w:p>
        </w:tc>
        <w:tc>
          <w:tcPr>
            <w:tcW w:type="dxa" w:w="1461"/>
            <w:shd w:fill="D9EAF7"/>
          </w:tcPr>
          <w:p>
            <w:r/>
            <w:r>
              <w:rPr>
                <w:b/>
                <w:sz w:val="18"/>
              </w:rPr>
              <w:t>Suivi fournisseur/client</w:t>
            </w:r>
          </w:p>
        </w:tc>
        <w:tc>
          <w:tcPr>
            <w:tcW w:type="dxa" w:w="1461"/>
            <w:shd w:fill="D9EAF7"/>
          </w:tcPr>
          <w:p>
            <w:r/>
            <w:r>
              <w:rPr>
                <w:b/>
                <w:sz w:val="18"/>
              </w:rPr>
              <w:t>Fermeture</w:t>
            </w:r>
          </w:p>
        </w:tc>
      </w:tr>
      <w:tr>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c>
          <w:tcPr>
            <w:tcW w:type="dxa" w:w="1461"/>
          </w:tcPr>
          <w:p>
            <w:r/>
            <w:r>
              <w:rPr>
                <w:b w:val="0"/>
                <w:sz w:val="18"/>
              </w:rPr>
            </w:r>
          </w:p>
        </w:tc>
      </w:tr>
    </w:tbl>
    <w:p>
      <w:pPr>
        <w:pStyle w:val="Heading1"/>
      </w:pPr>
      <w:r>
        <w:t>ANNEXE D - Liste de vérification avant livraison</w:t>
      </w:r>
    </w:p>
    <w:p>
      <w:pPr>
        <w:pStyle w:val="ListBullet"/>
      </w:pPr>
      <w:r>
        <w:t>☐ Cartons et produits inspectés.</w:t>
      </w:r>
    </w:p>
    <w:p>
      <w:pPr>
        <w:pStyle w:val="ListBullet"/>
      </w:pPr>
      <w:r>
        <w:t>☐ Produits manifestement impropres retirés.</w:t>
      </w:r>
    </w:p>
    <w:p>
      <w:pPr>
        <w:pStyle w:val="ListBullet"/>
      </w:pPr>
      <w:r>
        <w:t>☐ Référence de l'arrivage enregistrée.</w:t>
      </w:r>
    </w:p>
    <w:p>
      <w:pPr>
        <w:pStyle w:val="ListBullet"/>
      </w:pPr>
      <w:r>
        <w:t>☐ Véhicule propre et sans source évidente de contamination.</w:t>
      </w:r>
    </w:p>
    <w:p>
      <w:pPr>
        <w:pStyle w:val="ListBullet"/>
      </w:pPr>
      <w:r>
        <w:t>☐ Produits protégés contre l'écrasement et les contaminants.</w:t>
      </w:r>
    </w:p>
    <w:p>
      <w:pPr>
        <w:pStyle w:val="ListBullet"/>
      </w:pPr>
      <w:r>
        <w:t>☐ Clients et quantités de livraison enregistrés.</w:t>
      </w:r>
    </w:p>
    <w:p>
      <w:pPr>
        <w:pStyle w:val="Heading1"/>
      </w:pPr>
      <w:r>
        <w:t>ANNEXE E - Sources documentaires utilisées pour cette version</w:t>
      </w:r>
    </w:p>
    <w:p>
      <w:r>
        <w:t>Cette version a été préparée à partir des renseignements opérationnels fournis par Atlantique Export et des dossiers d'importation transmis : factures commerciales, Air Waybills et certificats phytosanitaires relatifs aux mangues et au madd pour 2025-2026. Les documents montrent notamment l'origine Sénégal, le transport aérien, les désignations Mangifera indica et Saba senegalensis et plusieurs quantités/conditionnements d'expédition.</w:t>
      </w:r>
    </w:p>
    <w:p>
      <w:r>
        <w:t>Important : ce document est un PCP opérationnel de travail. Il ne remplace pas une détermination réglementaire de l'ACIA. Les exigences applicables doivent être réévaluées si les activités ou produits changent.</w:t>
      </w:r>
    </w:p>
    <w:p>
      <w:r>
        <w:br w:type="page"/>
      </w:r>
    </w:p>
    <w:p>
      <w:pPr>
        <w:pStyle w:val="Heading1"/>
      </w:pPr>
      <w:r>
        <w:t>15. Analyse des dangers - Mangues fraîches</w:t>
      </w:r>
    </w:p>
    <w:p>
      <w:r>
        <w:t>L'analyse ci-dessous porte sur les dangers raisonnablement prévisibles pour les mangues fraîches entières importées du Sénégal. Les contrôles fournisseur sont fondés sur les pratiques déclarées à Atlantique Export et doivent être confirmés par l'attestation signée de KMC Groupe Co.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
              <w:rPr>
                <w:b/>
                <w:sz w:val="16"/>
              </w:rPr>
              <w:t>Type</w:t>
            </w:r>
          </w:p>
        </w:tc>
        <w:tc>
          <w:tcPr>
            <w:tcW w:type="dxa" w:w="2045"/>
            <w:shd w:fill="D9EAF7"/>
          </w:tcPr>
          <w:p>
            <w:r/>
            <w:r>
              <w:rPr>
                <w:b/>
                <w:sz w:val="16"/>
              </w:rPr>
              <w:t>Danger raisonnablement prévisible</w:t>
            </w:r>
          </w:p>
        </w:tc>
        <w:tc>
          <w:tcPr>
            <w:tcW w:type="dxa" w:w="2045"/>
            <w:shd w:fill="D9EAF7"/>
          </w:tcPr>
          <w:p>
            <w:r/>
            <w:r>
              <w:rPr>
                <w:b/>
                <w:sz w:val="16"/>
              </w:rPr>
              <w:t>Mesures de contrôle</w:t>
            </w:r>
          </w:p>
        </w:tc>
        <w:tc>
          <w:tcPr>
            <w:tcW w:type="dxa" w:w="2045"/>
            <w:shd w:fill="D9EAF7"/>
          </w:tcPr>
          <w:p>
            <w:r/>
            <w:r>
              <w:rPr>
                <w:b/>
                <w:sz w:val="16"/>
              </w:rPr>
              <w:t>Vérification Atlantique Export</w:t>
            </w:r>
          </w:p>
        </w:tc>
        <w:tc>
          <w:tcPr>
            <w:tcW w:type="dxa" w:w="2045"/>
            <w:shd w:fill="D9EAF7"/>
          </w:tcPr>
          <w:p>
            <w:r/>
            <w:r>
              <w:rPr>
                <w:b/>
                <w:sz w:val="16"/>
              </w:rPr>
              <w:t>Preuves / registres</w:t>
            </w:r>
          </w:p>
        </w:tc>
      </w:tr>
      <w:tr>
        <w:tc>
          <w:tcPr>
            <w:tcW w:type="dxa" w:w="2045"/>
          </w:tcPr>
          <w:p>
            <w:r/>
            <w:r>
              <w:rPr>
                <w:b w:val="0"/>
                <w:sz w:val="16"/>
              </w:rPr>
              <w:t>Biologique</w:t>
            </w:r>
          </w:p>
        </w:tc>
        <w:tc>
          <w:tcPr>
            <w:tcW w:type="dxa" w:w="2045"/>
          </w:tcPr>
          <w:p>
            <w:r/>
            <w:r>
              <w:rPr>
                <w:b w:val="0"/>
                <w:sz w:val="16"/>
              </w:rPr>
              <w:t>Contamination par microorganismes pathogènes liée à la récolte, aux mains, aux surfaces, aux animaux ou à une mauvaise manipulation.</w:t>
            </w:r>
          </w:p>
        </w:tc>
        <w:tc>
          <w:tcPr>
            <w:tcW w:type="dxa" w:w="2045"/>
          </w:tcPr>
          <w:p>
            <w:r/>
            <w:r>
              <w:rPr>
                <w:b w:val="0"/>
                <w:sz w:val="16"/>
              </w:rPr>
              <w:t>Récolte manuelle; hygiène du personnel; mains/vêtements propres; matériel propre; protection contre sol, animaux et déchets; retrait des fruits visiblement contaminés.</w:t>
            </w:r>
          </w:p>
        </w:tc>
        <w:tc>
          <w:tcPr>
            <w:tcW w:type="dxa" w:w="2045"/>
          </w:tcPr>
          <w:p>
            <w:r/>
            <w:r>
              <w:rPr>
                <w:b w:val="0"/>
                <w:sz w:val="16"/>
              </w:rPr>
              <w:t>À chaque arrivage : inspection visuelle des cartons/fruits et examen du dossier fournisseur. Revue annuelle de l'attestation fournisseur.</w:t>
            </w:r>
          </w:p>
        </w:tc>
        <w:tc>
          <w:tcPr>
            <w:tcW w:type="dxa" w:w="2045"/>
          </w:tcPr>
          <w:p>
            <w:r/>
            <w:r>
              <w:rPr>
                <w:b w:val="0"/>
                <w:sz w:val="16"/>
              </w:rPr>
              <w:t>Attestation KMC signée; registre de réception; dossier fournisseur.</w:t>
            </w:r>
          </w:p>
        </w:tc>
      </w:tr>
      <w:tr>
        <w:tc>
          <w:tcPr>
            <w:tcW w:type="dxa" w:w="2045"/>
          </w:tcPr>
          <w:p>
            <w:r/>
            <w:r>
              <w:rPr>
                <w:b w:val="0"/>
                <w:sz w:val="16"/>
              </w:rPr>
              <w:t>Biologique</w:t>
            </w:r>
          </w:p>
        </w:tc>
        <w:tc>
          <w:tcPr>
            <w:tcW w:type="dxa" w:w="2045"/>
          </w:tcPr>
          <w:p>
            <w:r/>
            <w:r>
              <w:rPr>
                <w:b w:val="0"/>
                <w:sz w:val="16"/>
              </w:rPr>
              <w:t>Pourriture, moisissure ou détérioration visible.</w:t>
            </w:r>
          </w:p>
        </w:tc>
        <w:tc>
          <w:tcPr>
            <w:tcW w:type="dxa" w:w="2045"/>
          </w:tcPr>
          <w:p>
            <w:r/>
            <w:r>
              <w:rPr>
                <w:b w:val="0"/>
                <w:sz w:val="16"/>
              </w:rPr>
              <w:t>Tri avant exportation; retrait des fruits pourris, moisis ou fortement endommagés. Nouveau tri visuel à la réception.</w:t>
            </w:r>
          </w:p>
        </w:tc>
        <w:tc>
          <w:tcPr>
            <w:tcW w:type="dxa" w:w="2045"/>
          </w:tcPr>
          <w:p>
            <w:r/>
            <w:r>
              <w:rPr>
                <w:b w:val="0"/>
                <w:sz w:val="16"/>
              </w:rPr>
              <w:t>À chaque arrivage : noter les anomalies et quantités rejetées.</w:t>
            </w:r>
          </w:p>
        </w:tc>
        <w:tc>
          <w:tcPr>
            <w:tcW w:type="dxa" w:w="2045"/>
          </w:tcPr>
          <w:p>
            <w:r/>
            <w:r>
              <w:rPr>
                <w:b w:val="0"/>
                <w:sz w:val="16"/>
              </w:rPr>
              <w:t>Registre de réception et registre des non-conformités.</w:t>
            </w:r>
          </w:p>
        </w:tc>
      </w:tr>
      <w:tr>
        <w:tc>
          <w:tcPr>
            <w:tcW w:type="dxa" w:w="2045"/>
          </w:tcPr>
          <w:p>
            <w:r/>
            <w:r>
              <w:rPr>
                <w:b w:val="0"/>
                <w:sz w:val="16"/>
              </w:rPr>
              <w:t>Chimique</w:t>
            </w:r>
          </w:p>
        </w:tc>
        <w:tc>
          <w:tcPr>
            <w:tcW w:type="dxa" w:w="2045"/>
          </w:tcPr>
          <w:p>
            <w:r/>
            <w:r>
              <w:rPr>
                <w:b w:val="0"/>
                <w:sz w:val="16"/>
              </w:rPr>
              <w:t>Résidus de pesticides ou traitements agricoles.</w:t>
            </w:r>
          </w:p>
        </w:tc>
        <w:tc>
          <w:tcPr>
            <w:tcW w:type="dxa" w:w="2045"/>
          </w:tcPr>
          <w:p>
            <w:r/>
            <w:r>
              <w:rPr>
                <w:b w:val="0"/>
                <w:sz w:val="16"/>
              </w:rPr>
              <w:t>Selon la déclaration du fournisseur/producteur, aucun pesticide n'est utilisé. Tout changement doit être communiqué à Atlantique Export.</w:t>
            </w:r>
          </w:p>
        </w:tc>
        <w:tc>
          <w:tcPr>
            <w:tcW w:type="dxa" w:w="2045"/>
          </w:tcPr>
          <w:p>
            <w:r/>
            <w:r>
              <w:rPr>
                <w:b w:val="0"/>
                <w:sz w:val="16"/>
              </w:rPr>
              <w:t>Revue de l'attestation au moins annuellement et lors de tout changement de pratique. Si un traitement est déclaré ou si un doute apparaît, obtenir les renseignements et déterminer si une analyse ou autre preuve est nécessaire avant distribution.</w:t>
            </w:r>
          </w:p>
        </w:tc>
        <w:tc>
          <w:tcPr>
            <w:tcW w:type="dxa" w:w="2045"/>
          </w:tcPr>
          <w:p>
            <w:r/>
            <w:r>
              <w:rPr>
                <w:b w:val="0"/>
                <w:sz w:val="16"/>
              </w:rPr>
              <w:t>Attestation KMC; documents fournisseur; résultats d'analyse si obtenus.</w:t>
            </w:r>
          </w:p>
        </w:tc>
      </w:tr>
      <w:tr>
        <w:tc>
          <w:tcPr>
            <w:tcW w:type="dxa" w:w="2045"/>
          </w:tcPr>
          <w:p>
            <w:r/>
            <w:r>
              <w:rPr>
                <w:b w:val="0"/>
                <w:sz w:val="16"/>
              </w:rPr>
              <w:t>Chimique</w:t>
            </w:r>
          </w:p>
        </w:tc>
        <w:tc>
          <w:tcPr>
            <w:tcW w:type="dxa" w:w="2045"/>
          </w:tcPr>
          <w:p>
            <w:r/>
            <w:r>
              <w:rPr>
                <w:b w:val="0"/>
                <w:sz w:val="16"/>
              </w:rPr>
              <w:t>Contamination par produits chimiques pendant la manutention ou le transport.</w:t>
            </w:r>
          </w:p>
        </w:tc>
        <w:tc>
          <w:tcPr>
            <w:tcW w:type="dxa" w:w="2045"/>
          </w:tcPr>
          <w:p>
            <w:r/>
            <w:r>
              <w:rPr>
                <w:b w:val="0"/>
                <w:sz w:val="16"/>
              </w:rPr>
              <w:t>Cartons propres; séparation des produits chimiques; véhicule propre et sans source évidente de contamination.</w:t>
            </w:r>
          </w:p>
        </w:tc>
        <w:tc>
          <w:tcPr>
            <w:tcW w:type="dxa" w:w="2045"/>
          </w:tcPr>
          <w:p>
            <w:r/>
            <w:r>
              <w:rPr>
                <w:b w:val="0"/>
                <w:sz w:val="16"/>
              </w:rPr>
              <w:t>Inspection visuelle à la réception et avant chargement/livraison.</w:t>
            </w:r>
          </w:p>
        </w:tc>
        <w:tc>
          <w:tcPr>
            <w:tcW w:type="dxa" w:w="2045"/>
          </w:tcPr>
          <w:p>
            <w:r/>
            <w:r>
              <w:rPr>
                <w:b w:val="0"/>
                <w:sz w:val="16"/>
              </w:rPr>
              <w:t>Registre de réception; liste de vérification livraison.</w:t>
            </w:r>
          </w:p>
        </w:tc>
      </w:tr>
      <w:tr>
        <w:tc>
          <w:tcPr>
            <w:tcW w:type="dxa" w:w="2045"/>
          </w:tcPr>
          <w:p>
            <w:r/>
            <w:r>
              <w:rPr>
                <w:b w:val="0"/>
                <w:sz w:val="16"/>
              </w:rPr>
              <w:t>Physique</w:t>
            </w:r>
          </w:p>
        </w:tc>
        <w:tc>
          <w:tcPr>
            <w:tcW w:type="dxa" w:w="2045"/>
          </w:tcPr>
          <w:p>
            <w:r/>
            <w:r>
              <w:rPr>
                <w:b w:val="0"/>
                <w:sz w:val="16"/>
              </w:rPr>
              <w:t>Terre, débris végétaux, morceaux de bois/carton ou autres matières étrangères.</w:t>
            </w:r>
          </w:p>
        </w:tc>
        <w:tc>
          <w:tcPr>
            <w:tcW w:type="dxa" w:w="2045"/>
          </w:tcPr>
          <w:p>
            <w:r/>
            <w:r>
              <w:rPr>
                <w:b w:val="0"/>
                <w:sz w:val="16"/>
              </w:rPr>
              <w:t>Tri et conditionnement en cartons propres; inspection visuelle avant exportation et à la réception.</w:t>
            </w:r>
          </w:p>
        </w:tc>
        <w:tc>
          <w:tcPr>
            <w:tcW w:type="dxa" w:w="2045"/>
          </w:tcPr>
          <w:p>
            <w:r/>
            <w:r>
              <w:rPr>
                <w:b w:val="0"/>
                <w:sz w:val="16"/>
              </w:rPr>
              <w:t>À chaque arrivage : inspection visuelle et retrait des unités affectées.</w:t>
            </w:r>
          </w:p>
        </w:tc>
        <w:tc>
          <w:tcPr>
            <w:tcW w:type="dxa" w:w="2045"/>
          </w:tcPr>
          <w:p>
            <w:r/>
            <w:r>
              <w:rPr>
                <w:b w:val="0"/>
                <w:sz w:val="16"/>
              </w:rPr>
              <w:t>Registre de réception/non-conformités.</w:t>
            </w:r>
          </w:p>
        </w:tc>
      </w:tr>
    </w:tbl>
    <w:p>
      <w:pPr>
        <w:pStyle w:val="Heading1"/>
      </w:pPr>
      <w:r>
        <w:t>16. Analyse des dangers - Madd frais entier</w:t>
      </w:r>
    </w:p>
    <w:p>
      <w:r>
        <w:t>Le madd est récolté manuellement dans la région de Ziguinchor, puis trié et mis en cartons sans lavage par le fournisseur. Les contrôles ci-dessous doivent être confirmés séparément par KMC Groupe Co et Bayakh Fruits Company au moyen de leurs attestations signées.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
              <w:rPr>
                <w:b/>
                <w:sz w:val="16"/>
              </w:rPr>
              <w:t>Type</w:t>
            </w:r>
          </w:p>
        </w:tc>
        <w:tc>
          <w:tcPr>
            <w:tcW w:type="dxa" w:w="2045"/>
            <w:shd w:fill="D9EAF7"/>
          </w:tcPr>
          <w:p>
            <w:r/>
            <w:r>
              <w:rPr>
                <w:b/>
                <w:sz w:val="16"/>
              </w:rPr>
              <w:t>Danger raisonnablement prévisible</w:t>
            </w:r>
          </w:p>
        </w:tc>
        <w:tc>
          <w:tcPr>
            <w:tcW w:type="dxa" w:w="2045"/>
            <w:shd w:fill="D9EAF7"/>
          </w:tcPr>
          <w:p>
            <w:r/>
            <w:r>
              <w:rPr>
                <w:b/>
                <w:sz w:val="16"/>
              </w:rPr>
              <w:t>Mesures de contrôle</w:t>
            </w:r>
          </w:p>
        </w:tc>
        <w:tc>
          <w:tcPr>
            <w:tcW w:type="dxa" w:w="2045"/>
            <w:shd w:fill="D9EAF7"/>
          </w:tcPr>
          <w:p>
            <w:r/>
            <w:r>
              <w:rPr>
                <w:b/>
                <w:sz w:val="16"/>
              </w:rPr>
              <w:t>Vérification Atlantique Export</w:t>
            </w:r>
          </w:p>
        </w:tc>
        <w:tc>
          <w:tcPr>
            <w:tcW w:type="dxa" w:w="2045"/>
            <w:shd w:fill="D9EAF7"/>
          </w:tcPr>
          <w:p>
            <w:r/>
            <w:r>
              <w:rPr>
                <w:b/>
                <w:sz w:val="16"/>
              </w:rPr>
              <w:t>Preuves / registres</w:t>
            </w:r>
          </w:p>
        </w:tc>
      </w:tr>
      <w:tr>
        <w:tc>
          <w:tcPr>
            <w:tcW w:type="dxa" w:w="2045"/>
          </w:tcPr>
          <w:p>
            <w:r/>
            <w:r>
              <w:rPr>
                <w:b w:val="0"/>
                <w:sz w:val="16"/>
              </w:rPr>
              <w:t>Biologique</w:t>
            </w:r>
          </w:p>
        </w:tc>
        <w:tc>
          <w:tcPr>
            <w:tcW w:type="dxa" w:w="2045"/>
          </w:tcPr>
          <w:p>
            <w:r/>
            <w:r>
              <w:rPr>
                <w:b w:val="0"/>
                <w:sz w:val="16"/>
              </w:rPr>
              <w:t>Contamination par microorganismes pathogènes lors de la récolte, du tri ou de la manutention.</w:t>
            </w:r>
          </w:p>
        </w:tc>
        <w:tc>
          <w:tcPr>
            <w:tcW w:type="dxa" w:w="2045"/>
          </w:tcPr>
          <w:p>
            <w:r/>
            <w:r>
              <w:rPr>
                <w:b w:val="0"/>
                <w:sz w:val="16"/>
              </w:rPr>
              <w:t>Récolte manuelle; règles simples d'hygiène; matériel/cartons propres; protection contre sources de contamination; tri avant expédition.</w:t>
            </w:r>
          </w:p>
        </w:tc>
        <w:tc>
          <w:tcPr>
            <w:tcW w:type="dxa" w:w="2045"/>
          </w:tcPr>
          <w:p>
            <w:r/>
            <w:r>
              <w:rPr>
                <w:b w:val="0"/>
                <w:sz w:val="16"/>
              </w:rPr>
              <w:t>À chaque arrivage : inspection visuelle et examen de la documentation. Revue annuelle des attestations des deux fournisseurs.</w:t>
            </w:r>
          </w:p>
        </w:tc>
        <w:tc>
          <w:tcPr>
            <w:tcW w:type="dxa" w:w="2045"/>
          </w:tcPr>
          <w:p>
            <w:r/>
            <w:r>
              <w:rPr>
                <w:b w:val="0"/>
                <w:sz w:val="16"/>
              </w:rPr>
              <w:t>Attestations KMC et Bayakh signées; registre de réception.</w:t>
            </w:r>
          </w:p>
        </w:tc>
      </w:tr>
      <w:tr>
        <w:tc>
          <w:tcPr>
            <w:tcW w:type="dxa" w:w="2045"/>
          </w:tcPr>
          <w:p>
            <w:r/>
            <w:r>
              <w:rPr>
                <w:b w:val="0"/>
                <w:sz w:val="16"/>
              </w:rPr>
              <w:t>Biologique</w:t>
            </w:r>
          </w:p>
        </w:tc>
        <w:tc>
          <w:tcPr>
            <w:tcW w:type="dxa" w:w="2045"/>
          </w:tcPr>
          <w:p>
            <w:r/>
            <w:r>
              <w:rPr>
                <w:b w:val="0"/>
                <w:sz w:val="16"/>
              </w:rPr>
              <w:t>Pourriture, moisissure ou contamination favorisée par des fruits ouverts/cassés.</w:t>
            </w:r>
          </w:p>
        </w:tc>
        <w:tc>
          <w:tcPr>
            <w:tcW w:type="dxa" w:w="2045"/>
          </w:tcPr>
          <w:p>
            <w:r/>
            <w:r>
              <w:rPr>
                <w:b w:val="0"/>
                <w:sz w:val="16"/>
              </w:rPr>
              <w:t>Avant exportation, retrait des madd pourris, moisis, ouverts/cassés de façon importante ou visiblement contaminés. À la réception, Atlantique Export effectue un second tri.</w:t>
            </w:r>
          </w:p>
        </w:tc>
        <w:tc>
          <w:tcPr>
            <w:tcW w:type="dxa" w:w="2045"/>
          </w:tcPr>
          <w:p>
            <w:r/>
            <w:r>
              <w:rPr>
                <w:b w:val="0"/>
                <w:sz w:val="16"/>
              </w:rPr>
              <w:t>À chaque arrivage : noter quantité et motif des rejets.</w:t>
            </w:r>
          </w:p>
        </w:tc>
        <w:tc>
          <w:tcPr>
            <w:tcW w:type="dxa" w:w="2045"/>
          </w:tcPr>
          <w:p>
            <w:r/>
            <w:r>
              <w:rPr>
                <w:b w:val="0"/>
                <w:sz w:val="16"/>
              </w:rPr>
              <w:t>Registre de réception et non-conformités.</w:t>
            </w:r>
          </w:p>
        </w:tc>
      </w:tr>
      <w:tr>
        <w:tc>
          <w:tcPr>
            <w:tcW w:type="dxa" w:w="2045"/>
          </w:tcPr>
          <w:p>
            <w:r/>
            <w:r>
              <w:rPr>
                <w:b w:val="0"/>
                <w:sz w:val="16"/>
              </w:rPr>
              <w:t>Chimique</w:t>
            </w:r>
          </w:p>
        </w:tc>
        <w:tc>
          <w:tcPr>
            <w:tcW w:type="dxa" w:w="2045"/>
          </w:tcPr>
          <w:p>
            <w:r/>
            <w:r>
              <w:rPr>
                <w:b w:val="0"/>
                <w:sz w:val="16"/>
              </w:rPr>
              <w:t>Résidus de pesticides.</w:t>
            </w:r>
          </w:p>
        </w:tc>
        <w:tc>
          <w:tcPr>
            <w:tcW w:type="dxa" w:w="2045"/>
          </w:tcPr>
          <w:p>
            <w:r/>
            <w:r>
              <w:rPr>
                <w:b w:val="0"/>
                <w:sz w:val="16"/>
              </w:rPr>
              <w:t>Selon les pratiques déclarées, aucun pesticide n'est utilisé. Tout changement doit être communiqué.</w:t>
            </w:r>
          </w:p>
        </w:tc>
        <w:tc>
          <w:tcPr>
            <w:tcW w:type="dxa" w:w="2045"/>
          </w:tcPr>
          <w:p>
            <w:r/>
            <w:r>
              <w:rPr>
                <w:b w:val="0"/>
                <w:sz w:val="16"/>
              </w:rPr>
              <w:t>Revue annuelle et lors de tout changement. Si pesticide/traitement déclaré ou doute : obtenir preuves et déterminer besoin d'analyse avant distribution.</w:t>
            </w:r>
          </w:p>
        </w:tc>
        <w:tc>
          <w:tcPr>
            <w:tcW w:type="dxa" w:w="2045"/>
          </w:tcPr>
          <w:p>
            <w:r/>
            <w:r>
              <w:rPr>
                <w:b w:val="0"/>
                <w:sz w:val="16"/>
              </w:rPr>
              <w:t>Attestations fournisseurs; documents/analyses si applicables.</w:t>
            </w:r>
          </w:p>
        </w:tc>
      </w:tr>
      <w:tr>
        <w:tc>
          <w:tcPr>
            <w:tcW w:type="dxa" w:w="2045"/>
          </w:tcPr>
          <w:p>
            <w:r/>
            <w:r>
              <w:rPr>
                <w:b w:val="0"/>
                <w:sz w:val="16"/>
              </w:rPr>
              <w:t>Chimique</w:t>
            </w:r>
          </w:p>
        </w:tc>
        <w:tc>
          <w:tcPr>
            <w:tcW w:type="dxa" w:w="2045"/>
          </w:tcPr>
          <w:p>
            <w:r/>
            <w:r>
              <w:rPr>
                <w:b w:val="0"/>
                <w:sz w:val="16"/>
              </w:rPr>
              <w:t>Contamination par produits chimiques durant manutention/transport.</w:t>
            </w:r>
          </w:p>
        </w:tc>
        <w:tc>
          <w:tcPr>
            <w:tcW w:type="dxa" w:w="2045"/>
          </w:tcPr>
          <w:p>
            <w:r/>
            <w:r>
              <w:rPr>
                <w:b w:val="0"/>
                <w:sz w:val="16"/>
              </w:rPr>
              <w:t>Cartons propres; protection contre produits chimiques et contaminants; véhicule propre.</w:t>
            </w:r>
          </w:p>
        </w:tc>
        <w:tc>
          <w:tcPr>
            <w:tcW w:type="dxa" w:w="2045"/>
          </w:tcPr>
          <w:p>
            <w:r/>
            <w:r>
              <w:rPr>
                <w:b w:val="0"/>
                <w:sz w:val="16"/>
              </w:rPr>
              <w:t>Inspection visuelle à la réception et avant livraison.</w:t>
            </w:r>
          </w:p>
        </w:tc>
        <w:tc>
          <w:tcPr>
            <w:tcW w:type="dxa" w:w="2045"/>
          </w:tcPr>
          <w:p>
            <w:r/>
            <w:r>
              <w:rPr>
                <w:b w:val="0"/>
                <w:sz w:val="16"/>
              </w:rPr>
              <w:t>Registre réception; vérification livraison.</w:t>
            </w:r>
          </w:p>
        </w:tc>
      </w:tr>
      <w:tr>
        <w:tc>
          <w:tcPr>
            <w:tcW w:type="dxa" w:w="2045"/>
          </w:tcPr>
          <w:p>
            <w:r/>
            <w:r>
              <w:rPr>
                <w:b w:val="0"/>
                <w:sz w:val="16"/>
              </w:rPr>
              <w:t>Physique</w:t>
            </w:r>
          </w:p>
        </w:tc>
        <w:tc>
          <w:tcPr>
            <w:tcW w:type="dxa" w:w="2045"/>
          </w:tcPr>
          <w:p>
            <w:r/>
            <w:r>
              <w:rPr>
                <w:b w:val="0"/>
                <w:sz w:val="16"/>
              </w:rPr>
              <w:t>Terre, débris, fragments de carton/bois ou autres corps étrangers.</w:t>
            </w:r>
          </w:p>
        </w:tc>
        <w:tc>
          <w:tcPr>
            <w:tcW w:type="dxa" w:w="2045"/>
          </w:tcPr>
          <w:p>
            <w:r/>
            <w:r>
              <w:rPr>
                <w:b w:val="0"/>
                <w:sz w:val="16"/>
              </w:rPr>
              <w:t>Tri visuel avant mise en cartons et inspection à la réception.</w:t>
            </w:r>
          </w:p>
        </w:tc>
        <w:tc>
          <w:tcPr>
            <w:tcW w:type="dxa" w:w="2045"/>
          </w:tcPr>
          <w:p>
            <w:r/>
            <w:r>
              <w:rPr>
                <w:b w:val="0"/>
                <w:sz w:val="16"/>
              </w:rPr>
              <w:t>À chaque arrivage : retirer les produits affectés et documenter les anomalies importantes.</w:t>
            </w:r>
          </w:p>
        </w:tc>
        <w:tc>
          <w:tcPr>
            <w:tcW w:type="dxa" w:w="2045"/>
          </w:tcPr>
          <w:p>
            <w:r/>
            <w:r>
              <w:rPr>
                <w:b w:val="0"/>
                <w:sz w:val="16"/>
              </w:rPr>
              <w:t>Registre de réception/non-conformités.</w:t>
            </w:r>
          </w:p>
        </w:tc>
      </w:tr>
    </w:tbl>
    <w:p>
      <w:pPr>
        <w:pStyle w:val="Heading1"/>
      </w:pPr>
      <w:r>
        <w:t>17. Programme de vérification du PCP</w:t>
      </w:r>
    </w:p>
    <w:p>
      <w:r>
        <w:t>La vérification sert à confirmer que les procédures du PCP sont réellement appliquées et qu'elles demeurent adaptées aux produits et fournisseurs. Lorsque possible, la vérification est effectuée par un partenaire autorisé différent de la personne ayant réalisé le contrôle initial; pour une petite entreprise, si cela n'est pas possible, le responsable documente une revue distincte du dossier.</w:t>
      </w:r>
    </w:p>
    <w:p>
      <w:r>
        <w:t>Pour vérifier l'efficacité des contrôles du fournisseur, Atlantique Export utilise une approche fondée sur le risque et l'historique : examen des attestations et documents, inspection de chaque arrivage, suivi des non-conformités et, lorsque pertinent, certificat d'analyse du fournisseur ou échantillonnage/analyse périodique. La fréquence est augmentée en cas de nouveau fournisseur, changement de pratique, incident, plainte ou résultat insatisfaisant.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
              <w:rPr>
                <w:b/>
                <w:sz w:val="16"/>
              </w:rPr>
              <w:t>Élément vérifié</w:t>
            </w:r>
          </w:p>
        </w:tc>
        <w:tc>
          <w:tcPr>
            <w:tcW w:type="dxa" w:w="2045"/>
            <w:shd w:fill="D9EAF7"/>
          </w:tcPr>
          <w:p>
            <w:r/>
            <w:r>
              <w:rPr>
                <w:b/>
                <w:sz w:val="16"/>
              </w:rPr>
              <w:t>Méthode / responsable</w:t>
            </w:r>
          </w:p>
        </w:tc>
        <w:tc>
          <w:tcPr>
            <w:tcW w:type="dxa" w:w="2045"/>
            <w:shd w:fill="D9EAF7"/>
          </w:tcPr>
          <w:p>
            <w:r/>
            <w:r>
              <w:rPr>
                <w:b/>
                <w:sz w:val="16"/>
              </w:rPr>
              <w:t>Fréquence</w:t>
            </w:r>
          </w:p>
        </w:tc>
        <w:tc>
          <w:tcPr>
            <w:tcW w:type="dxa" w:w="2045"/>
            <w:shd w:fill="D9EAF7"/>
          </w:tcPr>
          <w:p>
            <w:r/>
            <w:r>
              <w:rPr>
                <w:b/>
                <w:sz w:val="16"/>
              </w:rPr>
              <w:t>Justification</w:t>
            </w:r>
          </w:p>
        </w:tc>
        <w:tc>
          <w:tcPr>
            <w:tcW w:type="dxa" w:w="2045"/>
            <w:shd w:fill="D9EAF7"/>
          </w:tcPr>
          <w:p>
            <w:r/>
            <w:r>
              <w:rPr>
                <w:b/>
                <w:sz w:val="16"/>
              </w:rPr>
              <w:t>Registre</w:t>
            </w:r>
          </w:p>
        </w:tc>
      </w:tr>
      <w:tr>
        <w:tc>
          <w:tcPr>
            <w:tcW w:type="dxa" w:w="2045"/>
          </w:tcPr>
          <w:p>
            <w:r/>
            <w:r>
              <w:rPr>
                <w:b w:val="0"/>
                <w:sz w:val="16"/>
              </w:rPr>
              <w:t>Documents et réception</w:t>
            </w:r>
          </w:p>
        </w:tc>
        <w:tc>
          <w:tcPr>
            <w:tcW w:type="dxa" w:w="2045"/>
          </w:tcPr>
          <w:p>
            <w:r/>
            <w:r>
              <w:rPr>
                <w:b w:val="0"/>
                <w:sz w:val="16"/>
              </w:rPr>
              <w:t>Comparer facture/AWB/certificat applicable; vérifier que le registre de réception est rempli et que les anomalies sont documentées. Responsable : Mouhamadou Sady ou partenaire autorisé.</w:t>
            </w:r>
          </w:p>
        </w:tc>
        <w:tc>
          <w:tcPr>
            <w:tcW w:type="dxa" w:w="2045"/>
          </w:tcPr>
          <w:p>
            <w:r/>
            <w:r>
              <w:rPr>
                <w:b w:val="0"/>
                <w:sz w:val="16"/>
              </w:rPr>
              <w:t>Chaque arrivage</w:t>
            </w:r>
          </w:p>
        </w:tc>
        <w:tc>
          <w:tcPr>
            <w:tcW w:type="dxa" w:w="2045"/>
          </w:tcPr>
          <w:p>
            <w:r/>
            <w:r>
              <w:rPr>
                <w:b w:val="0"/>
                <w:sz w:val="16"/>
              </w:rPr>
              <w:t>Chaque expédition constitue un nouveau lot et peut présenter des conditions différentes.</w:t>
            </w:r>
          </w:p>
        </w:tc>
        <w:tc>
          <w:tcPr>
            <w:tcW w:type="dxa" w:w="2045"/>
          </w:tcPr>
          <w:p>
            <w:r/>
            <w:r>
              <w:rPr>
                <w:b w:val="0"/>
                <w:sz w:val="16"/>
              </w:rPr>
              <w:t>Registre réception + dossier importation</w:t>
            </w:r>
          </w:p>
        </w:tc>
      </w:tr>
      <w:tr>
        <w:tc>
          <w:tcPr>
            <w:tcW w:type="dxa" w:w="2045"/>
          </w:tcPr>
          <w:p>
            <w:r/>
            <w:r>
              <w:rPr>
                <w:b w:val="0"/>
                <w:sz w:val="16"/>
              </w:rPr>
              <w:t>Contrôles fournisseur</w:t>
            </w:r>
          </w:p>
        </w:tc>
        <w:tc>
          <w:tcPr>
            <w:tcW w:type="dxa" w:w="2045"/>
          </w:tcPr>
          <w:p>
            <w:r/>
            <w:r>
              <w:rPr>
                <w:b w:val="0"/>
                <w:sz w:val="16"/>
              </w:rPr>
              <w:t>Vérifier que l'attestation fournisseur est présente, signée et toujours représentative des pratiques.</w:t>
            </w:r>
          </w:p>
        </w:tc>
        <w:tc>
          <w:tcPr>
            <w:tcW w:type="dxa" w:w="2045"/>
          </w:tcPr>
          <w:p>
            <w:r/>
            <w:r>
              <w:rPr>
                <w:b w:val="0"/>
                <w:sz w:val="16"/>
              </w:rPr>
              <w:t>Annuellement et à tout changement de fournisseur/pratique</w:t>
            </w:r>
          </w:p>
        </w:tc>
        <w:tc>
          <w:tcPr>
            <w:tcW w:type="dxa" w:w="2045"/>
          </w:tcPr>
          <w:p>
            <w:r/>
            <w:r>
              <w:rPr>
                <w:b w:val="0"/>
                <w:sz w:val="16"/>
              </w:rPr>
              <w:t>Les pratiques agricoles, de récolte ou de tri peuvent changer.</w:t>
            </w:r>
          </w:p>
        </w:tc>
        <w:tc>
          <w:tcPr>
            <w:tcW w:type="dxa" w:w="2045"/>
          </w:tcPr>
          <w:p>
            <w:r/>
            <w:r>
              <w:rPr>
                <w:b w:val="0"/>
                <w:sz w:val="16"/>
              </w:rPr>
              <w:t>Dossier fournisseur / attestation</w:t>
            </w:r>
          </w:p>
        </w:tc>
      </w:tr>
      <w:tr>
        <w:tc>
          <w:tcPr>
            <w:tcW w:type="dxa" w:w="2045"/>
          </w:tcPr>
          <w:p>
            <w:r/>
            <w:r>
              <w:rPr>
                <w:b w:val="0"/>
                <w:sz w:val="16"/>
              </w:rPr>
              <w:t>Historique des non-conformités</w:t>
            </w:r>
          </w:p>
        </w:tc>
        <w:tc>
          <w:tcPr>
            <w:tcW w:type="dxa" w:w="2045"/>
          </w:tcPr>
          <w:p>
            <w:r/>
            <w:r>
              <w:rPr>
                <w:b w:val="0"/>
                <w:sz w:val="16"/>
              </w:rPr>
              <w:t>Examiner rejets, plaintes, détérioration et problèmes récurrents par fournisseur.</w:t>
            </w:r>
          </w:p>
        </w:tc>
        <w:tc>
          <w:tcPr>
            <w:tcW w:type="dxa" w:w="2045"/>
          </w:tcPr>
          <w:p>
            <w:r/>
            <w:r>
              <w:rPr>
                <w:b w:val="0"/>
                <w:sz w:val="16"/>
              </w:rPr>
              <w:t>Après chaque incident important et revue annuelle</w:t>
            </w:r>
          </w:p>
        </w:tc>
        <w:tc>
          <w:tcPr>
            <w:tcW w:type="dxa" w:w="2045"/>
          </w:tcPr>
          <w:p>
            <w:r/>
            <w:r>
              <w:rPr>
                <w:b w:val="0"/>
                <w:sz w:val="16"/>
              </w:rPr>
              <w:t>Permet d'augmenter les contrôles si l'historique se dégrade.</w:t>
            </w:r>
          </w:p>
        </w:tc>
        <w:tc>
          <w:tcPr>
            <w:tcW w:type="dxa" w:w="2045"/>
          </w:tcPr>
          <w:p>
            <w:r/>
            <w:r>
              <w:rPr>
                <w:b w:val="0"/>
                <w:sz w:val="16"/>
              </w:rPr>
              <w:t>Registre non-conformités/plaintes</w:t>
            </w:r>
          </w:p>
        </w:tc>
      </w:tr>
      <w:tr>
        <w:tc>
          <w:tcPr>
            <w:tcW w:type="dxa" w:w="2045"/>
          </w:tcPr>
          <w:p>
            <w:r/>
            <w:r>
              <w:rPr>
                <w:b w:val="0"/>
                <w:sz w:val="16"/>
              </w:rPr>
              <w:t>Traçabilité</w:t>
            </w:r>
          </w:p>
        </w:tc>
        <w:tc>
          <w:tcPr>
            <w:tcW w:type="dxa" w:w="2045"/>
          </w:tcPr>
          <w:p>
            <w:r/>
            <w:r>
              <w:rPr>
                <w:b w:val="0"/>
                <w:sz w:val="16"/>
              </w:rPr>
              <w:t>Sélectionner un arrivage récent et confirmer qu'il peut être relié au fournisseur et aux clients correspondants.</w:t>
            </w:r>
          </w:p>
        </w:tc>
        <w:tc>
          <w:tcPr>
            <w:tcW w:type="dxa" w:w="2045"/>
          </w:tcPr>
          <w:p>
            <w:r/>
            <w:r>
              <w:rPr>
                <w:b w:val="0"/>
                <w:sz w:val="16"/>
              </w:rPr>
              <w:t>Au moins une fois par année</w:t>
            </w:r>
          </w:p>
        </w:tc>
        <w:tc>
          <w:tcPr>
            <w:tcW w:type="dxa" w:w="2045"/>
          </w:tcPr>
          <w:p>
            <w:r/>
            <w:r>
              <w:rPr>
                <w:b w:val="0"/>
                <w:sz w:val="16"/>
              </w:rPr>
              <w:t>Vérifie que les dossiers permettraient un retrait/rappel rapide.</w:t>
            </w:r>
          </w:p>
        </w:tc>
        <w:tc>
          <w:tcPr>
            <w:tcW w:type="dxa" w:w="2045"/>
          </w:tcPr>
          <w:p>
            <w:r/>
            <w:r>
              <w:rPr>
                <w:b w:val="0"/>
                <w:sz w:val="16"/>
              </w:rPr>
              <w:t>Registre traçabilité + fiche de test</w:t>
            </w:r>
          </w:p>
        </w:tc>
      </w:tr>
      <w:tr>
        <w:tc>
          <w:tcPr>
            <w:tcW w:type="dxa" w:w="2045"/>
          </w:tcPr>
          <w:p>
            <w:r/>
            <w:r>
              <w:rPr>
                <w:b w:val="0"/>
                <w:sz w:val="16"/>
              </w:rPr>
              <w:t>PCP complet</w:t>
            </w:r>
          </w:p>
        </w:tc>
        <w:tc>
          <w:tcPr>
            <w:tcW w:type="dxa" w:w="2045"/>
          </w:tcPr>
          <w:p>
            <w:r/>
            <w:r>
              <w:rPr>
                <w:b w:val="0"/>
                <w:sz w:val="16"/>
              </w:rPr>
              <w:t>Revoir produits, fournisseurs, transport, contrôles et formulaires; mettre à jour si nécessaire.</w:t>
            </w:r>
          </w:p>
        </w:tc>
        <w:tc>
          <w:tcPr>
            <w:tcW w:type="dxa" w:w="2045"/>
          </w:tcPr>
          <w:p>
            <w:r/>
            <w:r>
              <w:rPr>
                <w:b w:val="0"/>
                <w:sz w:val="16"/>
              </w:rPr>
              <w:t>Au moins annuellement et après changement/problème majeur</w:t>
            </w:r>
          </w:p>
        </w:tc>
        <w:tc>
          <w:tcPr>
            <w:tcW w:type="dxa" w:w="2045"/>
          </w:tcPr>
          <w:p>
            <w:r/>
            <w:r>
              <w:rPr>
                <w:b w:val="0"/>
                <w:sz w:val="16"/>
              </w:rPr>
              <w:t>Le PCP doit rester adapté à l'activité réelle.</w:t>
            </w:r>
          </w:p>
        </w:tc>
        <w:tc>
          <w:tcPr>
            <w:tcW w:type="dxa" w:w="2045"/>
          </w:tcPr>
          <w:p>
            <w:r/>
            <w:r>
              <w:rPr>
                <w:b w:val="0"/>
                <w:sz w:val="16"/>
              </w:rPr>
              <w:t>Registre de révision du PCP</w:t>
            </w:r>
          </w:p>
        </w:tc>
      </w:tr>
      <w:tr>
        <w:tc>
          <w:tcPr>
            <w:tcW w:type="dxa" w:w="2045"/>
          </w:tcPr>
          <w:p>
            <w:r/>
            <w:r>
              <w:rPr>
                <w:b w:val="0"/>
                <w:sz w:val="17"/>
              </w:rPr>
              <w:t>Efficacité des contrôles biologiques/chimiques</w:t>
            </w:r>
          </w:p>
        </w:tc>
        <w:tc>
          <w:tcPr>
            <w:tcW w:type="dxa" w:w="2045"/>
          </w:tcPr>
          <w:p>
            <w:r/>
            <w:r>
              <w:rPr>
                <w:b w:val="0"/>
                <w:sz w:val="17"/>
              </w:rPr>
              <w:t>Revoir tout certificat d’analyse disponible ou organiser un échantillonnage/analyse approprié lorsque le risque, un changement ou l’historique le justifie.</w:t>
            </w:r>
          </w:p>
        </w:tc>
        <w:tc>
          <w:tcPr>
            <w:tcW w:type="dxa" w:w="2045"/>
          </w:tcPr>
          <w:p>
            <w:r/>
            <w:r>
              <w:rPr>
                <w:b w:val="0"/>
                <w:sz w:val="17"/>
              </w:rPr>
              <w:t>Fondée sur le risque; renforcer pour nouveau fournisseur/changement/incident</w:t>
            </w:r>
          </w:p>
        </w:tc>
        <w:tc>
          <w:tcPr>
            <w:tcW w:type="dxa" w:w="2045"/>
          </w:tcPr>
          <w:p>
            <w:r/>
            <w:r>
              <w:rPr>
                <w:b w:val="0"/>
                <w:sz w:val="17"/>
              </w:rPr>
              <w:t>Vérifie que les assurances documentaires demeurent efficaces.</w:t>
            </w:r>
          </w:p>
        </w:tc>
        <w:tc>
          <w:tcPr>
            <w:tcW w:type="dxa" w:w="2045"/>
          </w:tcPr>
          <w:p>
            <w:r/>
            <w:r>
              <w:rPr>
                <w:b w:val="0"/>
                <w:sz w:val="17"/>
              </w:rPr>
              <w:t>Certificat d’analyse / résultat laboratoire / registre de vérification</w:t>
            </w:r>
          </w:p>
        </w:tc>
      </w:tr>
    </w:tbl>
    <w:p>
      <w:pPr>
        <w:pStyle w:val="Heading1"/>
      </w:pPr>
      <w:r>
        <w:t>18. Protection du consommateur, emballage et identification</w:t>
      </w:r>
    </w:p>
    <w:p>
      <w:r>
        <w:t>Atlantique Export importe actuellement des fruits frais entiers en cartons et ne les reconditionne pas. Avant chaque importation, l'entreprise vérifie les exigences canadiennes applicables au produit dans les outils réglementaires pertinents et conserve les documents d'importation. Les cartons et informations commerciales utilisés pour la vente doivent permettre d'identifier correctement le produit et ne pas présenter d'information fausse ou trompeuse.</w:t>
      </w:r>
    </w:p>
    <w:p>
      <w:pPr>
        <w:pStyle w:val="ListBullet"/>
      </w:pPr>
      <w:r>
        <w:t>Vérifier que la description du produit sur les documents correspond au produit importé.</w:t>
      </w:r>
    </w:p>
    <w:p>
      <w:pPr>
        <w:pStyle w:val="ListBullet"/>
      </w:pPr>
      <w:r>
        <w:t>Conserver l'identification du fournisseur/exportateur et du pays d'origine dans le dossier d'importation.</w:t>
      </w:r>
    </w:p>
    <w:p>
      <w:pPr>
        <w:pStyle w:val="ListBullet"/>
      </w:pPr>
      <w:r>
        <w:t>Vérifier les exigences applicables d'étiquetage, de catégorie/grade, de quantité nette et d'emballage avant tout changement de présentation ou reconditionnement.</w:t>
      </w:r>
    </w:p>
    <w:p>
      <w:pPr>
        <w:pStyle w:val="ListBullet"/>
      </w:pPr>
      <w:r>
        <w:t>Ne pas utiliser une allégation (par exemple « sans pesticide ») auprès des consommateurs uniquement sur la base du PCP sans avoir vérifié les exigences applicables à cette allégation.</w:t>
      </w:r>
    </w:p>
    <w:p>
      <w:pPr>
        <w:pStyle w:val="Heading1"/>
      </w:pPr>
      <w:r>
        <w:t>19. Dossier fournisseur - exigences minimales</w:t>
      </w:r>
    </w:p>
    <w:p>
      <w:pPr>
        <w:pStyle w:val="ListBullet"/>
      </w:pPr>
      <w:r>
        <w:t>KMC Groupe Co - Mangues : attestation fournisseur signée + documents d'expédition disponibles.</w:t>
      </w:r>
    </w:p>
    <w:p>
      <w:pPr>
        <w:pStyle w:val="ListBullet"/>
      </w:pPr>
      <w:r>
        <w:t>KMC Groupe Co - Madd : attestation fournisseur signée + documents d'expédition disponibles.</w:t>
      </w:r>
    </w:p>
    <w:p>
      <w:pPr>
        <w:pStyle w:val="ListBullet"/>
      </w:pPr>
      <w:r>
        <w:t>Bayakh Fruits Company - Madd : attestation fournisseur signée + documents d'expédition disponibles.</w:t>
      </w:r>
    </w:p>
    <w:p>
      <w:pPr>
        <w:pStyle w:val="ListBullet"/>
      </w:pPr>
      <w:r>
        <w:t>Factures commerciales, AWB et certificats phytosanitaires applicables.</w:t>
      </w:r>
    </w:p>
    <w:p>
      <w:pPr>
        <w:pStyle w:val="ListBullet"/>
      </w:pPr>
      <w:r>
        <w:t>Toute preuve additionnelle obtenue : analyse de laboratoire, preuve DPV pour les producteurs de mangues, spécification produit, audit ou autre document de salubrité.</w:t>
      </w:r>
    </w:p>
    <w:p>
      <w:r>
        <w:t>Les attestations fournisseurs sont des éléments d'assurance documentaire. Si un fournisseur ne peut pas confirmer un contrôle important, si un incident survient ou si l'historique du fournisseur devient défavorable, Atlantique Export doit renforcer la vérification (par exemple demande de documents additionnels, analyse de laboratoire ou autre évaluation appropriée).</w:t>
      </w:r>
    </w:p>
    <w:p>
      <w:r>
        <w:br w:type="page"/>
      </w:r>
    </w:p>
    <w:p>
      <w:pPr>
        <w:pStyle w:val="Heading1"/>
      </w:pPr>
      <w:r>
        <w:t>ANNEXE F - Registre des activités de vérification du PCP</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
              <w:rPr>
                <w:b/>
                <w:sz w:val="16"/>
              </w:rPr>
              <w:t>Produit</w:t>
            </w:r>
          </w:p>
        </w:tc>
        <w:tc>
          <w:tcPr>
            <w:tcW w:type="dxa" w:w="1461"/>
            <w:shd w:fill="D9EAF7"/>
          </w:tcPr>
          <w:p>
            <w:r/>
            <w:r>
              <w:rPr>
                <w:b/>
                <w:sz w:val="16"/>
              </w:rPr>
              <w:t>Date réception</w:t>
            </w:r>
          </w:p>
        </w:tc>
        <w:tc>
          <w:tcPr>
            <w:tcW w:type="dxa" w:w="1461"/>
            <w:shd w:fill="D9EAF7"/>
          </w:tcPr>
          <w:p>
            <w:r/>
            <w:r>
              <w:rPr>
                <w:b/>
                <w:sz w:val="16"/>
              </w:rPr>
              <w:t>Vérification par</w:t>
            </w:r>
          </w:p>
        </w:tc>
        <w:tc>
          <w:tcPr>
            <w:tcW w:type="dxa" w:w="1461"/>
            <w:shd w:fill="D9EAF7"/>
          </w:tcPr>
          <w:p>
            <w:r/>
            <w:r>
              <w:rPr>
                <w:b/>
                <w:sz w:val="16"/>
              </w:rPr>
              <w:t>Contrôle vérifié</w:t>
            </w:r>
          </w:p>
        </w:tc>
        <w:tc>
          <w:tcPr>
            <w:tcW w:type="dxa" w:w="1461"/>
            <w:shd w:fill="D9EAF7"/>
          </w:tcPr>
          <w:p>
            <w:r/>
            <w:r>
              <w:rPr>
                <w:b/>
                <w:sz w:val="16"/>
              </w:rPr>
              <w:t>Constat</w:t>
            </w:r>
          </w:p>
        </w:tc>
        <w:tc>
          <w:tcPr>
            <w:tcW w:type="dxa" w:w="1461"/>
            <w:shd w:fill="D9EAF7"/>
          </w:tcPr>
          <w:p>
            <w:r/>
            <w:r>
              <w:rPr>
                <w:b/>
                <w:sz w:val="16"/>
              </w:rPr>
              <w:t>Action de suivi</w:t>
            </w:r>
          </w:p>
        </w:tc>
        <w:tc>
          <w:tcPr>
            <w:tcW w:type="dxa" w:w="1461"/>
            <w:shd w:fill="D9EAF7"/>
          </w:tcPr>
          <w:p>
            <w:r/>
            <w:r>
              <w:rPr>
                <w:b/>
                <w:sz w:val="16"/>
              </w:rPr>
              <w:t>Décision finale</w:t>
            </w:r>
          </w:p>
        </w:tc>
      </w:tr>
      <w:tr>
        <w:tc>
          <w:tcPr>
            <w:tcW w:type="dxa" w:w="1461"/>
          </w:tcPr>
          <w:p>
            <w:r/>
            <w:r>
              <w:rPr>
                <w:b w:val="0"/>
                <w:sz w:val="16"/>
              </w:rPr>
            </w:r>
          </w:p>
        </w:tc>
        <w:tc>
          <w:tcPr>
            <w:tcW w:type="dxa" w:w="1461"/>
          </w:tcPr>
          <w:p>
            <w:r/>
            <w:r>
              <w:rPr>
                <w:b w:val="0"/>
                <w:sz w:val="16"/>
              </w:rPr>
            </w:r>
          </w:p>
        </w:tc>
        <w:tc>
          <w:tcPr>
            <w:tcW w:type="dxa" w:w="1461"/>
          </w:tcPr>
          <w:p>
            <w:r/>
            <w:r>
              <w:rPr>
                <w:b w:val="0"/>
                <w:sz w:val="16"/>
              </w:rPr>
            </w:r>
          </w:p>
        </w:tc>
        <w:tc>
          <w:tcPr>
            <w:tcW w:type="dxa" w:w="1461"/>
          </w:tcPr>
          <w:p>
            <w:r/>
            <w:r>
              <w:rPr>
                <w:b w:val="0"/>
                <w:sz w:val="16"/>
              </w:rPr>
            </w:r>
          </w:p>
        </w:tc>
        <w:tc>
          <w:tcPr>
            <w:tcW w:type="dxa" w:w="1461"/>
          </w:tcPr>
          <w:p>
            <w:r/>
            <w:r>
              <w:rPr>
                <w:b w:val="0"/>
                <w:sz w:val="16"/>
              </w:rPr>
            </w:r>
          </w:p>
        </w:tc>
        <w:tc>
          <w:tcPr>
            <w:tcW w:type="dxa" w:w="1461"/>
          </w:tcPr>
          <w:p>
            <w:r/>
            <w:r>
              <w:rPr>
                <w:b w:val="0"/>
                <w:sz w:val="16"/>
              </w:rPr>
            </w:r>
          </w:p>
        </w:tc>
        <w:tc>
          <w:tcPr>
            <w:tcW w:type="dxa" w:w="1461"/>
          </w:tcPr>
          <w:p>
            <w:r/>
            <w:r>
              <w:rPr>
                <w:b w:val="0"/>
                <w:sz w:val="16"/>
              </w:rPr>
            </w:r>
          </w:p>
        </w:tc>
      </w:tr>
    </w:tbl>
    <w:p>
      <w:pPr>
        <w:pStyle w:val="Heading1"/>
      </w:pPr>
      <w:r>
        <w:t>ANNEXE G - Revue annuelle du fournisseur</w:t>
      </w:r>
    </w:p>
    <w:p>
      <w:r>
        <w:t>Fournisseur : ______________________________</w:t>
      </w:r>
    </w:p>
    <w:p>
      <w:r>
        <w:t>Produit(s) : _______________________________</w:t>
      </w:r>
    </w:p>
    <w:p>
      <w:r>
        <w:t>Date de revue : ____________________________</w:t>
      </w:r>
    </w:p>
    <w:p>
      <w:r>
        <w:t>Attestation toujours valide : ☐ Oui ☐ Non</w:t>
      </w:r>
    </w:p>
    <w:p>
      <w:r>
        <w:t>Changement de récolte/tri/hygiène/pesticides/conditionnement : ☐ Non ☐ Oui, préciser : __________________</w:t>
      </w:r>
    </w:p>
    <w:p>
      <w:r>
        <w:t>Incidents ou plaintes depuis la dernière revue : ☐ Non ☐ Oui, préciser : ______________________________</w:t>
      </w:r>
    </w:p>
    <w:p>
      <w:r>
        <w:t>Documents additionnels obtenus : __________________________________________________________________</w:t>
      </w:r>
    </w:p>
    <w:p>
      <w:r>
        <w:t>Décision : ☐ Fournisseur maintenu ☐ Contrôles renforcés ☐ Fournisseur suspendu</w:t>
      </w:r>
    </w:p>
    <w:p>
      <w:r>
        <w:t>Responsable / signature : ________________________________________________________________________</w:t>
      </w:r>
    </w:p>
    <w:p>
      <w:pPr>
        <w:pStyle w:val="Heading1"/>
      </w:pPr>
      <w:r>
        <w:t>ANNEXE H - Test de traçabilité / retrait simulé</w:t>
      </w:r>
    </w:p>
    <w:p>
      <w:r>
        <w:t>Date du test : _____________________________</w:t>
      </w:r>
    </w:p>
    <w:p>
      <w:r>
        <w:t>Référence de l'arrivage choisi : ____________</w:t>
      </w:r>
    </w:p>
    <w:p>
      <w:r>
        <w:t>Fournisseur retrouvé : ☐ Oui ☐ Non</w:t>
      </w:r>
    </w:p>
    <w:p>
      <w:r>
        <w:t>Facture/AWB/certificat retrouvés : ☐ Oui ☐ Non</w:t>
      </w:r>
    </w:p>
    <w:p>
      <w:r>
        <w:t>Quantité reçue identifiée : ☐ Oui ☐ Non</w:t>
      </w:r>
    </w:p>
    <w:p>
      <w:r>
        <w:t>Clients/quantités livrées retrouvés : ☐ Oui ☐ Non</w:t>
      </w:r>
    </w:p>
    <w:p>
      <w:r>
        <w:t>Produit restant identifié : ☐ Oui ☐ Non ☐ Sans objet</w:t>
      </w:r>
    </w:p>
    <w:p>
      <w:r>
        <w:t>Écarts constatés et mesures correctives : __________________________________________________________</w:t>
      </w:r>
    </w:p>
    <w:p>
      <w:r>
        <w:t>Responsable / signature : ________________________________________________________________________</w:t>
      </w:r>
    </w:p>
    <w:p>
      <w:pPr>
        <w:pStyle w:val="Heading1"/>
      </w:pPr>
      <w:r>
        <w:t>ANNEXE I - Registre de révision du PCP</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
              <w:rPr>
                <w:b/>
                <w:sz w:val="16"/>
              </w:rPr>
              <w:t>Date</w:t>
            </w:r>
          </w:p>
        </w:tc>
        <w:tc>
          <w:tcPr>
            <w:tcW w:type="dxa" w:w="2045"/>
            <w:shd w:fill="D9EAF7"/>
          </w:tcPr>
          <w:p>
            <w:r/>
            <w:r>
              <w:rPr>
                <w:b/>
                <w:sz w:val="16"/>
              </w:rPr>
              <w:t>Motif de révision</w:t>
            </w:r>
          </w:p>
        </w:tc>
        <w:tc>
          <w:tcPr>
            <w:tcW w:type="dxa" w:w="2045"/>
            <w:shd w:fill="D9EAF7"/>
          </w:tcPr>
          <w:p>
            <w:r/>
            <w:r>
              <w:rPr>
                <w:b/>
                <w:sz w:val="16"/>
              </w:rPr>
              <w:t>Sections modifiées</w:t>
            </w:r>
          </w:p>
        </w:tc>
        <w:tc>
          <w:tcPr>
            <w:tcW w:type="dxa" w:w="2045"/>
            <w:shd w:fill="D9EAF7"/>
          </w:tcPr>
          <w:p>
            <w:r/>
            <w:r>
              <w:rPr>
                <w:b/>
                <w:sz w:val="16"/>
              </w:rPr>
              <w:t>Modifié/vérifié par</w:t>
            </w:r>
          </w:p>
        </w:tc>
        <w:tc>
          <w:tcPr>
            <w:tcW w:type="dxa" w:w="2045"/>
            <w:shd w:fill="D9EAF7"/>
          </w:tcPr>
          <w:p>
            <w:r/>
            <w:r>
              <w:rPr>
                <w:b/>
                <w:sz w:val="16"/>
              </w:rPr>
              <w:t>Version</w:t>
            </w:r>
          </w:p>
        </w:tc>
      </w:tr>
      <w:tr>
        <w:tc>
          <w:tcPr>
            <w:tcW w:type="dxa" w:w="2045"/>
          </w:tcPr>
          <w:p>
            <w:r/>
            <w:r>
              <w:rPr>
                <w:b w:val="0"/>
                <w:sz w:val="17"/>
              </w:rPr>
              <w:t>23/08/2026</w:t>
            </w:r>
          </w:p>
        </w:tc>
        <w:tc>
          <w:tcPr>
            <w:tcW w:type="dxa" w:w="2045"/>
          </w:tcPr>
          <w:p>
            <w:r/>
            <w:r>
              <w:rPr>
                <w:b w:val="0"/>
                <w:sz w:val="17"/>
              </w:rPr>
              <w:t>Mise en œuvre initiale et mise à jour après constitution du premier dossier de lot</w:t>
            </w:r>
          </w:p>
        </w:tc>
        <w:tc>
          <w:tcPr>
            <w:tcW w:type="dxa" w:w="2045"/>
          </w:tcPr>
          <w:p>
            <w:r/>
            <w:r>
              <w:rPr>
                <w:b w:val="0"/>
                <w:sz w:val="17"/>
              </w:rPr>
              <w:t>Fournisseurs, vérification, Annexe J, état de mise en œuvre</w:t>
            </w:r>
          </w:p>
        </w:tc>
        <w:tc>
          <w:tcPr>
            <w:tcW w:type="dxa" w:w="2045"/>
          </w:tcPr>
          <w:p>
            <w:r/>
            <w:r>
              <w:rPr>
                <w:b w:val="0"/>
                <w:sz w:val="17"/>
              </w:rPr>
              <w:t>Atlantique Export Inc.</w:t>
            </w:r>
          </w:p>
        </w:tc>
        <w:tc>
          <w:tcPr>
            <w:tcW w:type="dxa" w:w="2045"/>
          </w:tcPr>
          <w:p>
            <w:r/>
            <w:r>
              <w:rPr>
                <w:b w:val="0"/>
                <w:sz w:val="17"/>
              </w:rPr>
              <w:t>3.0</w:t>
            </w:r>
          </w:p>
        </w:tc>
      </w:tr>
    </w:tbl>
    <w:p>
      <w:pPr>
        <w:pStyle w:val="Heading1"/>
      </w:pPr>
      <w:r>
        <w:t>ANNEXE J - État de mise en œuvre du PCP au 23 août 2026</w:t>
      </w:r>
    </w:p>
    <w:p>
      <w:pPr>
        <w:pStyle w:val="ListBullet"/>
      </w:pPr>
      <w:r>
        <w:t>Attestation KMC Groupe Co - Mangues : signée et conservée au dossier fournisseur.</w:t>
      </w:r>
    </w:p>
    <w:p>
      <w:pPr>
        <w:pStyle w:val="ListBullet"/>
      </w:pPr>
      <w:r>
        <w:t>Attestation KMC Groupe Co - Madd : signée et conservée au dossier fournisseur.</w:t>
      </w:r>
    </w:p>
    <w:p>
      <w:pPr>
        <w:pStyle w:val="ListBullet"/>
      </w:pPr>
      <w:r>
        <w:t>Attestation Bayakh Fruits Company - Madd : signée et conservée au dossier fournisseur.</w:t>
      </w:r>
    </w:p>
    <w:p>
      <w:pPr>
        <w:pStyle w:val="ListBullet"/>
      </w:pPr>
      <w:r>
        <w:t>Premier dossier de lot documenté : AE-2026-07-MANGUE-MADD-01.</w:t>
      </w:r>
    </w:p>
    <w:p>
      <w:pPr>
        <w:pStyle w:val="ListBullet"/>
      </w:pPr>
      <w:r>
        <w:t>Le dossier du lot comprend notamment les photos, la facture commerciale, l’AWB, le certificat phytosanitaire, la référence fournisseur, la fiche de lot et le registre de réception/traçabilité.</w:t>
      </w:r>
    </w:p>
    <w:p>
      <w:pPr>
        <w:pStyle w:val="ListBullet"/>
      </w:pPr>
      <w:r>
        <w:t>Rapprochement du lot AE-2026-07-MANGUE-MADD-01 : mangues 576 kg = 564 kg vendus + 12 kg cadeaux; madd 382 kg documentés, 312 kg réellement reçus, soit 70 kg non réceptionnés; sur les 312 kg reçus, 182 kg vendus et 130 kg de pertes/rejets; solde 0 kg.</w:t>
      </w:r>
    </w:p>
    <w:p>
      <w:pPr>
        <w:pStyle w:val="ListBullet"/>
      </w:pPr>
      <w:r>
        <w:t>Les registres de mise en œuvre et documents justificatifs sont conservés pendant au moins 2 ans.</w:t>
      </w:r>
    </w:p>
    <w:p>
      <w:pPr>
        <w:pStyle w:val="ListBullet"/>
      </w:pPr>
      <w:r>
        <w:t>À maintenir : revue périodique des fournisseurs, activités de vérification, test de traçabilité/retrait simulé et révision du PCP lorsque nécessaire.</w:t>
      </w:r>
    </w:p>
    <w:p>
      <w:pPr>
        <w:pStyle w:val="ListBullet"/>
      </w:pPr>
      <w:r>
        <w:t>À renforcer selon le risque et l’historique fournisseur : obtenir des certificats d’analyse ou effectuer un échantillonnage/analyse périodique approprié pour vérifier les dangers biologiques et chimiques, notamment les résidus de pesticides.</w:t>
      </w:r>
    </w:p>
    <w:p>
      <w:pPr>
        <w:pStyle w:val="Heading2"/>
      </w:pPr>
      <w:r>
        <w:t>Dossier maître et dossiers de lots</w:t>
      </w:r>
    </w:p>
    <w:p>
      <w:r>
        <w:t>Le PCP est conservé comme document maître. Chaque arrivage possède un dossier de lot distinct contenant les preuves propres à l’expédition. Les attestations générales des fournisseurs sont conservées dans le dossier fournisseur et peuvent être référencées dans les dossiers de lots.</w:t>
      </w:r>
    </w:p>
    <w:p>
      <w:pPr>
        <w:pStyle w:val="Heading1"/>
      </w:pPr>
      <w:r>
        <w:t>ANNEXE K - Références réglementaires utilisées pour la Version 3</w:t>
      </w:r>
    </w:p>
    <w:p>
      <w:pPr>
        <w:pStyle w:val="ListBullet"/>
      </w:pPr>
      <w:r>
        <w:t>ACIA - Guide for food importers: prepare your preventive control plan (consulté le 23 août 2026).</w:t>
      </w:r>
    </w:p>
    <w:p>
      <w:pPr>
        <w:pStyle w:val="ListBullet"/>
      </w:pPr>
      <w:r>
        <w:t>ACIA - Preventive control plan template for food importers (consulté le 23 août 2026).</w:t>
      </w:r>
    </w:p>
    <w:p>
      <w:pPr>
        <w:pStyle w:val="ListBullet"/>
      </w:pPr>
      <w:r>
        <w:t>ACIA - Preventive control plan for food businesses: Verification procedures (consulté le 23 août 2026).</w:t>
      </w:r>
    </w:p>
    <w:p>
      <w:pPr>
        <w:pStyle w:val="ListBullet"/>
      </w:pPr>
      <w:r>
        <w:t>ACIA - Preventive control plan for food businesses: Record keeping (consulté le 23 août 2026).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Atlantique Export Inc. - PCP Mangues &amp; Madd - Version 3.0 - 23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Atlantique Export Inc. - PCP Mangues &amp; Madd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