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widowControl w:val="0"/>
        <w:spacing w:line="240" w:lineRule="auto"/>
        <w:ind w:left="222.71995544433594" w:firstLine="0"/>
        <w:rPr>
          <w:rFonts w:ascii="Times" w:cs="Times" w:eastAsia="Times" w:hAnsi="Times"/>
          <w:sz w:val="34"/>
          <w:szCs w:val="34"/>
        </w:rPr>
      </w:pPr>
      <w:bookmarkStart w:colFirst="0" w:colLast="0" w:name="_v9sg08umze5k" w:id="0"/>
      <w:bookmarkEnd w:id="0"/>
      <w:r w:rsidDel="00000000" w:rsidR="00000000" w:rsidRPr="00000000">
        <w:rPr>
          <w:rFonts w:ascii="Times" w:cs="Times" w:eastAsia="Times" w:hAnsi="Times"/>
          <w:sz w:val="34"/>
          <w:szCs w:val="34"/>
          <w:rtl w:val="0"/>
        </w:rPr>
        <w:t xml:space="preserve">Document 1: General Medicine Overview</w:t>
      </w:r>
    </w:p>
    <w:p w:rsidR="00000000" w:rsidDel="00000000" w:rsidP="00000000" w:rsidRDefault="00000000" w:rsidRPr="00000000" w14:paraId="00000002">
      <w:pPr>
        <w:widowControl w:val="0"/>
        <w:spacing w:after="240" w:before="24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Common Diseases and Clinical Approach</w:t>
      </w:r>
    </w:p>
    <w:p w:rsidR="00000000" w:rsidDel="00000000" w:rsidP="00000000" w:rsidRDefault="00000000" w:rsidRPr="00000000" w14:paraId="00000003">
      <w:pPr>
        <w:widowControl w:val="0"/>
        <w:spacing w:after="240" w:before="240"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Content: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Hypertension: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Definition, stages, diagnostic criteria (BP ≥140/90 mmHg).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Diabetes Mellitus: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Types I &amp; II, symptoms (polyuria, polydipsia, polyphagia), diagnostic tests (fasting glucose, HbA1c).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Asthma: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Pathophysiology, triggers, signs (wheezing, shortness of breath), PFT interpretation.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Approach: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History, physical exam, differential diagnosis, ordering appropriate lab tests.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.71995544433594" w:right="0" w:firstLine="0"/>
        <w:jc w:val="left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1651.9419860839844" w:top="1113.858642578125" w:left="1138.338394165039" w:right="1874.6551513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