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line="240" w:lineRule="auto"/>
        <w:ind w:left="222.71995544433594" w:firstLine="0"/>
        <w:rPr>
          <w:rFonts w:ascii="Times" w:cs="Times" w:eastAsia="Times" w:hAnsi="Times"/>
          <w:sz w:val="34"/>
          <w:szCs w:val="34"/>
        </w:rPr>
      </w:pPr>
      <w:bookmarkStart w:colFirst="0" w:colLast="0" w:name="_cdgrog6np8vj" w:id="0"/>
      <w:bookmarkEnd w:id="0"/>
      <w:r w:rsidDel="00000000" w:rsidR="00000000" w:rsidRPr="00000000">
        <w:rPr>
          <w:rFonts w:ascii="Times" w:cs="Times" w:eastAsia="Times" w:hAnsi="Times"/>
          <w:sz w:val="34"/>
          <w:szCs w:val="34"/>
          <w:rtl w:val="0"/>
        </w:rPr>
        <w:t xml:space="preserve">Document 2: Pharmacology Basics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Key Drug Classes for MBBS Students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Antibiotics: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Mechanisms (β-lactams inhibit cell wall synthesis), common agents (Amoxicillin, Ceftriaxone), resistance concerns.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Analgesics &amp; Antipyretics: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NSAIDs (Ibuprofen, mechanism COX inhibition), Acetaminophen (central COX inhibition), side effects.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Antihypertensives: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ACE inhibitors (Enalapril), ARBs (Losartan), Diuretics (Hydrochlorothiazide).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Insulin Therapy: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Rapid-acting vs. long-acting formulations, dosing principles.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4022216796875" w:line="240" w:lineRule="auto"/>
        <w:ind w:left="222.71995544433594" w:right="0" w:firstLine="0"/>
        <w:jc w:val="lef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3201.1419677734375" w:top="1143.858642578125" w:left="1138.338394165039" w:right="1337.438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