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right"/>
        <w:bidi w:val="1"/>
      </w:pPr>
      <w:r>
        <w:rPr>
          <w:rFonts w:ascii="Arial" w:hAnsi="Arial" w:cs="Arial" w:eastAsia="Arial"/>
          <w:b/>
          <w:color w:val="D7A72B"/>
          <w:sz w:val="22"/>
          <w:rtl w:val="1"/>
          <w:lang w:val="ar-SA"/>
        </w:rPr>
        <w:t>ZACODE ERP · حلول إدارية ومالية مترابطة</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9836"/>
      </w:tblGrid>
      <w:tr>
        <w:tc>
          <w:tcPr>
            <w:tcW w:type="dxa" w:w="10036"/>
            <w:shd w:fill="112D34"/>
            <w:tcMar>
              <w:top w:w="340" w:type="dxa"/>
              <w:start w:w="380" w:type="dxa"/>
              <w:bottom w:w="340" w:type="dxa"/>
              <w:end w:w="380" w:type="dxa"/>
            </w:tcMar>
          </w:tcPr>
          <w:p>
            <w:pPr>
              <w:spacing w:after="160"/>
              <w:jc w:val="right"/>
              <w:bidi w:val="1"/>
            </w:pPr>
            <w:r>
              <w:rPr>
                <w:rFonts w:ascii="Arial" w:hAnsi="Arial" w:cs="Arial" w:eastAsia="Arial"/>
                <w:b/>
                <w:color w:val="D7A72B"/>
                <w:sz w:val="21"/>
                <w:rtl w:val="1"/>
                <w:lang w:val="ar-SA"/>
              </w:rPr>
              <w:t>مقترح فني وتجاري مبدئي</w:t>
            </w:r>
          </w:p>
          <w:p>
            <w:pPr>
              <w:spacing w:after="80" w:line="269" w:lineRule="auto"/>
              <w:jc w:val="right"/>
              <w:bidi w:val="1"/>
            </w:pPr>
            <w:r>
              <w:rPr>
                <w:rFonts w:ascii="Arial" w:hAnsi="Arial" w:cs="Arial" w:eastAsia="Arial"/>
                <w:b/>
                <w:color w:val="FFFFFF"/>
                <w:sz w:val="54"/>
                <w:rtl w:val="1"/>
                <w:lang w:val="ar-SA"/>
              </w:rPr>
              <w:t>من فكرة الحملة</w:t>
            </w:r>
          </w:p>
          <w:p>
            <w:pPr>
              <w:spacing w:after="180"/>
              <w:jc w:val="right"/>
              <w:bidi w:val="1"/>
            </w:pPr>
            <w:r>
              <w:rPr>
                <w:rFonts w:ascii="Arial" w:hAnsi="Arial" w:cs="Arial" w:eastAsia="Arial"/>
                <w:b/>
                <w:color w:val="48C99F"/>
                <w:sz w:val="48"/>
                <w:rtl w:val="1"/>
                <w:lang w:val="ar-SA"/>
              </w:rPr>
              <w:t>إلى عرض السعر والتحصيل.</w:t>
            </w:r>
          </w:p>
          <w:p>
            <w:pPr>
              <w:spacing w:after="180"/>
              <w:jc w:val="right"/>
              <w:bidi w:val="1"/>
            </w:pPr>
            <w:r>
              <w:rPr>
                <w:rFonts w:ascii="Arial" w:hAnsi="Arial" w:cs="Arial" w:eastAsia="Arial"/>
                <w:b w:val="0"/>
                <w:color w:val="E2EFEB"/>
                <w:sz w:val="21"/>
                <w:rtl w:val="1"/>
                <w:lang w:val="ar-SA"/>
              </w:rPr>
              <w:t>تصور لتطبيق نظام زاكود ERP في شركة جرافيك آرت للدعاية والإعلان، لربط العملاء والمبيعات والمشتريات ومخزون الخامات والتكاليف.</w:t>
            </w:r>
          </w:p>
          <w:p>
            <w:pPr>
              <w:spacing w:after="0"/>
              <w:jc w:val="right"/>
              <w:bidi w:val="1"/>
            </w:pPr>
            <w:r>
              <w:rPr>
                <w:rFonts w:ascii="Arial" w:hAnsi="Arial" w:cs="Arial" w:eastAsia="Arial"/>
                <w:b/>
                <w:color w:val="FFFFFF"/>
                <w:sz w:val="21"/>
                <w:rtl w:val="1"/>
                <w:lang w:val="ar-SA"/>
              </w:rPr>
              <w:t>مقدم إلى إدارة شركة جرافيك آرت للدعاية والإعلان</w:t>
            </w:r>
          </w:p>
        </w:tc>
      </w:tr>
    </w:tbl>
    <w:p>
      <w:pPr>
        <w:spacing w:before="240" w:after="80" w:line="288" w:lineRule="auto"/>
        <w:jc w:val="right"/>
        <w:bidi w:val="1"/>
      </w:pPr>
      <w:r>
        <w:rPr>
          <w:rFonts w:ascii="Arial" w:hAnsi="Arial" w:cs="Arial" w:eastAsia="Arial"/>
          <w:b/>
          <w:color w:val="075B49"/>
          <w:sz w:val="24"/>
          <w:rtl w:val="1"/>
          <w:lang w:val="ar-SA"/>
        </w:rPr>
        <w:t>نطاق المقترح</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الإدارة المالية والتشغيلية</w:t>
            </w:r>
          </w:p>
          <w:p>
            <w:pPr>
              <w:spacing w:after="0" w:line="276" w:lineRule="auto"/>
              <w:jc w:val="right"/>
              <w:bidi w:val="1"/>
            </w:pPr>
            <w:r>
              <w:rPr>
                <w:rFonts w:ascii="Arial" w:hAnsi="Arial" w:cs="Arial" w:eastAsia="Arial"/>
                <w:b w:val="0"/>
                <w:color w:val="435761"/>
                <w:sz w:val="17"/>
                <w:rtl w:val="1"/>
                <w:lang w:val="ar-SA"/>
              </w:rPr>
              <w:t>مبيعات ومشتريات ومخزون وحسابات.</w:t>
            </w:r>
          </w:p>
        </w:tc>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الدعاية والإعلان والطباعة</w:t>
            </w:r>
          </w:p>
          <w:p>
            <w:pPr>
              <w:spacing w:after="0" w:line="276" w:lineRule="auto"/>
              <w:jc w:val="right"/>
              <w:bidi w:val="1"/>
            </w:pPr>
            <w:r>
              <w:rPr>
                <w:rFonts w:ascii="Arial" w:hAnsi="Arial" w:cs="Arial" w:eastAsia="Arial"/>
                <w:b w:val="0"/>
                <w:color w:val="435761"/>
                <w:sz w:val="17"/>
                <w:rtl w:val="1"/>
                <w:lang w:val="ar-SA"/>
              </w:rPr>
              <w:t>متابعة عروض الأسعار وخامات التشغيل.</w:t>
            </w:r>
          </w:p>
        </w:tc>
      </w:tr>
      <w:tr>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تحليل التكلفة</w:t>
            </w:r>
          </w:p>
          <w:p>
            <w:pPr>
              <w:spacing w:after="0" w:line="276" w:lineRule="auto"/>
              <w:jc w:val="right"/>
              <w:bidi w:val="1"/>
            </w:pPr>
            <w:r>
              <w:rPr>
                <w:rFonts w:ascii="Arial" w:hAnsi="Arial" w:cs="Arial" w:eastAsia="Arial"/>
                <w:b w:val="0"/>
                <w:color w:val="435761"/>
                <w:sz w:val="17"/>
                <w:rtl w:val="1"/>
                <w:lang w:val="ar-SA"/>
              </w:rPr>
              <w:t>تقارير ومراكز تكلفة وفق الوحدات المفعّلة.</w:t>
            </w:r>
          </w:p>
        </w:tc>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التوسع المرحلي</w:t>
            </w:r>
          </w:p>
          <w:p>
            <w:pPr>
              <w:spacing w:after="0" w:line="276" w:lineRule="auto"/>
              <w:jc w:val="right"/>
              <w:bidi w:val="1"/>
            </w:pPr>
            <w:r>
              <w:rPr>
                <w:rFonts w:ascii="Arial" w:hAnsi="Arial" w:cs="Arial" w:eastAsia="Arial"/>
                <w:b w:val="0"/>
                <w:color w:val="435761"/>
                <w:sz w:val="17"/>
                <w:rtl w:val="1"/>
                <w:lang w:val="ar-SA"/>
              </w:rPr>
              <w:t>بدء بالأولويات ثم إضافة الوحدات عند الحاجة.</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7"/>
          <w:rtl w:val="1"/>
          <w:lang w:val="ar-SA"/>
        </w:rPr>
        <w:t>إعداد: شركة سيستمورا للنظم والمعلومات والذكاء · المدير التنفيذي: م. سعيد شحاته · الهاتف: 01000903159</w:t>
      </w:r>
    </w:p>
    <w:p>
      <w:r>
        <w:br w:type="page"/>
      </w:r>
    </w:p>
    <w:p>
      <w:pPr>
        <w:spacing w:before="0" w:after="40" w:line="288" w:lineRule="auto"/>
        <w:jc w:val="right"/>
        <w:bidi w:val="1"/>
      </w:pPr>
      <w:r>
        <w:rPr>
          <w:rFonts w:ascii="Arial" w:hAnsi="Arial" w:cs="Arial" w:eastAsia="Arial"/>
          <w:b/>
          <w:color w:val="078466"/>
          <w:sz w:val="18"/>
          <w:rtl w:val="1"/>
          <w:lang w:val="ar-SA"/>
        </w:rPr>
        <w:t>01 · فهم طبيعة العمل</w:t>
      </w:r>
    </w:p>
    <w:p>
      <w:pPr>
        <w:spacing w:before="0" w:after="80" w:line="288" w:lineRule="auto"/>
        <w:jc w:val="right"/>
        <w:bidi w:val="1"/>
      </w:pPr>
      <w:r>
        <w:rPr>
          <w:rFonts w:ascii="Arial" w:hAnsi="Arial" w:cs="Arial" w:eastAsia="Arial"/>
          <w:b/>
          <w:color w:val="132630"/>
          <w:sz w:val="38"/>
          <w:rtl w:val="1"/>
          <w:lang w:val="ar-SA"/>
        </w:rPr>
        <w:t>إدارة دورة العمل، دون إبطاء الإبداع</w:t>
      </w:r>
    </w:p>
    <w:p>
      <w:pPr>
        <w:spacing w:before="0" w:after="120" w:line="288" w:lineRule="auto"/>
        <w:jc w:val="right"/>
        <w:bidi w:val="1"/>
      </w:pPr>
      <w:r>
        <w:rPr>
          <w:rFonts w:ascii="Arial" w:hAnsi="Arial" w:cs="Arial" w:eastAsia="Arial"/>
          <w:b w:val="0"/>
          <w:color w:val="435761"/>
          <w:sz w:val="19"/>
          <w:rtl w:val="1"/>
          <w:lang w:val="ar-SA"/>
        </w:rPr>
        <w:t>في شركة دعاية وإعلان، يتوزع العمل بين استقبال طلب العميل، إعداد العرض، توفير الخامات، متابعة التنفيذ، إصدار الفاتورة، ثم التحصيل. يقترح زاكود ربط الجوانب الإدارية والمالية لهذه الدورة مع بقاء أدوات التصميم والإنتاج الإبداعي ضمن بيئة الفريق المعتادة.</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الفكرة الأساسية: </w:t>
            </w:r>
            <w:r>
              <w:rPr>
                <w:rFonts w:ascii="Arial" w:hAnsi="Arial" w:cs="Arial" w:eastAsia="Arial"/>
                <w:b w:val="0"/>
                <w:color w:val="435761"/>
                <w:sz w:val="18"/>
                <w:rtl w:val="1"/>
                <w:lang w:val="ar-SA"/>
              </w:rPr>
              <w:t>رؤية أوضح لكل عرض وعميل ومشتريات وخامات ومستحقات، مع تقارير وصلاحيات تساعد الإدارة على المتابعة واتخاذ القرار.</w:t>
            </w:r>
          </w:p>
        </w:tc>
      </w:tr>
    </w:tbl>
    <w:p>
      <w:pPr>
        <w:spacing w:before="0" w:after="20" w:line="288" w:lineRule="auto"/>
        <w:jc w:val="right"/>
        <w:bidi w:val="1"/>
      </w:pPr>
    </w:p>
    <w:p>
      <w:pPr>
        <w:spacing w:before="80" w:after="100" w:line="288" w:lineRule="auto"/>
        <w:jc w:val="right"/>
        <w:bidi w:val="1"/>
      </w:pPr>
      <w:r>
        <w:rPr>
          <w:rFonts w:ascii="Arial" w:hAnsi="Arial" w:cs="Arial" w:eastAsia="Arial"/>
          <w:b/>
          <w:color w:val="132630"/>
          <w:sz w:val="25"/>
          <w:rtl w:val="1"/>
          <w:lang w:val="ar-SA"/>
        </w:rPr>
        <w:t>رحلة العمل المقترحة داخل المنظومة</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962"/>
        <w:gridCol w:w="1962"/>
        <w:gridCol w:w="1962"/>
        <w:gridCol w:w="1962"/>
        <w:gridCol w:w="1962"/>
      </w:tblGrid>
      <w:tr>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1. العميل والطلب</w:t>
            </w:r>
          </w:p>
          <w:p>
            <w:pPr>
              <w:spacing w:after="0" w:line="276" w:lineRule="auto"/>
              <w:jc w:val="right"/>
              <w:bidi w:val="1"/>
            </w:pPr>
            <w:r>
              <w:rPr>
                <w:rFonts w:ascii="Arial" w:hAnsi="Arial" w:cs="Arial" w:eastAsia="Arial"/>
                <w:b w:val="0"/>
                <w:color w:val="435761"/>
                <w:sz w:val="14"/>
                <w:rtl w:val="1"/>
                <w:lang w:val="ar-SA"/>
              </w:rPr>
              <w:t>تجميع بيانات العملاء وطلبات التسعير.</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2. عرض السعر</w:t>
            </w:r>
          </w:p>
          <w:p>
            <w:pPr>
              <w:spacing w:after="0" w:line="276" w:lineRule="auto"/>
              <w:jc w:val="right"/>
              <w:bidi w:val="1"/>
            </w:pPr>
            <w:r>
              <w:rPr>
                <w:rFonts w:ascii="Arial" w:hAnsi="Arial" w:cs="Arial" w:eastAsia="Arial"/>
                <w:b w:val="0"/>
                <w:color w:val="435761"/>
                <w:sz w:val="14"/>
                <w:rtl w:val="1"/>
                <w:lang w:val="ar-SA"/>
              </w:rPr>
              <w:t>إعداد البنود والكميات ومراجعة السعر.</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3. الشراء والخامات</w:t>
            </w:r>
          </w:p>
          <w:p>
            <w:pPr>
              <w:spacing w:after="0" w:line="276" w:lineRule="auto"/>
              <w:jc w:val="right"/>
              <w:bidi w:val="1"/>
            </w:pPr>
            <w:r>
              <w:rPr>
                <w:rFonts w:ascii="Arial" w:hAnsi="Arial" w:cs="Arial" w:eastAsia="Arial"/>
                <w:b w:val="0"/>
                <w:color w:val="435761"/>
                <w:sz w:val="14"/>
                <w:rtl w:val="1"/>
                <w:lang w:val="ar-SA"/>
              </w:rPr>
              <w:t>متابعة الموردين والأرصدة والحركات.</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4. التكلفة والتنفيذ</w:t>
            </w:r>
          </w:p>
          <w:p>
            <w:pPr>
              <w:spacing w:after="0" w:line="276" w:lineRule="auto"/>
              <w:jc w:val="right"/>
              <w:bidi w:val="1"/>
            </w:pPr>
            <w:r>
              <w:rPr>
                <w:rFonts w:ascii="Arial" w:hAnsi="Arial" w:cs="Arial" w:eastAsia="Arial"/>
                <w:b w:val="0"/>
                <w:color w:val="435761"/>
                <w:sz w:val="14"/>
                <w:rtl w:val="1"/>
                <w:lang w:val="ar-SA"/>
              </w:rPr>
              <w:t>تحليل المصروفات حسب التهيئة.</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5. الفاتورة والتحصيل</w:t>
            </w:r>
          </w:p>
          <w:p>
            <w:pPr>
              <w:spacing w:after="0" w:line="276" w:lineRule="auto"/>
              <w:jc w:val="right"/>
              <w:bidi w:val="1"/>
            </w:pPr>
            <w:r>
              <w:rPr>
                <w:rFonts w:ascii="Arial" w:hAnsi="Arial" w:cs="Arial" w:eastAsia="Arial"/>
                <w:b w:val="0"/>
                <w:color w:val="435761"/>
                <w:sz w:val="14"/>
                <w:rtl w:val="1"/>
                <w:lang w:val="ar-SA"/>
              </w:rPr>
              <w:t>متابعة مستند البيع والذمم والتقارير.</w:t>
            </w:r>
          </w:p>
        </w:tc>
      </w:tr>
    </w:tbl>
    <w:p>
      <w:pPr>
        <w:spacing w:before="180" w:after="80" w:line="288" w:lineRule="auto"/>
        <w:jc w:val="right"/>
        <w:bidi w:val="1"/>
      </w:pPr>
      <w:r>
        <w:rPr>
          <w:rFonts w:ascii="Arial" w:hAnsi="Arial" w:cs="Arial" w:eastAsia="Arial"/>
          <w:b/>
          <w:color w:val="132630"/>
          <w:sz w:val="25"/>
          <w:rtl w:val="1"/>
          <w:lang w:val="ar-SA"/>
        </w:rPr>
        <w:t>ما الذي تضيفه الإدارة المترابطة؟</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متابعة أسرع للعروض</w:t>
            </w:r>
          </w:p>
          <w:p>
            <w:pPr>
              <w:spacing w:after="0" w:line="276" w:lineRule="auto"/>
              <w:jc w:val="right"/>
              <w:bidi w:val="1"/>
            </w:pPr>
            <w:r>
              <w:rPr>
                <w:rFonts w:ascii="Arial" w:hAnsi="Arial" w:cs="Arial" w:eastAsia="Arial"/>
                <w:b w:val="0"/>
                <w:color w:val="435761"/>
                <w:sz w:val="17"/>
                <w:rtl w:val="1"/>
                <w:lang w:val="ar-SA"/>
              </w:rPr>
              <w:t>صورة منظمة للعروض المفتوحة والعملاء ومستندات البيع.</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تحكم أفضل في الخامات</w:t>
            </w:r>
          </w:p>
          <w:p>
            <w:pPr>
              <w:spacing w:after="0" w:line="276" w:lineRule="auto"/>
              <w:jc w:val="right"/>
              <w:bidi w:val="1"/>
            </w:pPr>
            <w:r>
              <w:rPr>
                <w:rFonts w:ascii="Arial" w:hAnsi="Arial" w:cs="Arial" w:eastAsia="Arial"/>
                <w:b w:val="0"/>
                <w:color w:val="435761"/>
                <w:sz w:val="17"/>
                <w:rtl w:val="1"/>
                <w:lang w:val="ar-SA"/>
              </w:rPr>
              <w:t>أرصدة وحركات شراء وصرف أكثر وضوحًا للأصناف التشغيلية.</w:t>
            </w:r>
          </w:p>
        </w:tc>
      </w:tr>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قراءة مالية أدق</w:t>
            </w:r>
          </w:p>
          <w:p>
            <w:pPr>
              <w:spacing w:after="0" w:line="276" w:lineRule="auto"/>
              <w:jc w:val="right"/>
              <w:bidi w:val="1"/>
            </w:pPr>
            <w:r>
              <w:rPr>
                <w:rFonts w:ascii="Arial" w:hAnsi="Arial" w:cs="Arial" w:eastAsia="Arial"/>
                <w:b w:val="0"/>
                <w:color w:val="435761"/>
                <w:sz w:val="17"/>
                <w:rtl w:val="1"/>
                <w:lang w:val="ar-SA"/>
              </w:rPr>
              <w:t>متابعة المصروفات والمستحقات والتقارير المحاسبية ذات الصلة.</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مسؤوليات وصلاحيات</w:t>
            </w:r>
          </w:p>
          <w:p>
            <w:pPr>
              <w:spacing w:after="0" w:line="276" w:lineRule="auto"/>
              <w:jc w:val="right"/>
              <w:bidi w:val="1"/>
            </w:pPr>
            <w:r>
              <w:rPr>
                <w:rFonts w:ascii="Arial" w:hAnsi="Arial" w:cs="Arial" w:eastAsia="Arial"/>
                <w:b w:val="0"/>
                <w:color w:val="435761"/>
                <w:sz w:val="17"/>
                <w:rtl w:val="1"/>
                <w:lang w:val="ar-SA"/>
              </w:rPr>
              <w:t>تنظيم الوصول وسجل مراجعة للعمليات المهمة بحسب الإعداد.</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6"/>
          <w:rtl w:val="1"/>
          <w:lang w:val="ar-SA"/>
        </w:rPr>
        <w:t>يعتمد ربط كل خطوة والوحدات المتاحة بعد تحليل إجراءات العمل الحالية في الشركة.</w:t>
      </w:r>
    </w:p>
    <w:p>
      <w:r>
        <w:br w:type="page"/>
      </w:r>
    </w:p>
    <w:p>
      <w:pPr>
        <w:spacing w:before="0" w:after="40" w:line="288" w:lineRule="auto"/>
        <w:jc w:val="right"/>
        <w:bidi w:val="1"/>
      </w:pPr>
      <w:r>
        <w:rPr>
          <w:rFonts w:ascii="Arial" w:hAnsi="Arial" w:cs="Arial" w:eastAsia="Arial"/>
          <w:b/>
          <w:color w:val="078466"/>
          <w:sz w:val="18"/>
          <w:rtl w:val="1"/>
          <w:lang w:val="ar-SA"/>
        </w:rPr>
        <w:t>02 · نظرة الإدارة اليومية</w:t>
      </w:r>
    </w:p>
    <w:p>
      <w:pPr>
        <w:spacing w:before="0" w:after="80" w:line="288" w:lineRule="auto"/>
        <w:jc w:val="right"/>
        <w:bidi w:val="1"/>
      </w:pPr>
      <w:r>
        <w:rPr>
          <w:rFonts w:ascii="Arial" w:hAnsi="Arial" w:cs="Arial" w:eastAsia="Arial"/>
          <w:b/>
          <w:color w:val="132630"/>
          <w:sz w:val="38"/>
          <w:rtl w:val="1"/>
          <w:lang w:val="ar-SA"/>
        </w:rPr>
        <w:t>مؤشرات مختصرة بدل البحث بين ملفات متعددة</w:t>
      </w:r>
    </w:p>
    <w:p>
      <w:pPr>
        <w:spacing w:before="0" w:after="120" w:line="288" w:lineRule="auto"/>
        <w:jc w:val="right"/>
        <w:bidi w:val="1"/>
      </w:pPr>
      <w:r>
        <w:rPr>
          <w:rFonts w:ascii="Arial" w:hAnsi="Arial" w:cs="Arial" w:eastAsia="Arial"/>
          <w:b w:val="0"/>
          <w:color w:val="435761"/>
          <w:sz w:val="19"/>
          <w:rtl w:val="1"/>
          <w:lang w:val="ar-SA"/>
        </w:rPr>
        <w:t>لقطة من لوحة التحكم الفعلية في زاكود، تعرض ملخصات المبيعات والحركة التشغيلية المتاحة في النظام.</w:t>
      </w:r>
    </w:p>
    <w:p>
      <w:pPr>
        <w:spacing w:after="80"/>
        <w:jc w:val="center"/>
        <w:bidi w:val="1"/>
      </w:pPr>
      <w:r>
        <w:drawing>
          <wp:inline xmlns:a="http://schemas.openxmlformats.org/drawingml/2006/main" xmlns:pic="http://schemas.openxmlformats.org/drawingml/2006/picture">
            <wp:extent cx="6173999" cy="3858749"/>
            <wp:docPr id="1" name="Picture 1"/>
            <wp:cNvGraphicFramePr>
              <a:graphicFrameLocks noChangeAspect="1"/>
            </wp:cNvGraphicFramePr>
            <a:graphic>
              <a:graphicData uri="http://schemas.openxmlformats.org/drawingml/2006/picture">
                <pic:pic>
                  <pic:nvPicPr>
                    <pic:cNvPr id="0" name="graphic-art-dashboard.png"/>
                    <pic:cNvPicPr/>
                  </pic:nvPicPr>
                  <pic:blipFill>
                    <a:blip r:embed="rId11"/>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lang w:val="ar-SA"/>
        </w:rPr>
        <w:t>تجمع لوحة التحكم مؤشرات النظام في مكان واحد، وتختلف الأرقام حسب بيانات المنشأة وحركة الاستخدام.</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توضيح: </w:t>
            </w:r>
            <w:r>
              <w:rPr>
                <w:rFonts w:ascii="Arial" w:hAnsi="Arial" w:cs="Arial" w:eastAsia="Arial"/>
                <w:b w:val="0"/>
                <w:color w:val="435761"/>
                <w:sz w:val="18"/>
                <w:rtl w:val="1"/>
                <w:lang w:val="ar-SA"/>
              </w:rPr>
              <w:t>لقطة فعلية من واجهة زاكود في بيئة معاينة فارغة؛ المؤشرات الظاهرة لا تمثل بيانات أو أرصدة جرافيك آرت.</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lang w:val="ar-SA"/>
        </w:rPr>
        <w:t>03 · العملاء والمبيعات</w:t>
      </w:r>
    </w:p>
    <w:p>
      <w:pPr>
        <w:spacing w:before="0" w:after="80" w:line="288" w:lineRule="auto"/>
        <w:jc w:val="right"/>
        <w:bidi w:val="1"/>
      </w:pPr>
      <w:r>
        <w:rPr>
          <w:rFonts w:ascii="Arial" w:hAnsi="Arial" w:cs="Arial" w:eastAsia="Arial"/>
          <w:b/>
          <w:color w:val="132630"/>
          <w:sz w:val="38"/>
          <w:rtl w:val="1"/>
          <w:lang w:val="ar-SA"/>
        </w:rPr>
        <w:t>فاتورة البيع من شاشة زاكود</w:t>
      </w:r>
    </w:p>
    <w:p>
      <w:pPr>
        <w:spacing w:before="0" w:after="120" w:line="288" w:lineRule="auto"/>
        <w:jc w:val="right"/>
        <w:bidi w:val="1"/>
      </w:pPr>
      <w:r>
        <w:rPr>
          <w:rFonts w:ascii="Arial" w:hAnsi="Arial" w:cs="Arial" w:eastAsia="Arial"/>
          <w:b w:val="0"/>
          <w:color w:val="435761"/>
          <w:sz w:val="19"/>
          <w:rtl w:val="1"/>
          <w:lang w:val="ar-SA"/>
        </w:rPr>
        <w:t>تعرض اللقطة واجهة إنشاء فاتورة المبيعات الفعلية، بما فيها بيانات العميل ونوع الفاتورة والصنف والسعر والمخزن والعملة وخيارات السداد.</w:t>
      </w:r>
    </w:p>
    <w:p>
      <w:pPr>
        <w:spacing w:after="80"/>
        <w:jc w:val="center"/>
        <w:bidi w:val="1"/>
      </w:pPr>
      <w:r>
        <w:drawing>
          <wp:inline xmlns:a="http://schemas.openxmlformats.org/drawingml/2006/main" xmlns:pic="http://schemas.openxmlformats.org/drawingml/2006/picture">
            <wp:extent cx="6173999" cy="3858749"/>
            <wp:docPr id="2" name="Picture 2"/>
            <wp:cNvGraphicFramePr>
              <a:graphicFrameLocks noChangeAspect="1"/>
            </wp:cNvGraphicFramePr>
            <a:graphic>
              <a:graphicData uri="http://schemas.openxmlformats.org/drawingml/2006/picture">
                <pic:pic>
                  <pic:nvPicPr>
                    <pic:cNvPr id="0" name="graphic-art-quote.png"/>
                    <pic:cNvPicPr/>
                  </pic:nvPicPr>
                  <pic:blipFill>
                    <a:blip r:embed="rId12"/>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lang w:val="ar-SA"/>
        </w:rPr>
        <w:t>لأعمال الوكالة: تهيئة بنود الخدمات والطباعة والتوريد، ثم متابعة الفاتورة والتحصيل وفق دورة العمل المعتمدة.</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تنبيه: </w:t>
            </w:r>
            <w:r>
              <w:rPr>
                <w:rFonts w:ascii="Arial" w:hAnsi="Arial" w:cs="Arial" w:eastAsia="Arial"/>
                <w:b w:val="0"/>
                <w:color w:val="435761"/>
                <w:sz w:val="18"/>
                <w:rtl w:val="1"/>
                <w:lang w:val="ar-SA"/>
              </w:rPr>
              <w:t>لقطة فعلية من شاشة النظام في بيئة معاينة؛ الحقول والإعدادات الظاهرة ليست بيانات أو اعتمادًا ضريبيًا خاصًا بجرافيك آرت.</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lang w:val="ar-SA"/>
        </w:rPr>
        <w:t>04 · المخزون ومراكز التكلفة</w:t>
      </w:r>
    </w:p>
    <w:p>
      <w:pPr>
        <w:spacing w:before="0" w:after="80" w:line="288" w:lineRule="auto"/>
        <w:jc w:val="right"/>
        <w:bidi w:val="1"/>
      </w:pPr>
      <w:r>
        <w:rPr>
          <w:rFonts w:ascii="Arial" w:hAnsi="Arial" w:cs="Arial" w:eastAsia="Arial"/>
          <w:b/>
          <w:color w:val="132630"/>
          <w:sz w:val="38"/>
          <w:rtl w:val="1"/>
          <w:lang w:val="ar-SA"/>
        </w:rPr>
        <w:t>إدارة المخازن والأصناف</w:t>
      </w:r>
    </w:p>
    <w:p>
      <w:pPr>
        <w:spacing w:before="0" w:after="120" w:line="288" w:lineRule="auto"/>
        <w:jc w:val="right"/>
        <w:bidi w:val="1"/>
      </w:pPr>
      <w:r>
        <w:rPr>
          <w:rFonts w:ascii="Arial" w:hAnsi="Arial" w:cs="Arial" w:eastAsia="Arial"/>
          <w:b w:val="0"/>
          <w:color w:val="435761"/>
          <w:sz w:val="19"/>
          <w:rtl w:val="1"/>
          <w:lang w:val="ar-SA"/>
        </w:rPr>
        <w:t>لقطة من شاشة المخزون الفعلية، وتوضح مدخل إدارة الأصناف والمخازن والتحويل والجرد وحركات الصرف والتسوية.</w:t>
      </w:r>
    </w:p>
    <w:p>
      <w:pPr>
        <w:spacing w:after="80"/>
        <w:jc w:val="center"/>
        <w:bidi w:val="1"/>
      </w:pPr>
      <w:r>
        <w:drawing>
          <wp:inline xmlns:a="http://schemas.openxmlformats.org/drawingml/2006/main" xmlns:pic="http://schemas.openxmlformats.org/drawingml/2006/picture">
            <wp:extent cx="6173999" cy="3858749"/>
            <wp:docPr id="3" name="Picture 3"/>
            <wp:cNvGraphicFramePr>
              <a:graphicFrameLocks noChangeAspect="1"/>
            </wp:cNvGraphicFramePr>
            <a:graphic>
              <a:graphicData uri="http://schemas.openxmlformats.org/drawingml/2006/picture">
                <pic:pic>
                  <pic:nvPicPr>
                    <pic:cNvPr id="0" name="graphic-art-inventory.png"/>
                    <pic:cNvPicPr/>
                  </pic:nvPicPr>
                  <pic:blipFill>
                    <a:blip r:embed="rId13"/>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lang w:val="ar-SA"/>
        </w:rPr>
        <w:t>في التطبيق: تُهيّأ خامات الطباعة والتجهيز ووحداتها ومخازنها من قائمة بيانات الشركة المعتمدة.</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توضيح: </w:t>
            </w:r>
            <w:r>
              <w:rPr>
                <w:rFonts w:ascii="Arial" w:hAnsi="Arial" w:cs="Arial" w:eastAsia="Arial"/>
                <w:b w:val="0"/>
                <w:color w:val="435761"/>
                <w:sz w:val="18"/>
                <w:rtl w:val="1"/>
                <w:lang w:val="ar-SA"/>
              </w:rPr>
              <w:t>لقطة فعلية من بيئة معاينة بلا أرصدة تشغيلية؛ لا تعكس مخزون جرافيك آرت أو تكلفته.</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lang w:val="ar-SA"/>
        </w:rPr>
        <w:t>05 · نطاق يناسب الوكالة</w:t>
      </w:r>
    </w:p>
    <w:p>
      <w:pPr>
        <w:spacing w:before="0" w:after="80" w:line="288" w:lineRule="auto"/>
        <w:jc w:val="right"/>
        <w:bidi w:val="1"/>
      </w:pPr>
      <w:r>
        <w:rPr>
          <w:rFonts w:ascii="Arial" w:hAnsi="Arial" w:cs="Arial" w:eastAsia="Arial"/>
          <w:b/>
          <w:color w:val="132630"/>
          <w:sz w:val="38"/>
          <w:rtl w:val="1"/>
          <w:lang w:val="ar-SA"/>
        </w:rPr>
        <w:t>وحدات زاكود ذات الأولوية لجرافيك آرت</w:t>
      </w:r>
    </w:p>
    <w:p>
      <w:pPr>
        <w:spacing w:before="0" w:after="120" w:line="288" w:lineRule="auto"/>
        <w:jc w:val="right"/>
        <w:bidi w:val="1"/>
      </w:pPr>
      <w:r>
        <w:rPr>
          <w:rFonts w:ascii="Arial" w:hAnsi="Arial" w:cs="Arial" w:eastAsia="Arial"/>
          <w:b w:val="0"/>
          <w:color w:val="435761"/>
          <w:sz w:val="19"/>
          <w:rtl w:val="1"/>
          <w:lang w:val="ar-SA"/>
        </w:rPr>
        <w:t>تُختار الوحدات التي تخدم دورة العمل الحالية، مع إبقاء التوسع المستقبلي ممكنًا دون فرض وحدات لا تحتاجها الشركة الآن.</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العملاء والمبيعات · عروض الأسعار والفواتير</w:t>
            </w:r>
          </w:p>
          <w:p>
            <w:pPr>
              <w:spacing w:after="0" w:line="276" w:lineRule="auto"/>
              <w:jc w:val="right"/>
              <w:bidi w:val="1"/>
            </w:pPr>
            <w:r>
              <w:rPr>
                <w:rFonts w:ascii="Arial" w:hAnsi="Arial" w:cs="Arial" w:eastAsia="Arial"/>
                <w:b w:val="0"/>
                <w:color w:val="435761"/>
                <w:sz w:val="17"/>
                <w:rtl w:val="1"/>
                <w:lang w:val="ar-SA"/>
              </w:rPr>
              <w:t>إدارة العملاء وبنود الخدمات ومستندات البيع والمرتجعات والتحصيل وفق إعداد الشركة.</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التوريد والتخزين · المشتريات والمخزون</w:t>
            </w:r>
          </w:p>
          <w:p>
            <w:pPr>
              <w:spacing w:after="0" w:line="276" w:lineRule="auto"/>
              <w:jc w:val="right"/>
              <w:bidi w:val="1"/>
            </w:pPr>
            <w:r>
              <w:rPr>
                <w:rFonts w:ascii="Arial" w:hAnsi="Arial" w:cs="Arial" w:eastAsia="Arial"/>
                <w:b w:val="0"/>
                <w:color w:val="435761"/>
                <w:sz w:val="17"/>
                <w:rtl w:val="1"/>
                <w:lang w:val="ar-SA"/>
              </w:rPr>
              <w:t>الأصناف والوحدات والمستودعات وحركة المواد والموردين وتقارير الأرصدة.</w:t>
            </w:r>
          </w:p>
        </w:tc>
      </w:tr>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الرقابة المالية · المحاسبة ومراكز التكلفة</w:t>
            </w:r>
          </w:p>
          <w:p>
            <w:pPr>
              <w:spacing w:after="0" w:line="276" w:lineRule="auto"/>
              <w:jc w:val="right"/>
              <w:bidi w:val="1"/>
            </w:pPr>
            <w:r>
              <w:rPr>
                <w:rFonts w:ascii="Arial" w:hAnsi="Arial" w:cs="Arial" w:eastAsia="Arial"/>
                <w:b w:val="0"/>
                <w:color w:val="435761"/>
                <w:sz w:val="17"/>
                <w:rtl w:val="1"/>
                <w:lang w:val="ar-SA"/>
              </w:rPr>
              <w:t>متابعة القيود والخزائن والبنوك والذمم والمصروفات والتقارير المالية.</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إدارة الأداء · التقارير والصلاحيات</w:t>
            </w:r>
          </w:p>
          <w:p>
            <w:pPr>
              <w:spacing w:after="0" w:line="276" w:lineRule="auto"/>
              <w:jc w:val="right"/>
              <w:bidi w:val="1"/>
            </w:pPr>
            <w:r>
              <w:rPr>
                <w:rFonts w:ascii="Arial" w:hAnsi="Arial" w:cs="Arial" w:eastAsia="Arial"/>
                <w:b w:val="0"/>
                <w:color w:val="435761"/>
                <w:sz w:val="17"/>
                <w:rtl w:val="1"/>
                <w:lang w:val="ar-SA"/>
              </w:rPr>
              <w:t>تقارير الإدارة، تحديد صلاحيات المستخدمين، وسجل مراجعة للعمليات المهمة.</w:t>
            </w:r>
          </w:p>
        </w:tc>
      </w:tr>
    </w:tbl>
    <w:p>
      <w:pPr>
        <w:spacing w:before="0" w:after="20" w:line="288" w:lineRule="auto"/>
        <w:jc w:val="right"/>
        <w:bidi w:val="1"/>
      </w:pP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112D34"/>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دور زاكود ضمن بيئة العمل الإبداعية: </w:t>
            </w:r>
            <w:r>
              <w:rPr>
                <w:rFonts w:ascii="Arial" w:hAnsi="Arial" w:cs="Arial" w:eastAsia="Arial"/>
                <w:b w:val="0"/>
                <w:color w:val="435761"/>
                <w:sz w:val="18"/>
                <w:rtl w:val="1"/>
                <w:lang w:val="ar-SA"/>
              </w:rPr>
              <w:t>يركز المقترح على الإدارة المالية والتشغيلية والمخزون والفوترة. تظل برامج التصميم والتحرير الإبداعي ومراجعة ملفات التصميم خارج النظام، إلا إذا اتُّفق لاحقًا على تكامل مستقل وحدوده.</w:t>
            </w:r>
          </w:p>
        </w:tc>
      </w:tr>
    </w:tbl>
    <w:p>
      <w:pPr>
        <w:spacing w:before="0" w:after="20" w:line="288" w:lineRule="auto"/>
        <w:jc w:val="right"/>
        <w:bidi w:val="1"/>
      </w:pP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الفوترة الإلكترونية: </w:t>
            </w:r>
            <w:r>
              <w:rPr>
                <w:rFonts w:ascii="Arial" w:hAnsi="Arial" w:cs="Arial" w:eastAsia="Arial"/>
                <w:b w:val="0"/>
                <w:color w:val="435761"/>
                <w:sz w:val="18"/>
                <w:rtl w:val="1"/>
                <w:lang w:val="ar-SA"/>
              </w:rPr>
              <w:t>يُحدد التكامل المحلي المطلوب والجهة الضريبية ذات العلاقة بعد مراجعة وضع الشركة والمتطلبات الفنية، ويُذكر ضمن نطاق التسليم إذا كان مطلوبًا.</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6"/>
          <w:rtl w:val="1"/>
          <w:lang w:val="ar-SA"/>
        </w:rPr>
        <w:t>توافر الوحدات والتكاملات وتفاصيلها يخضع للباقة والبلد والتهيئة التي يعتمدها الطرفان.</w:t>
      </w:r>
    </w:p>
    <w:p>
      <w:r>
        <w:br w:type="page"/>
      </w:r>
    </w:p>
    <w:p>
      <w:pPr>
        <w:spacing w:before="0" w:after="40" w:line="288" w:lineRule="auto"/>
        <w:jc w:val="right"/>
        <w:bidi w:val="1"/>
      </w:pPr>
      <w:r>
        <w:rPr>
          <w:rFonts w:ascii="Arial" w:hAnsi="Arial" w:cs="Arial" w:eastAsia="Arial"/>
          <w:b/>
          <w:color w:val="078466"/>
          <w:sz w:val="18"/>
          <w:rtl w:val="1"/>
          <w:lang w:val="ar-SA"/>
        </w:rPr>
        <w:t>06 · التطبيق والتسليم</w:t>
      </w:r>
    </w:p>
    <w:p>
      <w:pPr>
        <w:spacing w:before="0" w:after="80" w:line="288" w:lineRule="auto"/>
        <w:jc w:val="right"/>
        <w:bidi w:val="1"/>
      </w:pPr>
      <w:r>
        <w:rPr>
          <w:rFonts w:ascii="Arial" w:hAnsi="Arial" w:cs="Arial" w:eastAsia="Arial"/>
          <w:b/>
          <w:color w:val="132630"/>
          <w:sz w:val="38"/>
          <w:rtl w:val="1"/>
          <w:lang w:val="ar-SA"/>
        </w:rPr>
        <w:t>خطوات تنفيذ مفهومة من البداية</w:t>
      </w:r>
    </w:p>
    <w:p>
      <w:pPr>
        <w:spacing w:before="0" w:after="120" w:line="288" w:lineRule="auto"/>
        <w:jc w:val="right"/>
        <w:bidi w:val="1"/>
      </w:pPr>
      <w:r>
        <w:rPr>
          <w:rFonts w:ascii="Arial" w:hAnsi="Arial" w:cs="Arial" w:eastAsia="Arial"/>
          <w:b w:val="0"/>
          <w:color w:val="435761"/>
          <w:sz w:val="19"/>
          <w:rtl w:val="1"/>
          <w:lang w:val="ar-SA"/>
        </w:rPr>
        <w:t>يبدأ التطبيق من إجراءات الشركة الفعلية، ثم تُعتمد الوحدات ومسؤوليات البيانات والاختبارات قبل الإطلاق.</w:t>
      </w:r>
    </w:p>
    <w:p>
      <w:pPr>
        <w:spacing w:after="100" w:line="276" w:lineRule="auto"/>
        <w:jc w:val="right"/>
        <w:bidi w:val="1"/>
      </w:pPr>
      <w:r>
        <w:rPr>
          <w:rFonts w:ascii="Arial" w:hAnsi="Arial" w:cs="Arial" w:eastAsia="Arial"/>
          <w:b/>
          <w:color w:val="078466"/>
          <w:sz w:val="22"/>
          <w:rtl w:val="1"/>
          <w:lang w:val="ar-SA"/>
        </w:rPr>
        <w:t xml:space="preserve">1  </w:t>
      </w:r>
      <w:r>
        <w:rPr>
          <w:rFonts w:ascii="Arial" w:hAnsi="Arial" w:cs="Arial" w:eastAsia="Arial"/>
          <w:b/>
          <w:color w:val="132630"/>
          <w:sz w:val="19"/>
          <w:rtl w:val="1"/>
          <w:lang w:val="ar-SA"/>
        </w:rPr>
        <w:t xml:space="preserve">جلسة تحليل وتحديد الأولويات — </w:t>
      </w:r>
      <w:r>
        <w:rPr>
          <w:rFonts w:ascii="Arial" w:hAnsi="Arial" w:cs="Arial" w:eastAsia="Arial"/>
          <w:b w:val="0"/>
          <w:color w:val="435761"/>
          <w:sz w:val="17"/>
          <w:rtl w:val="1"/>
          <w:lang w:val="ar-SA"/>
        </w:rPr>
        <w:t>مراجعة عدد المستخدمين والفروع ودورة العرض والشراء والمخزون والتحصيل.</w:t>
      </w:r>
    </w:p>
    <w:p>
      <w:pPr>
        <w:spacing w:after="100" w:line="276" w:lineRule="auto"/>
        <w:jc w:val="right"/>
        <w:bidi w:val="1"/>
      </w:pPr>
      <w:r>
        <w:rPr>
          <w:rFonts w:ascii="Arial" w:hAnsi="Arial" w:cs="Arial" w:eastAsia="Arial"/>
          <w:b/>
          <w:color w:val="078466"/>
          <w:sz w:val="22"/>
          <w:rtl w:val="1"/>
          <w:lang w:val="ar-SA"/>
        </w:rPr>
        <w:t xml:space="preserve">2  </w:t>
      </w:r>
      <w:r>
        <w:rPr>
          <w:rFonts w:ascii="Arial" w:hAnsi="Arial" w:cs="Arial" w:eastAsia="Arial"/>
          <w:b/>
          <w:color w:val="132630"/>
          <w:sz w:val="19"/>
          <w:rtl w:val="1"/>
          <w:lang w:val="ar-SA"/>
        </w:rPr>
        <w:t xml:space="preserve">اعتماد النطاق والتهيئة — </w:t>
      </w:r>
      <w:r>
        <w:rPr>
          <w:rFonts w:ascii="Arial" w:hAnsi="Arial" w:cs="Arial" w:eastAsia="Arial"/>
          <w:b w:val="0"/>
          <w:color w:val="435761"/>
          <w:sz w:val="17"/>
          <w:rtl w:val="1"/>
          <w:lang w:val="ar-SA"/>
        </w:rPr>
        <w:t>تحديد الوحدات والحسابات والأصناف والمستودعات والصلاحيات والتقارير المطلوبة.</w:t>
      </w:r>
    </w:p>
    <w:p>
      <w:pPr>
        <w:spacing w:after="100" w:line="276" w:lineRule="auto"/>
        <w:jc w:val="right"/>
        <w:bidi w:val="1"/>
      </w:pPr>
      <w:r>
        <w:rPr>
          <w:rFonts w:ascii="Arial" w:hAnsi="Arial" w:cs="Arial" w:eastAsia="Arial"/>
          <w:b/>
          <w:color w:val="078466"/>
          <w:sz w:val="22"/>
          <w:rtl w:val="1"/>
          <w:lang w:val="ar-SA"/>
        </w:rPr>
        <w:t xml:space="preserve">3  </w:t>
      </w:r>
      <w:r>
        <w:rPr>
          <w:rFonts w:ascii="Arial" w:hAnsi="Arial" w:cs="Arial" w:eastAsia="Arial"/>
          <w:b/>
          <w:color w:val="132630"/>
          <w:sz w:val="19"/>
          <w:rtl w:val="1"/>
          <w:lang w:val="ar-SA"/>
        </w:rPr>
        <w:t xml:space="preserve">إعداد البيانات والاختبارات — </w:t>
      </w:r>
      <w:r>
        <w:rPr>
          <w:rFonts w:ascii="Arial" w:hAnsi="Arial" w:cs="Arial" w:eastAsia="Arial"/>
          <w:b w:val="0"/>
          <w:color w:val="435761"/>
          <w:sz w:val="17"/>
          <w:rtl w:val="1"/>
          <w:lang w:val="ar-SA"/>
        </w:rPr>
        <w:t>مراجعة ملفات العملاء والأصناف والأرصدة المتاحة واختبار السيناريوهات المتفق عليها.</w:t>
      </w:r>
    </w:p>
    <w:p>
      <w:pPr>
        <w:spacing w:after="100" w:line="276" w:lineRule="auto"/>
        <w:jc w:val="right"/>
        <w:bidi w:val="1"/>
      </w:pPr>
      <w:r>
        <w:rPr>
          <w:rFonts w:ascii="Arial" w:hAnsi="Arial" w:cs="Arial" w:eastAsia="Arial"/>
          <w:b/>
          <w:color w:val="078466"/>
          <w:sz w:val="22"/>
          <w:rtl w:val="1"/>
          <w:lang w:val="ar-SA"/>
        </w:rPr>
        <w:t xml:space="preserve">4  </w:t>
      </w:r>
      <w:r>
        <w:rPr>
          <w:rFonts w:ascii="Arial" w:hAnsi="Arial" w:cs="Arial" w:eastAsia="Arial"/>
          <w:b/>
          <w:color w:val="132630"/>
          <w:sz w:val="19"/>
          <w:rtl w:val="1"/>
          <w:lang w:val="ar-SA"/>
        </w:rPr>
        <w:t xml:space="preserve">التدريب والتشغيل — </w:t>
      </w:r>
      <w:r>
        <w:rPr>
          <w:rFonts w:ascii="Arial" w:hAnsi="Arial" w:cs="Arial" w:eastAsia="Arial"/>
          <w:b w:val="0"/>
          <w:color w:val="435761"/>
          <w:sz w:val="17"/>
          <w:rtl w:val="1"/>
          <w:lang w:val="ar-SA"/>
        </w:rPr>
        <w:t>تدريب المستخدمين حسب الأدوار والانتقال وفق خطة قبول مشتركة.</w:t>
      </w:r>
    </w:p>
    <w:p>
      <w:pPr>
        <w:spacing w:after="100" w:line="276" w:lineRule="auto"/>
        <w:jc w:val="right"/>
        <w:bidi w:val="1"/>
      </w:pPr>
      <w:r>
        <w:rPr>
          <w:rFonts w:ascii="Arial" w:hAnsi="Arial" w:cs="Arial" w:eastAsia="Arial"/>
          <w:b/>
          <w:color w:val="078466"/>
          <w:sz w:val="22"/>
          <w:rtl w:val="1"/>
          <w:lang w:val="ar-SA"/>
        </w:rPr>
        <w:t xml:space="preserve">5  </w:t>
      </w:r>
      <w:r>
        <w:rPr>
          <w:rFonts w:ascii="Arial" w:hAnsi="Arial" w:cs="Arial" w:eastAsia="Arial"/>
          <w:b/>
          <w:color w:val="132630"/>
          <w:sz w:val="19"/>
          <w:rtl w:val="1"/>
          <w:lang w:val="ar-SA"/>
        </w:rPr>
        <w:t xml:space="preserve">المتابعة والدعم — </w:t>
      </w:r>
      <w:r>
        <w:rPr>
          <w:rFonts w:ascii="Arial" w:hAnsi="Arial" w:cs="Arial" w:eastAsia="Arial"/>
          <w:b w:val="0"/>
          <w:color w:val="435761"/>
          <w:sz w:val="17"/>
          <w:rtl w:val="1"/>
          <w:lang w:val="ar-SA"/>
        </w:rPr>
        <w:t>تحديد قناة الدعم ومستواه ومدته وآلية استقبال الملاحظات في العرض النهائي.</w:t>
      </w:r>
    </w:p>
    <w:p>
      <w:pPr>
        <w:spacing w:before="140" w:after="80" w:line="288" w:lineRule="auto"/>
        <w:jc w:val="right"/>
        <w:bidi w:val="1"/>
      </w:pPr>
      <w:r>
        <w:rPr>
          <w:rFonts w:ascii="Arial" w:hAnsi="Arial" w:cs="Arial" w:eastAsia="Arial"/>
          <w:b/>
          <w:color w:val="132630"/>
          <w:sz w:val="25"/>
          <w:rtl w:val="1"/>
          <w:lang w:val="ar-SA"/>
        </w:rPr>
        <w:t>معلومات تساعد على إعداد عرض دقيق</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حجم الاستخدام</w:t>
            </w:r>
          </w:p>
          <w:p>
            <w:pPr>
              <w:spacing w:after="0" w:line="276" w:lineRule="auto"/>
              <w:jc w:val="right"/>
              <w:bidi w:val="1"/>
            </w:pPr>
            <w:r>
              <w:rPr>
                <w:rFonts w:ascii="Arial" w:hAnsi="Arial" w:cs="Arial" w:eastAsia="Arial"/>
                <w:b w:val="0"/>
                <w:color w:val="435761"/>
                <w:sz w:val="17"/>
                <w:rtl w:val="1"/>
                <w:lang w:val="ar-SA"/>
              </w:rPr>
              <w:t>عدد المستخدمين والفروع والمخازن ونقاط البيع إن وجدت.</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البيانات الحالية</w:t>
            </w:r>
          </w:p>
          <w:p>
            <w:pPr>
              <w:spacing w:after="0" w:line="276" w:lineRule="auto"/>
              <w:jc w:val="right"/>
              <w:bidi w:val="1"/>
            </w:pPr>
            <w:r>
              <w:rPr>
                <w:rFonts w:ascii="Arial" w:hAnsi="Arial" w:cs="Arial" w:eastAsia="Arial"/>
                <w:b w:val="0"/>
                <w:color w:val="435761"/>
                <w:sz w:val="17"/>
                <w:rtl w:val="1"/>
                <w:lang w:val="ar-SA"/>
              </w:rPr>
              <w:t>ملفات العملاء والأصناف والأرصدة وشكل النظام المحاسبي الحالي.</w:t>
            </w:r>
          </w:p>
        </w:tc>
      </w:tr>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دورة العمل</w:t>
            </w:r>
          </w:p>
          <w:p>
            <w:pPr>
              <w:spacing w:after="0" w:line="276" w:lineRule="auto"/>
              <w:jc w:val="right"/>
              <w:bidi w:val="1"/>
            </w:pPr>
            <w:r>
              <w:rPr>
                <w:rFonts w:ascii="Arial" w:hAnsi="Arial" w:cs="Arial" w:eastAsia="Arial"/>
                <w:b w:val="0"/>
                <w:color w:val="435761"/>
                <w:sz w:val="17"/>
                <w:rtl w:val="1"/>
                <w:lang w:val="ar-SA"/>
              </w:rPr>
              <w:t>كيفية إعداد الأسعار والمشتريات والصرف والفوترة والتحصيل اليوم.</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التكاملات المطلوبة</w:t>
            </w:r>
          </w:p>
          <w:p>
            <w:pPr>
              <w:spacing w:after="0" w:line="276" w:lineRule="auto"/>
              <w:jc w:val="right"/>
              <w:bidi w:val="1"/>
            </w:pPr>
            <w:r>
              <w:rPr>
                <w:rFonts w:ascii="Arial" w:hAnsi="Arial" w:cs="Arial" w:eastAsia="Arial"/>
                <w:b w:val="0"/>
                <w:color w:val="435761"/>
                <w:sz w:val="17"/>
                <w:rtl w:val="1"/>
                <w:lang w:val="ar-SA"/>
              </w:rPr>
              <w:t>أي متطلبات ضريبية أو تقنية يجب تقييمها قبل اعتماد السعر والمدة.</w:t>
            </w:r>
          </w:p>
        </w:tc>
      </w:tr>
    </w:tbl>
    <w:p>
      <w:pPr>
        <w:spacing w:before="0" w:after="20" w:line="288" w:lineRule="auto"/>
        <w:jc w:val="right"/>
        <w:bidi w:val="1"/>
      </w:pP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ترحيل البيانات: </w:t>
            </w:r>
            <w:r>
              <w:rPr>
                <w:rFonts w:ascii="Arial" w:hAnsi="Arial" w:cs="Arial" w:eastAsia="Arial"/>
                <w:b w:val="0"/>
                <w:color w:val="435761"/>
                <w:sz w:val="18"/>
                <w:rtl w:val="1"/>
                <w:lang w:val="ar-SA"/>
              </w:rPr>
              <w:t>يُحدد حسب الملفات المتاحة وجودتها وحجمها، وبعد مراجعة عينة وتوثيق مسؤوليات التحقق.</w:t>
            </w:r>
          </w:p>
        </w:tc>
      </w:tr>
    </w:tbl>
    <w:p>
      <w:pPr>
        <w:spacing w:before="0" w:after="20" w:line="288" w:lineRule="auto"/>
        <w:jc w:val="right"/>
        <w:bidi w:val="1"/>
      </w:pPr>
    </w:p>
    <w:p>
      <w:r>
        <w:br w:type="page"/>
      </w:r>
    </w:p>
    <w:p>
      <w:pPr>
        <w:spacing w:after="40" w:line="288" w:lineRule="auto"/>
        <w:jc w:val="right"/>
        <w:bidi w:val="1"/>
      </w:pPr>
      <w:r>
        <w:rPr>
          <w:rFonts w:ascii="Arial" w:hAnsi="Arial" w:cs="Arial" w:eastAsia="Arial"/>
          <w:b/>
          <w:color w:val="078466"/>
          <w:sz w:val="18"/>
          <w:rtl w:val="1"/>
        </w:rPr>
        <w:t>عمليات البيع والتحصيل</w:t>
      </w:r>
    </w:p>
    <w:p>
      <w:pPr>
        <w:spacing w:after="100" w:line="288" w:lineRule="auto"/>
        <w:jc w:val="right"/>
        <w:bidi w:val="1"/>
      </w:pPr>
      <w:r>
        <w:rPr>
          <w:rFonts w:ascii="Arial" w:hAnsi="Arial" w:cs="Arial" w:eastAsia="Arial"/>
          <w:b/>
          <w:color w:val="132630"/>
          <w:sz w:val="38"/>
          <w:rtl w:val="1"/>
        </w:rPr>
        <w:t>تحصيل فاتورة البيع نقدًا أو عبر البنك</w:t>
      </w:r>
    </w:p>
    <w:p>
      <w:pPr>
        <w:spacing w:after="120" w:line="288" w:lineRule="auto"/>
        <w:jc w:val="right"/>
        <w:bidi w:val="1"/>
      </w:pPr>
      <w:r>
        <w:rPr>
          <w:rFonts w:ascii="Arial" w:hAnsi="Arial" w:cs="Arial" w:eastAsia="Arial"/>
          <w:b w:val="0"/>
          <w:color w:val="435761"/>
          <w:sz w:val="19"/>
          <w:rtl w:val="1"/>
        </w:rPr>
        <w:t>تُسجّل الدفعة من سند القبض الفعلي في النظام، مع اختيار طريقة التحصيل وربط السداد بفاتورة العميل عند الحاجة.</w:t>
      </w:r>
    </w:p>
    <w:p>
      <w:pPr>
        <w:spacing w:after="80"/>
        <w:jc w:val="center"/>
        <w:bidi w:val="1"/>
      </w:pPr>
      <w:r>
        <w:drawing>
          <wp:inline xmlns:a="http://schemas.openxmlformats.org/drawingml/2006/main" xmlns:pic="http://schemas.openxmlformats.org/drawingml/2006/picture">
            <wp:extent cx="6173999" cy="385874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73999" cy="3858749"/>
                    </a:xfrm>
                    <a:prstGeom prst="rect"/>
                  </pic:spPr>
                </pic:pic>
              </a:graphicData>
            </a:graphic>
          </wp:inline>
        </w:drawing>
      </w:r>
    </w:p>
    <w:p>
      <w:pPr>
        <w:spacing w:after="100" w:line="288" w:lineRule="auto"/>
        <w:jc w:val="right"/>
        <w:bidi w:val="1"/>
      </w:pPr>
      <w:r>
        <w:rPr>
          <w:rFonts w:ascii="Arial" w:hAnsi="Arial" w:cs="Arial" w:eastAsia="Arial"/>
          <w:b w:val="0"/>
          <w:color w:val="435761"/>
          <w:sz w:val="18"/>
          <w:rtl w:val="1"/>
        </w:rPr>
        <w:t>السداد البنكي: اختيار الحساب البنكي وإدخال بيانات التحويل. تتيح الشاشة نفسها التبديل إلى التحصيل النقدي واختيار الخزينة.</w:t>
      </w:r>
    </w:p>
    <w:tbl>
      <w:tblPr>
        <w:tblW w:type="auto" w:w="0"/>
        <w:jc w:val="center"/>
        <w:tblLook w:firstColumn="1" w:firstRow="1" w:lastColumn="0" w:lastRow="0" w:noHBand="0" w:noVBand="1" w:val="04A0"/>
        <w:bidiVisual w:val="1"/>
        <w:tblBorders>
          <w:top w:val="single" w:sz="5" w:color="BCE6D7"/>
          <w:left w:val="single" w:sz="5" w:color="BCE6D7"/>
          <w:bottom w:val="single" w:sz="5" w:color="BCE6D7"/>
          <w:right w:val="single" w:sz="5" w:color="BCE6D7"/>
          <w:insideH w:val="single" w:sz="5" w:color="BCE6D7"/>
          <w:insideV w:val="single" w:sz="5" w:color="BCE6D7"/>
        </w:tblBorders>
      </w:tblPr>
      <w:tblGrid>
        <w:gridCol w:w="10036"/>
      </w:tblGrid>
      <w:tr>
        <w:tc>
          <w:tcPr>
            <w:tcW w:type="dxa" w:w="10036"/>
            <w:vAlign w:val="center"/>
            <w:shd w:fill="EFF9F5"/>
            <w:tcMar>
              <w:top w:w="120" w:type="dxa"/>
              <w:start w:w="170" w:type="dxa"/>
              <w:bottom w:w="120" w:type="dxa"/>
              <w:end w:w="170" w:type="dxa"/>
            </w:tcMar>
          </w:tcPr>
          <w:p>
            <w:pPr>
              <w:spacing w:after="0" w:line="288" w:lineRule="auto"/>
              <w:jc w:val="right"/>
              <w:bidi w:val="1"/>
            </w:pPr>
            <w:r>
              <w:rPr>
                <w:rFonts w:ascii="Arial" w:hAnsi="Arial" w:cs="Arial" w:eastAsia="Arial"/>
                <w:b/>
                <w:color w:val="075B49"/>
                <w:sz w:val="18"/>
                <w:rtl w:val="1"/>
              </w:rPr>
              <w:t xml:space="preserve">لقطة فعلية: </w:t>
            </w:r>
            <w:r>
              <w:rPr>
                <w:rFonts w:ascii="Arial" w:hAnsi="Arial" w:cs="Arial" w:eastAsia="Arial"/>
                <w:b w:val="0"/>
                <w:color w:val="435761"/>
                <w:sz w:val="18"/>
                <w:rtl w:val="1"/>
              </w:rPr>
              <w:t>صورة من واجهة زاكود في بيئة معاينة فارغة؛ لا تعرض بيانات عملاء أو أرصدة تخص جرافيك آرت.</w:t>
            </w:r>
          </w:p>
        </w:tc>
      </w:tr>
    </w:tbl>
    <w:p>
      <w:pPr>
        <w:spacing w:after="20" w:line="288" w:lineRule="auto"/>
        <w:jc w:val="right"/>
        <w:bidi w:val="1"/>
      </w:pPr>
    </w:p>
    <w:tbl>
      <w:tblPr>
        <w:tblW w:type="auto" w:w="0"/>
        <w:jc w:val="center"/>
        <w:tblLook w:firstColumn="1" w:firstRow="1" w:lastColumn="0" w:lastRow="0" w:noHBand="0" w:noVBand="1" w:val="04A0"/>
        <w:bidiVisual w:val="1"/>
      </w:tblPr>
      <w:tblGrid>
        <w:gridCol w:w="10036"/>
      </w:tblGrid>
      <w:tr>
        <w:tc>
          <w:tcPr>
            <w:tcW w:type="dxa" w:w="10036"/>
            <w:shd w:fill="F3F8F7"/>
            <w:tcMar>
              <w:top w:w="130" w:type="dxa"/>
              <w:start w:w="180" w:type="dxa"/>
              <w:bottom w:w="130" w:type="dxa"/>
              <w:end w:w="180" w:type="dxa"/>
            </w:tcMar>
          </w:tcPr>
          <w:p>
            <w:pPr>
              <w:spacing w:after="40"/>
              <w:jc w:val="right"/>
              <w:bidi w:val="1"/>
            </w:pPr>
            <w:r>
              <w:rPr>
                <w:rFonts w:ascii="Arial" w:hAnsi="Arial" w:cs="Arial" w:eastAsia="Arial"/>
                <w:b/>
                <w:color w:val="075B49"/>
                <w:sz w:val="21"/>
                <w:rtl w:val="1"/>
              </w:rPr>
              <w:t>شركة سيستمورا للنظم والمعلومات والذكاء</w:t>
            </w:r>
          </w:p>
          <w:p>
            <w:pPr>
              <w:spacing w:after="20"/>
              <w:jc w:val="right"/>
              <w:bidi w:val="1"/>
            </w:pPr>
            <w:r>
              <w:rPr>
                <w:rFonts w:ascii="Arial" w:hAnsi="Arial" w:cs="Arial" w:eastAsia="Arial"/>
                <w:b/>
                <w:color w:val="132630"/>
                <w:sz w:val="19"/>
                <w:rtl w:val="1"/>
              </w:rPr>
              <w:t>المدير التنفيذي: م. سعيد شحاته</w:t>
            </w:r>
          </w:p>
          <w:p>
            <w:pPr>
              <w:spacing w:after="20"/>
              <w:jc w:val="right"/>
              <w:bidi w:val="1"/>
            </w:pPr>
            <w:r>
              <w:rPr>
                <w:rFonts w:ascii="Arial" w:hAnsi="Arial" w:cs="Arial" w:eastAsia="Arial"/>
                <w:b/>
                <w:color w:val="132630"/>
                <w:sz w:val="19"/>
                <w:rtl w:val="1"/>
              </w:rPr>
              <w:t>رقم الهاتف: 01000903159</w:t>
            </w:r>
          </w:p>
        </w:tc>
      </w:tr>
    </w:tbl>
    <w:p>
      <w:pPr>
        <w:spacing w:after="0" w:line="288" w:lineRule="auto"/>
        <w:jc w:val="right"/>
        <w:bidi w:val="1"/>
      </w:pPr>
      <w:r>
        <w:rPr>
          <w:rFonts w:ascii="Arial" w:hAnsi="Arial" w:cs="Arial" w:eastAsia="Arial"/>
          <w:b w:val="0"/>
          <w:color w:val="778992"/>
          <w:sz w:val="16"/>
          <w:rtl w:val="1"/>
        </w:rPr>
        <w:t>تُحدد الخزينة والحساب البنكي المعتمدان عند تهيئة بيانات الشركة.</w:t>
      </w:r>
    </w:p>
    <w:sectPr w:rsidR="00FC693F" w:rsidRPr="0006063C" w:rsidSect="00034616">
      <w:headerReference w:type="default" r:id="rId9"/>
      <w:footerReference w:type="default" r:id="rId10"/>
      <w:pgSz w:w="11906" w:h="16838"/>
      <w:pgMar w:top="879" w:right="935" w:bottom="879" w:left="935"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bidi w:val="1"/>
    </w:pPr>
    <w:r>
      <w:rPr>
        <w:rFonts w:ascii="Arial" w:hAnsi="Arial" w:cs="Arial" w:eastAsia="Arial"/>
        <w:b w:val="0"/>
        <w:color w:val="778992"/>
        <w:sz w:val="15"/>
        <w:rtl w:val="1"/>
        <w:lang w:val="ar-SA"/>
      </w:rPr>
      <w:t xml:space="preserve">زاكود ERP  |  مقترح مبدئي لجرافيك آرت     ·     صفحة </w:t>
    </w:r>
    <w:r>
      <w:rPr>
        <w:rFonts w:ascii="Arial" w:hAnsi="Arial" w:cs="Arial" w:eastAsia="Arial"/>
        <w:b/>
        <w:color w:val="075B49"/>
        <w:sz w:val="15"/>
        <w:rtl w:val="1"/>
        <w:lang w:val="ar-SA"/>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bidi w:val="1"/>
      <w:pBdr>
        <w:bottom w:val="single" w:sz="8" w:space="4" w:color="078466"/>
      </w:pBdr>
    </w:pPr>
    <w:r>
      <w:drawing>
        <wp:inline xmlns:a="http://schemas.openxmlformats.org/drawingml/2006/main" xmlns:pic="http://schemas.openxmlformats.org/drawingml/2006/picture">
          <wp:extent cx="1080000" cy="297000"/>
          <wp:docPr id="1" name="Picture 1"/>
          <wp:cNvGraphicFramePr>
            <a:graphicFrameLocks noChangeAspect="1"/>
          </wp:cNvGraphicFramePr>
          <a:graphic>
            <a:graphicData uri="http://schemas.openxmlformats.org/drawingml/2006/picture">
              <pic:pic>
                <pic:nvPicPr>
                  <pic:cNvPr id="0" name="zacode-logo-horizontal.png"/>
                  <pic:cNvPicPr/>
                </pic:nvPicPr>
                <pic:blipFill>
                  <a:blip r:embed="rId1"/>
                  <a:stretch>
                    <a:fillRect/>
                  </a:stretch>
                </pic:blipFill>
                <pic:spPr>
                  <a:xfrm>
                    <a:off x="0" y="0"/>
                    <a:ext cx="1080000" cy="297000"/>
                  </a:xfrm>
                  <a:prstGeom prst="rect"/>
                </pic:spPr>
              </pic:pic>
            </a:graphicData>
          </a:graphic>
        </wp:inline>
      </w:drawing>
    </w:r>
    <w:r>
      <w:rPr>
        <w:rFonts w:ascii="Arial" w:hAnsi="Arial" w:cs="Arial" w:eastAsia="Arial"/>
        <w:b/>
        <w:color w:val="778992"/>
        <w:sz w:val="16"/>
        <w:rtl w:val="1"/>
        <w:lang w:val="ar-SA"/>
      </w:rPr>
      <w:t xml:space="preserve">    مقترح مخصص · جرافيك آرت</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Arial" w:hAnsi="Arial"/>
      <w:color w:val="4357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مقترح زاكود ERP لشركة جرافيك آرت للدعاية والإعلان</dc:title>
  <dc:subject>مقترح مخصص مع لقطات فعلية من النظام</dc:subject>
  <dc:creator>شركة سيستمورا للنظم والمعلومات والذكاء</dc:creator>
  <cp:keywords>زاكود، جرافيك آرت، ERP، دعاية وإعلان، عرض فني وتجاري</cp:keywords>
  <dc:description>generated by python-docx</dc:description>
  <cp:lastModifiedBy/>
  <cp:revision>1</cp:revision>
  <dcterms:created xsi:type="dcterms:W3CDTF">2013-12-23T23:15:00Z</dcterms:created>
  <dcterms:modified xsi:type="dcterms:W3CDTF">2013-12-23T23:15:00Z</dcterms:modified>
  <cp:category/>
</cp:coreProperties>
</file>