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line="317" w:lineRule="auto"/>
        <w:jc w:val="right"/>
        <w:bidi w:val="1"/>
      </w:pPr>
      <w:r>
        <w:rPr>
          <w:rFonts w:ascii="Arial" w:hAnsi="Arial" w:cs="Arial" w:eastAsia="Arial"/>
          <w:b/>
          <w:color w:val="D7A72B"/>
          <w:sz w:val="24"/>
          <w:rtl w:val="1"/>
          <w:lang w:val="ar-SA"/>
        </w:rPr>
        <w:t>ZACODE ERP</w:t>
      </w:r>
    </w:p>
    <w:tbl>
      <w:tblPr>
        <w:tblW w:type="auto" w:w="0"/>
        <w:jc w:val="center"/>
        <w:tblLayout w:type="fixed"/>
        <w:tblLook w:firstColumn="1" w:firstRow="1" w:lastColumn="0" w:lastRow="0" w:noHBand="0" w:noVBand="1" w:val="04A0"/>
        <w:bidiVisual w:val="1"/>
        <w:tblBorders>
          <w:top w:val="single" w:sz="5" w:color="DCE5E9"/>
          <w:left w:val="single" w:sz="5" w:color="DCE5E9"/>
          <w:bottom w:val="single" w:sz="5" w:color="DCE5E9"/>
          <w:right w:val="single" w:sz="5" w:color="DCE5E9"/>
          <w:insideH w:val="single" w:sz="5" w:color="DCE5E9"/>
          <w:insideV w:val="single" w:sz="5" w:color="DCE5E9"/>
        </w:tblBorders>
      </w:tblPr>
      <w:tblGrid>
        <w:gridCol w:w="9865"/>
      </w:tblGrid>
      <w:tr>
        <w:tc>
          <w:tcPr>
            <w:tcW w:type="dxa" w:w="10036"/>
            <w:shd w:fill="102A31"/>
            <w:tcMar>
              <w:top w:w="430" w:type="dxa"/>
              <w:start w:w="430" w:type="dxa"/>
              <w:bottom w:w="430" w:type="dxa"/>
              <w:end w:w="430" w:type="dxa"/>
            </w:tcMar>
            <w:vAlign w:val="center"/>
          </w:tcPr>
          <w:p>
            <w:pPr>
              <w:spacing w:after="120"/>
              <w:jc w:val="right"/>
              <w:bidi w:val="1"/>
            </w:pPr>
            <w:r>
              <w:rPr>
                <w:rFonts w:ascii="Arial" w:hAnsi="Arial" w:cs="Arial" w:eastAsia="Arial"/>
                <w:b/>
                <w:color w:val="D7A72B"/>
                <w:sz w:val="22"/>
                <w:rtl w:val="1"/>
                <w:lang w:val="ar-SA"/>
              </w:rPr>
              <w:t>عرض فني وتجاري مبدئي</w:t>
            </w:r>
          </w:p>
          <w:p>
            <w:pPr>
              <w:spacing w:after="80" w:line="269" w:lineRule="auto"/>
              <w:jc w:val="right"/>
              <w:bidi w:val="1"/>
            </w:pPr>
            <w:r>
              <w:rPr>
                <w:rFonts w:ascii="Arial" w:hAnsi="Arial" w:cs="Arial" w:eastAsia="Arial"/>
                <w:b/>
                <w:color w:val="FFFFFF"/>
                <w:sz w:val="60"/>
                <w:rtl w:val="1"/>
                <w:lang w:val="ar-SA"/>
              </w:rPr>
              <w:t>نظام زاكود ERP</w:t>
            </w:r>
          </w:p>
          <w:p>
            <w:pPr>
              <w:spacing w:after="220"/>
              <w:jc w:val="right"/>
              <w:bidi w:val="1"/>
            </w:pPr>
            <w:r>
              <w:rPr>
                <w:rFonts w:ascii="Arial" w:hAnsi="Arial" w:cs="Arial" w:eastAsia="Arial"/>
                <w:b/>
                <w:color w:val="4FD0A7"/>
                <w:sz w:val="34"/>
                <w:rtl w:val="1"/>
                <w:lang w:val="ar-SA"/>
              </w:rPr>
              <w:t>إدارة أوضح. تشغيل مترابط. قرارات أقوى.</w:t>
            </w:r>
          </w:p>
          <w:p>
            <w:pPr>
              <w:spacing w:after="60" w:line="348" w:lineRule="auto"/>
              <w:jc w:val="right"/>
              <w:bidi w:val="1"/>
            </w:pPr>
            <w:r>
              <w:rPr>
                <w:rFonts w:ascii="Arial" w:hAnsi="Arial" w:cs="Arial" w:eastAsia="Arial"/>
                <w:b w:val="0"/>
                <w:color w:val="E2F0EB"/>
                <w:sz w:val="22"/>
                <w:rtl w:val="1"/>
                <w:lang w:val="ar-SA"/>
              </w:rPr>
              <w:t>منظومة لإدارة العمليات والموارد، تربط الحسابات والمبيعات والمشتريات والمخزون والإنتاج والمشاريع والموارد البشرية، مع تهيئة نطاق العمل بحسب احتياج المنشأة.</w:t>
            </w:r>
          </w:p>
        </w:tc>
      </w:tr>
    </w:tbl>
    <w:p>
      <w:pPr>
        <w:spacing w:before="300" w:after="160" w:line="317" w:lineRule="auto"/>
        <w:jc w:val="right"/>
        <w:bidi w:val="1"/>
      </w:pPr>
      <w:r>
        <w:rPr>
          <w:rFonts w:ascii="Arial" w:hAnsi="Arial" w:cs="Arial" w:eastAsia="Arial"/>
          <w:b/>
          <w:color w:val="075B49"/>
          <w:sz w:val="24"/>
          <w:rtl w:val="1"/>
          <w:lang w:val="ar-SA"/>
        </w:rPr>
        <w:t>مناسب للقطاع التجاري والصناعي والمقاولات والأنشطة الخدمية</w:t>
      </w:r>
    </w:p>
    <w:tbl>
      <w:tblPr>
        <w:tblW w:type="auto" w:w="0"/>
        <w:jc w:val="center"/>
        <w:tblLayout w:type="fixed"/>
        <w:tblLook w:firstColumn="1" w:firstRow="1" w:lastColumn="0" w:lastRow="0" w:noHBand="0" w:noVBand="1" w:val="04A0"/>
        <w:bidiVisual w:val="1"/>
        <w:tblBorders>
          <w:top w:val="single" w:sz="5" w:color="DCE5E9"/>
          <w:left w:val="single" w:sz="5" w:color="DCE5E9"/>
          <w:bottom w:val="single" w:sz="5" w:color="DCE5E9"/>
          <w:right w:val="single" w:sz="5" w:color="DCE5E9"/>
          <w:insideH w:val="single" w:sz="5" w:color="DCE5E9"/>
          <w:insideV w:val="single" w:sz="5" w:color="DCE5E9"/>
        </w:tblBorders>
      </w:tblPr>
      <w:tblGrid>
        <w:gridCol w:w="4932"/>
        <w:gridCol w:w="4932"/>
      </w:tblGrid>
      <w:tr>
        <w:tc>
          <w:tcPr>
            <w:tcW w:type="dxa" w:w="5018"/>
            <w:vAlign w:val="center"/>
            <w:shd w:fill="F0F8F4"/>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القطاع التجاري</w:t>
            </w:r>
          </w:p>
          <w:p>
            <w:pPr>
              <w:spacing w:after="0" w:line="288" w:lineRule="auto"/>
              <w:jc w:val="right"/>
              <w:bidi w:val="1"/>
            </w:pPr>
            <w:r>
              <w:rPr>
                <w:rFonts w:ascii="Arial" w:hAnsi="Arial" w:cs="Arial" w:eastAsia="Arial"/>
                <w:b w:val="0"/>
                <w:color w:val="394B59"/>
                <w:sz w:val="18"/>
                <w:rtl w:val="1"/>
                <w:lang w:val="ar-SA"/>
              </w:rPr>
              <w:t>مبيعات ومشتريات ومخزون ونقاط بيع.</w:t>
            </w:r>
          </w:p>
        </w:tc>
        <w:tc>
          <w:tcPr>
            <w:tcW w:type="dxa" w:w="5018"/>
            <w:vAlign w:val="center"/>
            <w:shd w:fill="F0F8F4"/>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القطاع الصناعي</w:t>
            </w:r>
          </w:p>
          <w:p>
            <w:pPr>
              <w:spacing w:after="0" w:line="288" w:lineRule="auto"/>
              <w:jc w:val="right"/>
              <w:bidi w:val="1"/>
            </w:pPr>
            <w:r>
              <w:rPr>
                <w:rFonts w:ascii="Arial" w:hAnsi="Arial" w:cs="Arial" w:eastAsia="Arial"/>
                <w:b w:val="0"/>
                <w:color w:val="394B59"/>
                <w:sz w:val="18"/>
                <w:rtl w:val="1"/>
                <w:lang w:val="ar-SA"/>
              </w:rPr>
              <w:t>إنتاج وخامات وتكاليف تشغيل.</w:t>
            </w:r>
          </w:p>
        </w:tc>
      </w:tr>
      <w:tr>
        <w:tc>
          <w:tcPr>
            <w:tcW w:type="dxa" w:w="5018"/>
            <w:vAlign w:val="center"/>
            <w:shd w:fill="F0F8F4"/>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المقاولات والمشاريع</w:t>
            </w:r>
          </w:p>
          <w:p>
            <w:pPr>
              <w:spacing w:after="0" w:line="288" w:lineRule="auto"/>
              <w:jc w:val="right"/>
              <w:bidi w:val="1"/>
            </w:pPr>
            <w:r>
              <w:rPr>
                <w:rFonts w:ascii="Arial" w:hAnsi="Arial" w:cs="Arial" w:eastAsia="Arial"/>
                <w:b w:val="0"/>
                <w:color w:val="394B59"/>
                <w:sz w:val="18"/>
                <w:rtl w:val="1"/>
                <w:lang w:val="ar-SA"/>
              </w:rPr>
              <w:t>عقود ومستخلصات ومراكز تكلفة.</w:t>
            </w:r>
          </w:p>
        </w:tc>
        <w:tc>
          <w:tcPr>
            <w:tcW w:type="dxa" w:w="5018"/>
            <w:vAlign w:val="center"/>
            <w:shd w:fill="F0F8F4"/>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الأنشطة الخدمية</w:t>
            </w:r>
          </w:p>
          <w:p>
            <w:pPr>
              <w:spacing w:after="0" w:line="288" w:lineRule="auto"/>
              <w:jc w:val="right"/>
              <w:bidi w:val="1"/>
            </w:pPr>
            <w:r>
              <w:rPr>
                <w:rFonts w:ascii="Arial" w:hAnsi="Arial" w:cs="Arial" w:eastAsia="Arial"/>
                <w:b w:val="0"/>
                <w:color w:val="394B59"/>
                <w:sz w:val="18"/>
                <w:rtl w:val="1"/>
                <w:lang w:val="ar-SA"/>
              </w:rPr>
              <w:t>عملاء وخدمات وفوترة وتقارير.</w:t>
            </w:r>
          </w:p>
        </w:tc>
      </w:tr>
    </w:tbl>
    <w:p>
      <w:pPr>
        <w:spacing w:before="0" w:after="20" w:line="317" w:lineRule="auto"/>
        <w:jc w:val="right"/>
        <w:bidi w:val="1"/>
      </w:pPr>
    </w:p>
    <w:p>
      <w:pPr>
        <w:spacing w:before="60" w:after="0" w:line="317" w:lineRule="auto"/>
        <w:jc w:val="right"/>
        <w:bidi w:val="1"/>
      </w:pPr>
      <w:r>
        <w:rPr>
          <w:rFonts w:ascii="Arial" w:hAnsi="Arial" w:cs="Arial" w:eastAsia="Arial"/>
          <w:b w:val="0"/>
          <w:color w:val="71808C"/>
          <w:sz w:val="19"/>
          <w:rtl w:val="1"/>
          <w:lang w:val="ar-SA"/>
        </w:rPr>
        <w:t>عرض عام — دون تخصيص لجهة بعينها</w:t>
      </w:r>
    </w:p>
    <w:p>
      <w:r>
        <w:br w:type="page"/>
      </w:r>
    </w:p>
    <w:p>
      <w:pPr>
        <w:spacing w:before="0" w:after="60" w:line="317" w:lineRule="auto"/>
        <w:jc w:val="right"/>
        <w:bidi w:val="1"/>
      </w:pPr>
      <w:r>
        <w:rPr>
          <w:rFonts w:ascii="Arial" w:hAnsi="Arial" w:cs="Arial" w:eastAsia="Arial"/>
          <w:b/>
          <w:color w:val="078466"/>
          <w:sz w:val="19"/>
          <w:rtl w:val="1"/>
          <w:lang w:val="ar-SA"/>
        </w:rPr>
        <w:t>01 · الملخص التنفيذي</w:t>
      </w:r>
    </w:p>
    <w:p>
      <w:pPr>
        <w:spacing w:before="0" w:after="120" w:line="317" w:lineRule="auto"/>
        <w:jc w:val="right"/>
        <w:bidi w:val="1"/>
      </w:pPr>
      <w:r>
        <w:rPr>
          <w:rFonts w:ascii="Arial" w:hAnsi="Arial" w:cs="Arial" w:eastAsia="Arial"/>
          <w:b/>
          <w:color w:val="12212E"/>
          <w:sz w:val="44"/>
          <w:rtl w:val="1"/>
          <w:lang w:val="ar-SA"/>
        </w:rPr>
        <w:t>منظومة واحدة، ورؤية أقرب إلى واقع العمل</w:t>
      </w:r>
    </w:p>
    <w:p>
      <w:pPr>
        <w:spacing w:before="0" w:after="160" w:line="317" w:lineRule="auto"/>
        <w:jc w:val="right"/>
        <w:bidi w:val="1"/>
      </w:pPr>
      <w:r>
        <w:rPr>
          <w:rFonts w:ascii="Arial" w:hAnsi="Arial" w:cs="Arial" w:eastAsia="Arial"/>
          <w:b w:val="0"/>
          <w:color w:val="394B59"/>
          <w:sz w:val="21"/>
          <w:rtl w:val="1"/>
          <w:lang w:val="ar-SA"/>
        </w:rPr>
        <w:t>عندما تتوزع بيانات المنشأة بين ملفات وبرامج متعددة، يصبح الوصول إلى صورة موحّدة عن المبيعات والمخزون والتكاليف والتحصيل أكثر صعوبة. يقدّم زاكود إطارًا لربط العمليات اليومية والبيانات المالية في منصة واحدة، بما يساعد فرق العمل والإدارة على المتابعة واتخاذ القرار على أساس معلومات أكثر تنظيمًا.</w:t>
      </w:r>
    </w:p>
    <w:tbl>
      <w:tblPr>
        <w:tblW w:type="auto" w:w="0"/>
        <w:tblLook w:firstColumn="1" w:firstRow="1" w:lastColumn="0" w:lastRow="0" w:noHBand="0" w:noVBand="1" w:val="04A0"/>
        <w:bidiVisual w:val="1"/>
        <w:jc w:val="center"/>
        <w:tblBorders>
          <w:top w:val="single" w:sz="5" w:color="DCE5E9"/>
          <w:left w:val="single" w:sz="5" w:color="DCE5E9"/>
          <w:bottom w:val="single" w:sz="5" w:color="DCE5E9"/>
          <w:right w:val="single" w:sz="5" w:color="DCE5E9"/>
          <w:insideH w:val="single" w:sz="5" w:color="DCE5E9"/>
          <w:insideV w:val="single" w:sz="5" w:color="DCE5E9"/>
        </w:tblBorders>
      </w:tblPr>
      <w:tblGrid>
        <w:gridCol w:w="10036"/>
      </w:tblGrid>
      <w:tr>
        <w:tc>
          <w:tcPr>
            <w:tcW w:type="dxa" w:w="10036"/>
            <w:shd w:fill="EFFAF5"/>
            <w:tcMar>
              <w:top w:w="150" w:type="dxa"/>
              <w:start w:w="190" w:type="dxa"/>
              <w:bottom w:w="150" w:type="dxa"/>
              <w:end w:w="190" w:type="dxa"/>
            </w:tcMar>
          </w:tcPr>
          <w:p>
            <w:pPr>
              <w:spacing w:after="0"/>
              <w:jc w:val="right"/>
              <w:bidi w:val="1"/>
            </w:pPr>
            <w:r>
              <w:rPr>
                <w:rFonts w:ascii="Arial" w:hAnsi="Arial" w:cs="Arial" w:eastAsia="Arial"/>
                <w:b/>
                <w:color w:val="075B49"/>
                <w:sz w:val="21"/>
                <w:rtl w:val="1"/>
                <w:lang w:val="ar-SA"/>
              </w:rPr>
              <w:t xml:space="preserve">فكرة زاكود: </w:t>
            </w:r>
            <w:r>
              <w:rPr>
                <w:rFonts w:ascii="Arial" w:hAnsi="Arial" w:cs="Arial" w:eastAsia="Arial"/>
                <w:b w:val="0"/>
                <w:color w:val="394B59"/>
                <w:sz w:val="20"/>
                <w:rtl w:val="1"/>
                <w:lang w:val="ar-SA"/>
              </w:rPr>
              <w:t>تسجيل العملية في مسارها التشغيلي وربط أثرها بالوحدات ذات العلاقة، مع صلاحيات وتقارير تتناسب مع هيكل المنشأة وإجراءاتها.</w:t>
            </w:r>
          </w:p>
        </w:tc>
      </w:tr>
    </w:tbl>
    <w:p>
      <w:pPr>
        <w:spacing w:before="200" w:after="120" w:line="317" w:lineRule="auto"/>
        <w:jc w:val="right"/>
        <w:bidi w:val="1"/>
      </w:pPr>
      <w:r>
        <w:rPr>
          <w:rFonts w:ascii="Arial" w:hAnsi="Arial" w:cs="Arial" w:eastAsia="Arial"/>
          <w:b/>
          <w:color w:val="12212E"/>
          <w:sz w:val="26"/>
          <w:rtl w:val="1"/>
          <w:lang w:val="ar-SA"/>
        </w:rPr>
        <w:t>قيمة عملية للإدارة وفرق التشغيل</w:t>
      </w:r>
    </w:p>
    <w:tbl>
      <w:tblPr>
        <w:tblW w:type="auto" w:w="0"/>
        <w:jc w:val="center"/>
        <w:tblLayout w:type="fixed"/>
        <w:tblLook w:firstColumn="1" w:firstRow="1" w:lastColumn="0" w:lastRow="0" w:noHBand="0" w:noVBand="1" w:val="04A0"/>
        <w:bidiVisual w:val="1"/>
        <w:tblBorders>
          <w:top w:val="single" w:sz="5" w:color="DCE5E9"/>
          <w:left w:val="single" w:sz="5" w:color="DCE5E9"/>
          <w:bottom w:val="single" w:sz="5" w:color="DCE5E9"/>
          <w:right w:val="single" w:sz="5" w:color="DCE5E9"/>
          <w:insideH w:val="single" w:sz="5" w:color="DCE5E9"/>
          <w:insideV w:val="single" w:sz="5" w:color="DCE5E9"/>
        </w:tblBorders>
      </w:tblPr>
      <w:tblGrid>
        <w:gridCol w:w="4932"/>
        <w:gridCol w:w="4932"/>
      </w:tblGrid>
      <w:tr>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مصدر موحّد للمعلومة</w:t>
            </w:r>
          </w:p>
          <w:p>
            <w:pPr>
              <w:spacing w:after="0" w:line="288" w:lineRule="auto"/>
              <w:jc w:val="right"/>
              <w:bidi w:val="1"/>
            </w:pPr>
            <w:r>
              <w:rPr>
                <w:rFonts w:ascii="Arial" w:hAnsi="Arial" w:cs="Arial" w:eastAsia="Arial"/>
                <w:b w:val="0"/>
                <w:color w:val="394B59"/>
                <w:sz w:val="18"/>
                <w:rtl w:val="1"/>
                <w:lang w:val="ar-SA"/>
              </w:rPr>
              <w:t>ربط المستندات والحركات التشغيلية بالتقارير المالية والمخزنية ذات الصلة.</w:t>
            </w:r>
          </w:p>
        </w:tc>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رقابة بصلاحيات واضحة</w:t>
            </w:r>
          </w:p>
          <w:p>
            <w:pPr>
              <w:spacing w:after="0" w:line="288" w:lineRule="auto"/>
              <w:jc w:val="right"/>
              <w:bidi w:val="1"/>
            </w:pPr>
            <w:r>
              <w:rPr>
                <w:rFonts w:ascii="Arial" w:hAnsi="Arial" w:cs="Arial" w:eastAsia="Arial"/>
                <w:b w:val="0"/>
                <w:color w:val="394B59"/>
                <w:sz w:val="18"/>
                <w:rtl w:val="1"/>
                <w:lang w:val="ar-SA"/>
              </w:rPr>
              <w:t>تنظيم الوصول بحسب المستخدم والدور والفروع والوحدات المفعّلة.</w:t>
            </w:r>
          </w:p>
        </w:tc>
      </w:tr>
      <w:tr>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تقارير تدعم القرار</w:t>
            </w:r>
          </w:p>
          <w:p>
            <w:pPr>
              <w:spacing w:after="0" w:line="288" w:lineRule="auto"/>
              <w:jc w:val="right"/>
              <w:bidi w:val="1"/>
            </w:pPr>
            <w:r>
              <w:rPr>
                <w:rFonts w:ascii="Arial" w:hAnsi="Arial" w:cs="Arial" w:eastAsia="Arial"/>
                <w:b w:val="0"/>
                <w:color w:val="394B59"/>
                <w:sz w:val="18"/>
                <w:rtl w:val="1"/>
                <w:lang w:val="ar-SA"/>
              </w:rPr>
              <w:t>متابعة الأداء والأرصدة والحركة التشغيلية عبر التقارير ولوحات المؤشرات.</w:t>
            </w:r>
          </w:p>
        </w:tc>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نمو على مراحل</w:t>
            </w:r>
          </w:p>
          <w:p>
            <w:pPr>
              <w:spacing w:after="0" w:line="288" w:lineRule="auto"/>
              <w:jc w:val="right"/>
              <w:bidi w:val="1"/>
            </w:pPr>
            <w:r>
              <w:rPr>
                <w:rFonts w:ascii="Arial" w:hAnsi="Arial" w:cs="Arial" w:eastAsia="Arial"/>
                <w:b w:val="0"/>
                <w:color w:val="394B59"/>
                <w:sz w:val="18"/>
                <w:rtl w:val="1"/>
                <w:lang w:val="ar-SA"/>
              </w:rPr>
              <w:t>اختيار الوحدات المناسبة أولًا، ثم توسيع الاستخدام وفق الأولويات.</w:t>
            </w:r>
          </w:p>
        </w:tc>
      </w:tr>
    </w:tbl>
    <w:p>
      <w:pPr>
        <w:spacing w:before="0" w:after="20" w:line="317" w:lineRule="auto"/>
        <w:jc w:val="right"/>
        <w:bidi w:val="1"/>
      </w:pPr>
    </w:p>
    <w:p>
      <w:pPr>
        <w:spacing w:before="160" w:after="100" w:line="317" w:lineRule="auto"/>
        <w:jc w:val="right"/>
        <w:bidi w:val="1"/>
      </w:pPr>
      <w:r>
        <w:rPr>
          <w:rFonts w:ascii="Arial" w:hAnsi="Arial" w:cs="Arial" w:eastAsia="Arial"/>
          <w:b/>
          <w:color w:val="12212E"/>
          <w:sz w:val="26"/>
          <w:rtl w:val="1"/>
          <w:lang w:val="ar-SA"/>
        </w:rPr>
        <w:t>ما الذي يسعى النظام إلى تحسينه؟</w:t>
      </w:r>
    </w:p>
    <w:p>
      <w:pPr>
        <w:spacing w:after="40" w:line="293" w:lineRule="auto"/>
        <w:ind w:right="102" w:left="57"/>
        <w:jc w:val="right"/>
        <w:bidi w:val="1"/>
      </w:pPr>
      <w:r>
        <w:rPr>
          <w:rFonts w:ascii="Arial" w:hAnsi="Arial" w:cs="Arial" w:eastAsia="Arial"/>
          <w:b w:val="0"/>
          <w:color w:val="394B59"/>
          <w:sz w:val="19"/>
          <w:rtl w:val="1"/>
          <w:lang w:val="ar-SA"/>
        </w:rPr>
        <w:t>✓  تقليل تكرار إدخال البيانات بين الإدارات.</w:t>
      </w:r>
    </w:p>
    <w:p>
      <w:pPr>
        <w:spacing w:after="40" w:line="293" w:lineRule="auto"/>
        <w:ind w:right="102" w:left="57"/>
        <w:jc w:val="right"/>
        <w:bidi w:val="1"/>
      </w:pPr>
      <w:r>
        <w:rPr>
          <w:rFonts w:ascii="Arial" w:hAnsi="Arial" w:cs="Arial" w:eastAsia="Arial"/>
          <w:b w:val="0"/>
          <w:color w:val="394B59"/>
          <w:sz w:val="19"/>
          <w:rtl w:val="1"/>
          <w:lang w:val="ar-SA"/>
        </w:rPr>
        <w:t>✓  رفع وضوح دورة المستند من الإنشاء حتى الاعتماد والترحيل.</w:t>
      </w:r>
    </w:p>
    <w:p>
      <w:pPr>
        <w:spacing w:after="40" w:line="293" w:lineRule="auto"/>
        <w:ind w:right="102" w:left="57"/>
        <w:jc w:val="right"/>
        <w:bidi w:val="1"/>
      </w:pPr>
      <w:r>
        <w:rPr>
          <w:rFonts w:ascii="Arial" w:hAnsi="Arial" w:cs="Arial" w:eastAsia="Arial"/>
          <w:b w:val="0"/>
          <w:color w:val="394B59"/>
          <w:sz w:val="19"/>
          <w:rtl w:val="1"/>
          <w:lang w:val="ar-SA"/>
        </w:rPr>
        <w:t>✓  تحسين متابعة المخزون والتكلفة والالتزامات المالية.</w:t>
      </w:r>
    </w:p>
    <w:p>
      <w:pPr>
        <w:spacing w:after="40" w:line="293" w:lineRule="auto"/>
        <w:ind w:right="102" w:left="57"/>
        <w:jc w:val="right"/>
        <w:bidi w:val="1"/>
      </w:pPr>
      <w:r>
        <w:rPr>
          <w:rFonts w:ascii="Arial" w:hAnsi="Arial" w:cs="Arial" w:eastAsia="Arial"/>
          <w:b w:val="0"/>
          <w:color w:val="394B59"/>
          <w:sz w:val="19"/>
          <w:rtl w:val="1"/>
          <w:lang w:val="ar-SA"/>
        </w:rPr>
        <w:t>✓  توفير بيانات إدارية أكثر انتظامًا للمراجعة والتخطيط.</w:t>
      </w:r>
    </w:p>
    <w:p>
      <w:pPr>
        <w:spacing w:before="60" w:after="0" w:line="317" w:lineRule="auto"/>
        <w:jc w:val="right"/>
        <w:bidi w:val="1"/>
      </w:pPr>
      <w:r>
        <w:rPr>
          <w:rFonts w:ascii="Arial" w:hAnsi="Arial" w:cs="Arial" w:eastAsia="Arial"/>
          <w:b w:val="0"/>
          <w:color w:val="71808C"/>
          <w:sz w:val="17"/>
          <w:rtl w:val="1"/>
          <w:lang w:val="ar-SA"/>
        </w:rPr>
        <w:t>تختلف النتائج بحسب جودة البيانات ودرجة التهيئة والتزام فرق العمل بالإجراءات المعتمدة.</w:t>
      </w:r>
    </w:p>
    <w:p>
      <w:r>
        <w:br w:type="page"/>
      </w:r>
    </w:p>
    <w:p>
      <w:pPr>
        <w:spacing w:before="0" w:after="60" w:line="317" w:lineRule="auto"/>
        <w:jc w:val="right"/>
        <w:bidi w:val="1"/>
      </w:pPr>
      <w:r>
        <w:rPr>
          <w:rFonts w:ascii="Arial" w:hAnsi="Arial" w:cs="Arial" w:eastAsia="Arial"/>
          <w:b/>
          <w:color w:val="078466"/>
          <w:sz w:val="19"/>
          <w:rtl w:val="1"/>
          <w:lang w:val="ar-SA"/>
        </w:rPr>
        <w:t>02 · الوحدات الأساسية</w:t>
      </w:r>
    </w:p>
    <w:p>
      <w:pPr>
        <w:spacing w:before="0" w:after="120" w:line="317" w:lineRule="auto"/>
        <w:jc w:val="right"/>
        <w:bidi w:val="1"/>
      </w:pPr>
      <w:r>
        <w:rPr>
          <w:rFonts w:ascii="Arial" w:hAnsi="Arial" w:cs="Arial" w:eastAsia="Arial"/>
          <w:b/>
          <w:color w:val="12212E"/>
          <w:sz w:val="44"/>
          <w:rtl w:val="1"/>
          <w:lang w:val="ar-SA"/>
        </w:rPr>
        <w:t>وحدات مترابطة تغطي دورة العمل</w:t>
      </w:r>
    </w:p>
    <w:p>
      <w:pPr>
        <w:spacing w:before="0" w:after="160" w:line="317" w:lineRule="auto"/>
        <w:jc w:val="right"/>
        <w:bidi w:val="1"/>
      </w:pPr>
      <w:r>
        <w:rPr>
          <w:rFonts w:ascii="Arial" w:hAnsi="Arial" w:cs="Arial" w:eastAsia="Arial"/>
          <w:b w:val="0"/>
          <w:color w:val="394B59"/>
          <w:sz w:val="21"/>
          <w:rtl w:val="1"/>
          <w:lang w:val="ar-SA"/>
        </w:rPr>
        <w:t>يُختار نطاق الوحدات وتفاصيل الإعداد بعد فهم إجراءات المنشأة، ويمكن البدء بالأولويات التشغيلية ثم التوسع المنظم.</w:t>
      </w:r>
    </w:p>
    <w:tbl>
      <w:tblPr>
        <w:tblW w:type="auto" w:w="0"/>
        <w:jc w:val="center"/>
        <w:tblLayout w:type="fixed"/>
        <w:tblLook w:firstColumn="1" w:firstRow="1" w:lastColumn="0" w:lastRow="0" w:noHBand="0" w:noVBand="1" w:val="04A0"/>
        <w:bidiVisual w:val="1"/>
        <w:tblBorders>
          <w:top w:val="single" w:sz="5" w:color="DCE5E9"/>
          <w:left w:val="single" w:sz="5" w:color="DCE5E9"/>
          <w:bottom w:val="single" w:sz="5" w:color="DCE5E9"/>
          <w:right w:val="single" w:sz="5" w:color="DCE5E9"/>
          <w:insideH w:val="single" w:sz="5" w:color="DCE5E9"/>
          <w:insideV w:val="single" w:sz="5" w:color="DCE5E9"/>
        </w:tblBorders>
      </w:tblPr>
      <w:tblGrid>
        <w:gridCol w:w="4932"/>
        <w:gridCol w:w="4932"/>
      </w:tblGrid>
      <w:tr>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المحاسبة والإدارة المالية</w:t>
            </w:r>
          </w:p>
          <w:p>
            <w:pPr>
              <w:spacing w:after="0" w:line="288" w:lineRule="auto"/>
              <w:jc w:val="right"/>
              <w:bidi w:val="1"/>
            </w:pPr>
            <w:r>
              <w:rPr>
                <w:rFonts w:ascii="Arial" w:hAnsi="Arial" w:cs="Arial" w:eastAsia="Arial"/>
                <w:b w:val="0"/>
                <w:color w:val="394B59"/>
                <w:sz w:val="18"/>
                <w:rtl w:val="1"/>
                <w:lang w:val="ar-SA"/>
              </w:rPr>
              <w:t>دليل حسابات، قيود، خزائن وبنوك، ذمم، مراكز تكلفة، وتقارير مالية.</w:t>
            </w:r>
          </w:p>
        </w:tc>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المبيعات والعملاء</w:t>
            </w:r>
          </w:p>
          <w:p>
            <w:pPr>
              <w:spacing w:after="0" w:line="288" w:lineRule="auto"/>
              <w:jc w:val="right"/>
              <w:bidi w:val="1"/>
            </w:pPr>
            <w:r>
              <w:rPr>
                <w:rFonts w:ascii="Arial" w:hAnsi="Arial" w:cs="Arial" w:eastAsia="Arial"/>
                <w:b w:val="0"/>
                <w:color w:val="394B59"/>
                <w:sz w:val="18"/>
                <w:rtl w:val="1"/>
                <w:lang w:val="ar-SA"/>
              </w:rPr>
              <w:t>عروض وفواتير ومرتجعات، متابعة العملاء، وربط المبيعات بالمخزون والتحصيل.</w:t>
            </w:r>
          </w:p>
        </w:tc>
      </w:tr>
      <w:tr>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المشتريات والموردون</w:t>
            </w:r>
          </w:p>
          <w:p>
            <w:pPr>
              <w:spacing w:after="0" w:line="288" w:lineRule="auto"/>
              <w:jc w:val="right"/>
              <w:bidi w:val="1"/>
            </w:pPr>
            <w:r>
              <w:rPr>
                <w:rFonts w:ascii="Arial" w:hAnsi="Arial" w:cs="Arial" w:eastAsia="Arial"/>
                <w:b w:val="0"/>
                <w:color w:val="394B59"/>
                <w:sz w:val="18"/>
                <w:rtl w:val="1"/>
                <w:lang w:val="ar-SA"/>
              </w:rPr>
              <w:t>إدارة مستندات الشراء والموردين والتكاليف المرتبطة بالتوريد بحسب الإعداد.</w:t>
            </w:r>
          </w:p>
        </w:tc>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المخزون والمستودعات</w:t>
            </w:r>
          </w:p>
          <w:p>
            <w:pPr>
              <w:spacing w:after="0" w:line="288" w:lineRule="auto"/>
              <w:jc w:val="right"/>
              <w:bidi w:val="1"/>
            </w:pPr>
            <w:r>
              <w:rPr>
                <w:rFonts w:ascii="Arial" w:hAnsi="Arial" w:cs="Arial" w:eastAsia="Arial"/>
                <w:b w:val="0"/>
                <w:color w:val="394B59"/>
                <w:sz w:val="18"/>
                <w:rtl w:val="1"/>
                <w:lang w:val="ar-SA"/>
              </w:rPr>
              <w:t>أصناف ووحدات وباركود، مستودعات وفروع، وجرد وتتبع لحركة الأصناف.</w:t>
            </w:r>
          </w:p>
        </w:tc>
      </w:tr>
      <w:tr>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الإنتاج والتصنيع</w:t>
            </w:r>
          </w:p>
          <w:p>
            <w:pPr>
              <w:spacing w:after="0" w:line="288" w:lineRule="auto"/>
              <w:jc w:val="right"/>
              <w:bidi w:val="1"/>
            </w:pPr>
            <w:r>
              <w:rPr>
                <w:rFonts w:ascii="Arial" w:hAnsi="Arial" w:cs="Arial" w:eastAsia="Arial"/>
                <w:b w:val="0"/>
                <w:color w:val="394B59"/>
                <w:sz w:val="18"/>
                <w:rtl w:val="1"/>
                <w:lang w:val="ar-SA"/>
              </w:rPr>
              <w:t>أوامر إنتاج ومكوّنات تصنيع، مواد تحت التشغيل، وتكلفة الإنتاج والهالك.</w:t>
            </w:r>
          </w:p>
        </w:tc>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المشاريع والمقاولات</w:t>
            </w:r>
          </w:p>
          <w:p>
            <w:pPr>
              <w:spacing w:after="0" w:line="288" w:lineRule="auto"/>
              <w:jc w:val="right"/>
              <w:bidi w:val="1"/>
            </w:pPr>
            <w:r>
              <w:rPr>
                <w:rFonts w:ascii="Arial" w:hAnsi="Arial" w:cs="Arial" w:eastAsia="Arial"/>
                <w:b w:val="0"/>
                <w:color w:val="394B59"/>
                <w:sz w:val="18"/>
                <w:rtl w:val="1"/>
                <w:lang w:val="ar-SA"/>
              </w:rPr>
              <w:t>متابعة المشاريع والعقود ومستخلصات الأعمال والتكاليف ومراكز التكلفة.</w:t>
            </w:r>
          </w:p>
        </w:tc>
      </w:tr>
      <w:tr>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الموارد البشرية والإدارة</w:t>
            </w:r>
          </w:p>
          <w:p>
            <w:pPr>
              <w:spacing w:after="0" w:line="288" w:lineRule="auto"/>
              <w:jc w:val="right"/>
              <w:bidi w:val="1"/>
            </w:pPr>
            <w:r>
              <w:rPr>
                <w:rFonts w:ascii="Arial" w:hAnsi="Arial" w:cs="Arial" w:eastAsia="Arial"/>
                <w:b w:val="0"/>
                <w:color w:val="394B59"/>
                <w:sz w:val="18"/>
                <w:rtl w:val="1"/>
                <w:lang w:val="ar-SA"/>
              </w:rPr>
              <w:t>إدارة بيانات الموظفين ووظائف الموارد البشرية المتاحة بحسب نطاق التفعيل.</w:t>
            </w:r>
          </w:p>
        </w:tc>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نقاط البيع والتقارير</w:t>
            </w:r>
          </w:p>
          <w:p>
            <w:pPr>
              <w:spacing w:after="0" w:line="288" w:lineRule="auto"/>
              <w:jc w:val="right"/>
              <w:bidi w:val="1"/>
            </w:pPr>
            <w:r>
              <w:rPr>
                <w:rFonts w:ascii="Arial" w:hAnsi="Arial" w:cs="Arial" w:eastAsia="Arial"/>
                <w:b w:val="0"/>
                <w:color w:val="394B59"/>
                <w:sz w:val="18"/>
                <w:rtl w:val="1"/>
                <w:lang w:val="ar-SA"/>
              </w:rPr>
              <w:t>دعم عمليات البيع المباشر، مع تقارير ولوحات مؤشرات لمتابعة الأداء.</w:t>
            </w:r>
          </w:p>
        </w:tc>
      </w:tr>
    </w:tbl>
    <w:p>
      <w:pPr>
        <w:spacing w:before="0" w:after="20" w:line="317" w:lineRule="auto"/>
        <w:jc w:val="right"/>
        <w:bidi w:val="1"/>
      </w:pPr>
    </w:p>
    <w:tbl>
      <w:tblPr>
        <w:tblW w:type="auto" w:w="0"/>
        <w:jc w:val="center"/>
        <w:tblLook w:firstColumn="1" w:firstRow="1" w:lastColumn="0" w:lastRow="0" w:noHBand="0" w:noVBand="1" w:val="04A0"/>
        <w:bidiVisual w:val="1"/>
        <w:tblBorders>
          <w:top w:val="single" w:sz="5" w:color="DCE5E9"/>
          <w:left w:val="single" w:sz="5" w:color="DCE5E9"/>
          <w:bottom w:val="single" w:sz="5" w:color="DCE5E9"/>
          <w:right w:val="single" w:sz="5" w:color="DCE5E9"/>
          <w:insideH w:val="single" w:sz="5" w:color="DCE5E9"/>
          <w:insideV w:val="single" w:sz="5" w:color="DCE5E9"/>
        </w:tblBorders>
      </w:tblPr>
      <w:tblGrid>
        <w:gridCol w:w="10036"/>
      </w:tblGrid>
      <w:tr>
        <w:tc>
          <w:tcPr>
            <w:tcW w:type="dxa" w:w="10036"/>
            <w:shd w:fill="EFFAF5"/>
            <w:tcMar>
              <w:top w:w="130" w:type="dxa"/>
              <w:start w:w="170" w:type="dxa"/>
              <w:bottom w:w="130" w:type="dxa"/>
              <w:end w:w="170" w:type="dxa"/>
            </w:tcMar>
          </w:tcPr>
          <w:p>
            <w:pPr>
              <w:spacing w:after="0"/>
              <w:jc w:val="right"/>
              <w:bidi w:val="1"/>
            </w:pPr>
            <w:r>
              <w:rPr>
                <w:rFonts w:ascii="Arial" w:hAnsi="Arial" w:cs="Arial" w:eastAsia="Arial"/>
                <w:b/>
                <w:color w:val="075B49"/>
                <w:sz w:val="19"/>
                <w:rtl w:val="1"/>
                <w:lang w:val="ar-SA"/>
              </w:rPr>
              <w:t xml:space="preserve">الفوترة الإلكترونية والتكامل: </w:t>
            </w:r>
            <w:r>
              <w:rPr>
                <w:rFonts w:ascii="Arial" w:hAnsi="Arial" w:cs="Arial" w:eastAsia="Arial"/>
                <w:b w:val="0"/>
                <w:color w:val="394B59"/>
                <w:sz w:val="18"/>
                <w:rtl w:val="1"/>
                <w:lang w:val="ar-SA"/>
              </w:rPr>
              <w:t>تتحدد المتطلبات حسب الدولة والنشاط والتهيئة؛ ويشمل نطاق زاكود دعم مسارات الفوترة الإلكترونية للسوق السعودي، مع بحث التكاملات المحلية الأخرى ضمن تحليل المشروع.</w:t>
            </w:r>
          </w:p>
        </w:tc>
      </w:tr>
    </w:tbl>
    <w:p>
      <w:pPr>
        <w:spacing w:before="80" w:after="0" w:line="317" w:lineRule="auto"/>
        <w:jc w:val="right"/>
        <w:bidi w:val="1"/>
      </w:pPr>
      <w:r>
        <w:rPr>
          <w:rFonts w:ascii="Arial" w:hAnsi="Arial" w:cs="Arial" w:eastAsia="Arial"/>
          <w:b w:val="0"/>
          <w:color w:val="71808C"/>
          <w:sz w:val="17"/>
          <w:rtl w:val="1"/>
          <w:lang w:val="ar-SA"/>
        </w:rPr>
        <w:t>توافر كل وحدة أو تكامل يخضع للباقة المختارة والبلد ومتطلبات الجهة ذات العلاقة.</w:t>
      </w:r>
    </w:p>
    <w:p>
      <w:r>
        <w:br w:type="page"/>
      </w:r>
    </w:p>
    <w:p>
      <w:pPr>
        <w:spacing w:before="0" w:after="60" w:line="317" w:lineRule="auto"/>
        <w:jc w:val="right"/>
        <w:bidi w:val="1"/>
      </w:pPr>
      <w:r>
        <w:rPr>
          <w:rFonts w:ascii="Arial" w:hAnsi="Arial" w:cs="Arial" w:eastAsia="Arial"/>
          <w:b/>
          <w:color w:val="078466"/>
          <w:sz w:val="19"/>
          <w:rtl w:val="1"/>
          <w:lang w:val="ar-SA"/>
        </w:rPr>
        <w:t>03 · تطبيقات حسب النشاط</w:t>
      </w:r>
    </w:p>
    <w:p>
      <w:pPr>
        <w:spacing w:before="0" w:after="120" w:line="317" w:lineRule="auto"/>
        <w:jc w:val="right"/>
        <w:bidi w:val="1"/>
      </w:pPr>
      <w:r>
        <w:rPr>
          <w:rFonts w:ascii="Arial" w:hAnsi="Arial" w:cs="Arial" w:eastAsia="Arial"/>
          <w:b/>
          <w:color w:val="12212E"/>
          <w:sz w:val="44"/>
          <w:rtl w:val="1"/>
          <w:lang w:val="ar-SA"/>
        </w:rPr>
        <w:t>نظام واحد، وسيناريوهات تشغيل مختلفة</w:t>
      </w:r>
    </w:p>
    <w:p>
      <w:pPr>
        <w:spacing w:before="0" w:after="160" w:line="317" w:lineRule="auto"/>
        <w:jc w:val="right"/>
        <w:bidi w:val="1"/>
      </w:pPr>
      <w:r>
        <w:rPr>
          <w:rFonts w:ascii="Arial" w:hAnsi="Arial" w:cs="Arial" w:eastAsia="Arial"/>
          <w:b w:val="0"/>
          <w:color w:val="394B59"/>
          <w:sz w:val="21"/>
          <w:rtl w:val="1"/>
          <w:lang w:val="ar-SA"/>
        </w:rPr>
        <w:t>تتغير الأولويات من نشاط إلى آخر؛ لذلك تُبنى تهيئة زاكود حول دورة العمل الفعلية، لا حول قالب واحد مفروض على الجميع.</w:t>
      </w:r>
    </w:p>
    <w:tbl>
      <w:tblPr>
        <w:tblW w:type="auto" w:w="0"/>
        <w:jc w:val="center"/>
        <w:tblLayout w:type="fixed"/>
        <w:tblLook w:firstColumn="1" w:firstRow="1" w:lastColumn="0" w:lastRow="0" w:noHBand="0" w:noVBand="1" w:val="04A0"/>
        <w:bidiVisual w:val="1"/>
        <w:tblBorders>
          <w:top w:val="single" w:sz="5" w:color="DCE5E9"/>
          <w:left w:val="single" w:sz="5" w:color="DCE5E9"/>
          <w:bottom w:val="single" w:sz="5" w:color="DCE5E9"/>
          <w:right w:val="single" w:sz="5" w:color="DCE5E9"/>
          <w:insideH w:val="single" w:sz="5" w:color="DCE5E9"/>
          <w:insideV w:val="single" w:sz="5" w:color="DCE5E9"/>
        </w:tblBorders>
      </w:tblPr>
      <w:tblGrid>
        <w:gridCol w:w="4932"/>
        <w:gridCol w:w="4932"/>
      </w:tblGrid>
      <w:tr>
        <w:tc>
          <w:tcPr>
            <w:tcW w:type="dxa" w:w="5018"/>
            <w:vAlign w:val="center"/>
            <w:shd w:fill="F8FBFA"/>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للتجارة والتوزيع</w:t>
            </w:r>
          </w:p>
          <w:p>
            <w:pPr>
              <w:spacing w:after="0" w:line="288" w:lineRule="auto"/>
              <w:jc w:val="right"/>
              <w:bidi w:val="1"/>
            </w:pPr>
            <w:r>
              <w:rPr>
                <w:rFonts w:ascii="Arial" w:hAnsi="Arial" w:cs="Arial" w:eastAsia="Arial"/>
                <w:b w:val="0"/>
                <w:color w:val="394B59"/>
                <w:sz w:val="18"/>
                <w:rtl w:val="1"/>
                <w:lang w:val="ar-SA"/>
              </w:rPr>
              <w:t>• إدارة الأصناف والأسعار والمستودعات.</w:t>
              <w:br/>
              <w:t>• متابعة المبيعات والمشتريات والعملاء والموردين.</w:t>
              <w:br/>
              <w:t>• نقاط بيع وتقارير عن الحركة والأرصدة.</w:t>
            </w:r>
          </w:p>
        </w:tc>
        <w:tc>
          <w:tcPr>
            <w:tcW w:type="dxa" w:w="5018"/>
            <w:vAlign w:val="center"/>
            <w:shd w:fill="F8FBFA"/>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للصناعة والإنتاج</w:t>
            </w:r>
          </w:p>
          <w:p>
            <w:pPr>
              <w:spacing w:after="0" w:line="288" w:lineRule="auto"/>
              <w:jc w:val="right"/>
              <w:bidi w:val="1"/>
            </w:pPr>
            <w:r>
              <w:rPr>
                <w:rFonts w:ascii="Arial" w:hAnsi="Arial" w:cs="Arial" w:eastAsia="Arial"/>
                <w:b w:val="0"/>
                <w:color w:val="394B59"/>
                <w:sz w:val="18"/>
                <w:rtl w:val="1"/>
                <w:lang w:val="ar-SA"/>
              </w:rPr>
              <w:t>• ربط الخامات بأوامر الإنتاج ومكوّنات التصنيع.</w:t>
              <w:br/>
              <w:t>• متابعة المواد تحت التشغيل والمنتج النهائي.</w:t>
              <w:br/>
              <w:t>• متابعة تكلفة الأمر والهالك وفق إعدادات المنشأة.</w:t>
            </w:r>
          </w:p>
        </w:tc>
      </w:tr>
      <w:tr>
        <w:tc>
          <w:tcPr>
            <w:tcW w:type="dxa" w:w="5018"/>
            <w:vAlign w:val="center"/>
            <w:shd w:fill="F8FBFA"/>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للمقاولات والمشاريع</w:t>
            </w:r>
          </w:p>
          <w:p>
            <w:pPr>
              <w:spacing w:after="0" w:line="288" w:lineRule="auto"/>
              <w:jc w:val="right"/>
              <w:bidi w:val="1"/>
            </w:pPr>
            <w:r>
              <w:rPr>
                <w:rFonts w:ascii="Arial" w:hAnsi="Arial" w:cs="Arial" w:eastAsia="Arial"/>
                <w:b w:val="0"/>
                <w:color w:val="394B59"/>
                <w:sz w:val="18"/>
                <w:rtl w:val="1"/>
                <w:lang w:val="ar-SA"/>
              </w:rPr>
              <w:t>• إدارة المشاريع والعقود وبنود الأعمال.</w:t>
              <w:br/>
              <w:t>• متابعة المستخلصات والدفعات والتكاليف.</w:t>
              <w:br/>
              <w:t>• ربط النتائج بمراكز التكلفة والتقارير المالية.</w:t>
            </w:r>
          </w:p>
        </w:tc>
        <w:tc>
          <w:tcPr>
            <w:tcW w:type="dxa" w:w="5018"/>
            <w:vAlign w:val="center"/>
            <w:shd w:fill="F8FBFA"/>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للأنشطة الخدمية</w:t>
            </w:r>
          </w:p>
          <w:p>
            <w:pPr>
              <w:spacing w:after="0" w:line="288" w:lineRule="auto"/>
              <w:jc w:val="right"/>
              <w:bidi w:val="1"/>
            </w:pPr>
            <w:r>
              <w:rPr>
                <w:rFonts w:ascii="Arial" w:hAnsi="Arial" w:cs="Arial" w:eastAsia="Arial"/>
                <w:b w:val="0"/>
                <w:color w:val="394B59"/>
                <w:sz w:val="18"/>
                <w:rtl w:val="1"/>
                <w:lang w:val="ar-SA"/>
              </w:rPr>
              <w:t>• تنظيم بيانات العملاء والعقود والخدمات.</w:t>
              <w:br/>
              <w:t>• ربط الفوترة والتحصيل والمصروفات بالمحاسبة.</w:t>
              <w:br/>
              <w:t>• متابعة الموظفين والتقارير بحسب صلاحيات العمل.</w:t>
            </w:r>
          </w:p>
        </w:tc>
      </w:tr>
    </w:tbl>
    <w:p>
      <w:pPr>
        <w:spacing w:before="0" w:after="20" w:line="317" w:lineRule="auto"/>
        <w:jc w:val="right"/>
        <w:bidi w:val="1"/>
      </w:pPr>
    </w:p>
    <w:tbl>
      <w:tblPr>
        <w:tblW w:type="auto" w:w="0"/>
        <w:jc w:val="center"/>
        <w:tblLook w:firstColumn="1" w:firstRow="1" w:lastColumn="0" w:lastRow="0" w:noHBand="0" w:noVBand="1" w:val="04A0"/>
        <w:bidiVisual w:val="1"/>
        <w:tblBorders>
          <w:top w:val="single" w:sz="5" w:color="DCE5E9"/>
          <w:left w:val="single" w:sz="5" w:color="DCE5E9"/>
          <w:bottom w:val="single" w:sz="5" w:color="DCE5E9"/>
          <w:right w:val="single" w:sz="5" w:color="DCE5E9"/>
          <w:insideH w:val="single" w:sz="5" w:color="DCE5E9"/>
          <w:insideV w:val="single" w:sz="5" w:color="DCE5E9"/>
        </w:tblBorders>
      </w:tblPr>
      <w:tblGrid>
        <w:gridCol w:w="10036"/>
      </w:tblGrid>
      <w:tr>
        <w:tc>
          <w:tcPr>
            <w:tcW w:type="dxa" w:w="10036"/>
            <w:shd w:fill="EFFAF5"/>
            <w:tcMar>
              <w:top w:w="120" w:type="dxa"/>
              <w:start w:w="170" w:type="dxa"/>
              <w:bottom w:w="120" w:type="dxa"/>
              <w:end w:w="170" w:type="dxa"/>
            </w:tcMar>
          </w:tcPr>
          <w:p>
            <w:pPr>
              <w:spacing w:after="0"/>
              <w:jc w:val="right"/>
              <w:bidi w:val="1"/>
            </w:pPr>
            <w:r>
              <w:rPr>
                <w:rFonts w:ascii="Arial" w:hAnsi="Arial" w:cs="Arial" w:eastAsia="Arial"/>
                <w:b/>
                <w:color w:val="075B49"/>
                <w:sz w:val="19"/>
                <w:rtl w:val="1"/>
                <w:lang w:val="ar-SA"/>
              </w:rPr>
              <w:t xml:space="preserve">ملاحظة نطاق: </w:t>
            </w:r>
            <w:r>
              <w:rPr>
                <w:rFonts w:ascii="Arial" w:hAnsi="Arial" w:cs="Arial" w:eastAsia="Arial"/>
                <w:b w:val="0"/>
                <w:color w:val="394B59"/>
                <w:sz w:val="18"/>
                <w:rtl w:val="1"/>
                <w:lang w:val="ar-SA"/>
              </w:rPr>
              <w:t>هذه أمثلة توضيحية لاختيار الوحدات؛ ويُعتمد الوصف النهائي لما هو متاح ومطلوب بعد جلسة تحليل الاحتياج.</w:t>
            </w:r>
          </w:p>
        </w:tc>
      </w:tr>
    </w:tbl>
    <w:p>
      <w:pPr>
        <w:spacing w:before="180" w:after="100" w:line="317" w:lineRule="auto"/>
        <w:jc w:val="right"/>
        <w:bidi w:val="1"/>
      </w:pPr>
      <w:r>
        <w:rPr>
          <w:rFonts w:ascii="Arial" w:hAnsi="Arial" w:cs="Arial" w:eastAsia="Arial"/>
          <w:b/>
          <w:color w:val="12212E"/>
          <w:sz w:val="26"/>
          <w:rtl w:val="1"/>
          <w:lang w:val="ar-SA"/>
        </w:rPr>
        <w:t>أمثلة على نقاط الربط</w:t>
      </w:r>
    </w:p>
    <w:tbl>
      <w:tblPr>
        <w:tblW w:type="auto" w:w="0"/>
        <w:jc w:val="center"/>
        <w:tblLayout w:type="fixed"/>
        <w:tblLook w:firstColumn="1" w:firstRow="1" w:lastColumn="0" w:lastRow="0" w:noHBand="0" w:noVBand="1" w:val="04A0"/>
        <w:bidiVisual w:val="1"/>
        <w:tblBorders>
          <w:top w:val="single" w:sz="5" w:color="DCE5E9"/>
          <w:left w:val="single" w:sz="5" w:color="DCE5E9"/>
          <w:bottom w:val="single" w:sz="5" w:color="DCE5E9"/>
          <w:right w:val="single" w:sz="5" w:color="DCE5E9"/>
          <w:insideH w:val="single" w:sz="5" w:color="DCE5E9"/>
          <w:insideV w:val="single" w:sz="5" w:color="DCE5E9"/>
        </w:tblBorders>
      </w:tblPr>
      <w:tblGrid>
        <w:gridCol w:w="4932"/>
        <w:gridCol w:w="4932"/>
      </w:tblGrid>
      <w:tr>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المستندات والقيود</w:t>
            </w:r>
          </w:p>
          <w:p>
            <w:pPr>
              <w:spacing w:after="0" w:line="288" w:lineRule="auto"/>
              <w:jc w:val="right"/>
              <w:bidi w:val="1"/>
            </w:pPr>
            <w:r>
              <w:rPr>
                <w:rFonts w:ascii="Arial" w:hAnsi="Arial" w:cs="Arial" w:eastAsia="Arial"/>
                <w:b w:val="0"/>
                <w:color w:val="394B59"/>
                <w:sz w:val="18"/>
                <w:rtl w:val="1"/>
                <w:lang w:val="ar-SA"/>
              </w:rPr>
              <w:t>ربط العمليات المالية بمستنداتها ومراحلها.</w:t>
            </w:r>
          </w:p>
        </w:tc>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المخزون والتكلفة</w:t>
            </w:r>
          </w:p>
          <w:p>
            <w:pPr>
              <w:spacing w:after="0" w:line="288" w:lineRule="auto"/>
              <w:jc w:val="right"/>
              <w:bidi w:val="1"/>
            </w:pPr>
            <w:r>
              <w:rPr>
                <w:rFonts w:ascii="Arial" w:hAnsi="Arial" w:cs="Arial" w:eastAsia="Arial"/>
                <w:b w:val="0"/>
                <w:color w:val="394B59"/>
                <w:sz w:val="18"/>
                <w:rtl w:val="1"/>
                <w:lang w:val="ar-SA"/>
              </w:rPr>
              <w:t>قراءة أثر الحركة على الرصيد والتكلفة.</w:t>
            </w:r>
          </w:p>
        </w:tc>
      </w:tr>
      <w:tr>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الفروع والصلاحيات</w:t>
            </w:r>
          </w:p>
          <w:p>
            <w:pPr>
              <w:spacing w:after="0" w:line="288" w:lineRule="auto"/>
              <w:jc w:val="right"/>
              <w:bidi w:val="1"/>
            </w:pPr>
            <w:r>
              <w:rPr>
                <w:rFonts w:ascii="Arial" w:hAnsi="Arial" w:cs="Arial" w:eastAsia="Arial"/>
                <w:b w:val="0"/>
                <w:color w:val="394B59"/>
                <w:sz w:val="18"/>
                <w:rtl w:val="1"/>
                <w:lang w:val="ar-SA"/>
              </w:rPr>
              <w:t>تنظيم الوصول حسب هيكل المنشأة.</w:t>
            </w:r>
          </w:p>
        </w:tc>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الإدارة والتقارير</w:t>
            </w:r>
          </w:p>
          <w:p>
            <w:pPr>
              <w:spacing w:after="0" w:line="288" w:lineRule="auto"/>
              <w:jc w:val="right"/>
              <w:bidi w:val="1"/>
            </w:pPr>
            <w:r>
              <w:rPr>
                <w:rFonts w:ascii="Arial" w:hAnsi="Arial" w:cs="Arial" w:eastAsia="Arial"/>
                <w:b w:val="0"/>
                <w:color w:val="394B59"/>
                <w:sz w:val="18"/>
                <w:rtl w:val="1"/>
                <w:lang w:val="ar-SA"/>
              </w:rPr>
              <w:t>متابعة المؤشرات ذات الأولوية للإدارة.</w:t>
            </w:r>
          </w:p>
        </w:tc>
      </w:tr>
    </w:tbl>
    <w:p>
      <w:pPr>
        <w:spacing w:before="0" w:after="20" w:line="317" w:lineRule="auto"/>
        <w:jc w:val="right"/>
        <w:bidi w:val="1"/>
      </w:pPr>
    </w:p>
    <w:p>
      <w:r>
        <w:br w:type="page"/>
      </w:r>
    </w:p>
    <w:p>
      <w:pPr>
        <w:spacing w:before="0" w:after="60" w:line="317" w:lineRule="auto"/>
        <w:jc w:val="right"/>
        <w:bidi w:val="1"/>
      </w:pPr>
      <w:r>
        <w:rPr>
          <w:rFonts w:ascii="Arial" w:hAnsi="Arial" w:cs="Arial" w:eastAsia="Arial"/>
          <w:b/>
          <w:color w:val="078466"/>
          <w:sz w:val="19"/>
          <w:rtl w:val="1"/>
          <w:lang w:val="ar-SA"/>
        </w:rPr>
        <w:t>04 · منهجية التطبيق</w:t>
      </w:r>
    </w:p>
    <w:p>
      <w:pPr>
        <w:spacing w:before="0" w:after="120" w:line="317" w:lineRule="auto"/>
        <w:jc w:val="right"/>
        <w:bidi w:val="1"/>
      </w:pPr>
      <w:r>
        <w:rPr>
          <w:rFonts w:ascii="Arial" w:hAnsi="Arial" w:cs="Arial" w:eastAsia="Arial"/>
          <w:b/>
          <w:color w:val="12212E"/>
          <w:sz w:val="44"/>
          <w:rtl w:val="1"/>
          <w:lang w:val="ar-SA"/>
        </w:rPr>
        <w:t>خطوات واضحة من التحليل حتى التشغيل</w:t>
      </w:r>
    </w:p>
    <w:p>
      <w:pPr>
        <w:spacing w:before="0" w:after="160" w:line="317" w:lineRule="auto"/>
        <w:jc w:val="right"/>
        <w:bidi w:val="1"/>
      </w:pPr>
      <w:r>
        <w:rPr>
          <w:rFonts w:ascii="Arial" w:hAnsi="Arial" w:cs="Arial" w:eastAsia="Arial"/>
          <w:b w:val="0"/>
          <w:color w:val="394B59"/>
          <w:sz w:val="21"/>
          <w:rtl w:val="1"/>
          <w:lang w:val="ar-SA"/>
        </w:rPr>
        <w:t>يبدأ التطبيق بفهم الإجراءات والبيانات، ثم تُعتمد خطة التنفيذ والمسؤوليات ومعايير القبول قبل الانتقال إلى التشغيل الفعلي.</w:t>
      </w:r>
    </w:p>
    <w:p>
      <w:pPr>
        <w:spacing w:after="100" w:line="288" w:lineRule="auto"/>
        <w:jc w:val="right"/>
        <w:bidi w:val="1"/>
      </w:pPr>
      <w:r>
        <w:rPr>
          <w:rFonts w:ascii="Arial" w:hAnsi="Arial" w:cs="Arial" w:eastAsia="Arial"/>
          <w:b/>
          <w:color w:val="078466"/>
          <w:sz w:val="24"/>
          <w:rtl w:val="1"/>
          <w:lang w:val="ar-SA"/>
        </w:rPr>
        <w:t xml:space="preserve">1  </w:t>
      </w:r>
      <w:r>
        <w:rPr>
          <w:rFonts w:ascii="Arial" w:hAnsi="Arial" w:cs="Arial" w:eastAsia="Arial"/>
          <w:b/>
          <w:color w:val="12212E"/>
          <w:sz w:val="21"/>
          <w:rtl w:val="1"/>
          <w:lang w:val="ar-SA"/>
        </w:rPr>
        <w:t xml:space="preserve">تحليل الاحتياج — </w:t>
      </w:r>
      <w:r>
        <w:rPr>
          <w:rFonts w:ascii="Arial" w:hAnsi="Arial" w:cs="Arial" w:eastAsia="Arial"/>
          <w:b w:val="0"/>
          <w:color w:val="394B59"/>
          <w:sz w:val="19"/>
          <w:rtl w:val="1"/>
          <w:lang w:val="ar-SA"/>
        </w:rPr>
        <w:t>توثيق طبيعة النشاط والفروع والوحدات وأهم إجراءات العمل والتقارير المطلوبة.</w:t>
      </w:r>
    </w:p>
    <w:p>
      <w:pPr>
        <w:spacing w:after="100" w:line="288" w:lineRule="auto"/>
        <w:jc w:val="right"/>
        <w:bidi w:val="1"/>
      </w:pPr>
      <w:r>
        <w:rPr>
          <w:rFonts w:ascii="Arial" w:hAnsi="Arial" w:cs="Arial" w:eastAsia="Arial"/>
          <w:b/>
          <w:color w:val="078466"/>
          <w:sz w:val="24"/>
          <w:rtl w:val="1"/>
          <w:lang w:val="ar-SA"/>
        </w:rPr>
        <w:t xml:space="preserve">2  </w:t>
      </w:r>
      <w:r>
        <w:rPr>
          <w:rFonts w:ascii="Arial" w:hAnsi="Arial" w:cs="Arial" w:eastAsia="Arial"/>
          <w:b/>
          <w:color w:val="12212E"/>
          <w:sz w:val="21"/>
          <w:rtl w:val="1"/>
          <w:lang w:val="ar-SA"/>
        </w:rPr>
        <w:t xml:space="preserve">تحديد النطاق والتهيئة — </w:t>
      </w:r>
      <w:r>
        <w:rPr>
          <w:rFonts w:ascii="Arial" w:hAnsi="Arial" w:cs="Arial" w:eastAsia="Arial"/>
          <w:b w:val="0"/>
          <w:color w:val="394B59"/>
          <w:sz w:val="19"/>
          <w:rtl w:val="1"/>
          <w:lang w:val="ar-SA"/>
        </w:rPr>
        <w:t>اعتماد الوحدات والصلاحيات ودليل الحسابات والمستودعات ودورات الاعتماد ذات الصلة.</w:t>
      </w:r>
    </w:p>
    <w:p>
      <w:pPr>
        <w:spacing w:after="100" w:line="288" w:lineRule="auto"/>
        <w:jc w:val="right"/>
        <w:bidi w:val="1"/>
      </w:pPr>
      <w:r>
        <w:rPr>
          <w:rFonts w:ascii="Arial" w:hAnsi="Arial" w:cs="Arial" w:eastAsia="Arial"/>
          <w:b/>
          <w:color w:val="078466"/>
          <w:sz w:val="24"/>
          <w:rtl w:val="1"/>
          <w:lang w:val="ar-SA"/>
        </w:rPr>
        <w:t xml:space="preserve">3  </w:t>
      </w:r>
      <w:r>
        <w:rPr>
          <w:rFonts w:ascii="Arial" w:hAnsi="Arial" w:cs="Arial" w:eastAsia="Arial"/>
          <w:b/>
          <w:color w:val="12212E"/>
          <w:sz w:val="21"/>
          <w:rtl w:val="1"/>
          <w:lang w:val="ar-SA"/>
        </w:rPr>
        <w:t xml:space="preserve">إعداد البيانات والاختبار — </w:t>
      </w:r>
      <w:r>
        <w:rPr>
          <w:rFonts w:ascii="Arial" w:hAnsi="Arial" w:cs="Arial" w:eastAsia="Arial"/>
          <w:b w:val="0"/>
          <w:color w:val="394B59"/>
          <w:sz w:val="19"/>
          <w:rtl w:val="1"/>
          <w:lang w:val="ar-SA"/>
        </w:rPr>
        <w:t>مراجعة البيانات المراد إدخالها أو استيرادها، ثم اختبار السيناريوهات المتفق عليها.</w:t>
      </w:r>
    </w:p>
    <w:p>
      <w:pPr>
        <w:spacing w:after="100" w:line="288" w:lineRule="auto"/>
        <w:jc w:val="right"/>
        <w:bidi w:val="1"/>
      </w:pPr>
      <w:r>
        <w:rPr>
          <w:rFonts w:ascii="Arial" w:hAnsi="Arial" w:cs="Arial" w:eastAsia="Arial"/>
          <w:b/>
          <w:color w:val="078466"/>
          <w:sz w:val="24"/>
          <w:rtl w:val="1"/>
          <w:lang w:val="ar-SA"/>
        </w:rPr>
        <w:t xml:space="preserve">4  </w:t>
      </w:r>
      <w:r>
        <w:rPr>
          <w:rFonts w:ascii="Arial" w:hAnsi="Arial" w:cs="Arial" w:eastAsia="Arial"/>
          <w:b/>
          <w:color w:val="12212E"/>
          <w:sz w:val="21"/>
          <w:rtl w:val="1"/>
          <w:lang w:val="ar-SA"/>
        </w:rPr>
        <w:t xml:space="preserve">التدريب والإطلاق — </w:t>
      </w:r>
      <w:r>
        <w:rPr>
          <w:rFonts w:ascii="Arial" w:hAnsi="Arial" w:cs="Arial" w:eastAsia="Arial"/>
          <w:b w:val="0"/>
          <w:color w:val="394B59"/>
          <w:sz w:val="19"/>
          <w:rtl w:val="1"/>
          <w:lang w:val="ar-SA"/>
        </w:rPr>
        <w:t>تدريب المستخدمين بحسب أدوارهم، وتجهيز الانتقال وفق خطة معتمدة.</w:t>
      </w:r>
    </w:p>
    <w:p>
      <w:pPr>
        <w:spacing w:after="100" w:line="288" w:lineRule="auto"/>
        <w:jc w:val="right"/>
        <w:bidi w:val="1"/>
      </w:pPr>
      <w:r>
        <w:rPr>
          <w:rFonts w:ascii="Arial" w:hAnsi="Arial" w:cs="Arial" w:eastAsia="Arial"/>
          <w:b/>
          <w:color w:val="078466"/>
          <w:sz w:val="24"/>
          <w:rtl w:val="1"/>
          <w:lang w:val="ar-SA"/>
        </w:rPr>
        <w:t xml:space="preserve">5  </w:t>
      </w:r>
      <w:r>
        <w:rPr>
          <w:rFonts w:ascii="Arial" w:hAnsi="Arial" w:cs="Arial" w:eastAsia="Arial"/>
          <w:b/>
          <w:color w:val="12212E"/>
          <w:sz w:val="21"/>
          <w:rtl w:val="1"/>
          <w:lang w:val="ar-SA"/>
        </w:rPr>
        <w:t xml:space="preserve">المتابعة والدعم — </w:t>
      </w:r>
      <w:r>
        <w:rPr>
          <w:rFonts w:ascii="Arial" w:hAnsi="Arial" w:cs="Arial" w:eastAsia="Arial"/>
          <w:b w:val="0"/>
          <w:color w:val="394B59"/>
          <w:sz w:val="19"/>
          <w:rtl w:val="1"/>
          <w:lang w:val="ar-SA"/>
        </w:rPr>
        <w:t>متابعة الملاحظات بعد الإطلاق وتقديم الدعم وفق مستوى الخدمة المتفق عليه.</w:t>
      </w:r>
    </w:p>
    <w:p>
      <w:pPr>
        <w:spacing w:before="160" w:after="100" w:line="317" w:lineRule="auto"/>
        <w:jc w:val="right"/>
        <w:bidi w:val="1"/>
      </w:pPr>
      <w:r>
        <w:rPr>
          <w:rFonts w:ascii="Arial" w:hAnsi="Arial" w:cs="Arial" w:eastAsia="Arial"/>
          <w:b/>
          <w:color w:val="12212E"/>
          <w:sz w:val="26"/>
          <w:rtl w:val="1"/>
          <w:lang w:val="ar-SA"/>
        </w:rPr>
        <w:t>ضوابط تساعد على استمرارية العمل</w:t>
      </w:r>
    </w:p>
    <w:tbl>
      <w:tblPr>
        <w:tblW w:type="auto" w:w="0"/>
        <w:jc w:val="center"/>
        <w:tblLayout w:type="fixed"/>
        <w:tblLook w:firstColumn="1" w:firstRow="1" w:lastColumn="0" w:lastRow="0" w:noHBand="0" w:noVBand="1" w:val="04A0"/>
        <w:bidiVisual w:val="1"/>
        <w:tblBorders>
          <w:top w:val="single" w:sz="5" w:color="DCE5E9"/>
          <w:left w:val="single" w:sz="5" w:color="DCE5E9"/>
          <w:bottom w:val="single" w:sz="5" w:color="DCE5E9"/>
          <w:right w:val="single" w:sz="5" w:color="DCE5E9"/>
          <w:insideH w:val="single" w:sz="5" w:color="DCE5E9"/>
          <w:insideV w:val="single" w:sz="5" w:color="DCE5E9"/>
        </w:tblBorders>
      </w:tblPr>
      <w:tblGrid>
        <w:gridCol w:w="4932"/>
        <w:gridCol w:w="4932"/>
      </w:tblGrid>
      <w:tr>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صلاحيات المستخدمين</w:t>
            </w:r>
          </w:p>
          <w:p>
            <w:pPr>
              <w:spacing w:after="0" w:line="288" w:lineRule="auto"/>
              <w:jc w:val="right"/>
              <w:bidi w:val="1"/>
            </w:pPr>
            <w:r>
              <w:rPr>
                <w:rFonts w:ascii="Arial" w:hAnsi="Arial" w:cs="Arial" w:eastAsia="Arial"/>
                <w:b w:val="0"/>
                <w:color w:val="394B59"/>
                <w:sz w:val="18"/>
                <w:rtl w:val="1"/>
                <w:lang w:val="ar-SA"/>
              </w:rPr>
              <w:t>تحديد ما يمكن لكل مستخدم الاطلاع عليه وتنفيذه.</w:t>
            </w:r>
          </w:p>
        </w:tc>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سجل مراجعة</w:t>
            </w:r>
          </w:p>
          <w:p>
            <w:pPr>
              <w:spacing w:after="0" w:line="288" w:lineRule="auto"/>
              <w:jc w:val="right"/>
              <w:bidi w:val="1"/>
            </w:pPr>
            <w:r>
              <w:rPr>
                <w:rFonts w:ascii="Arial" w:hAnsi="Arial" w:cs="Arial" w:eastAsia="Arial"/>
                <w:b w:val="0"/>
                <w:color w:val="394B59"/>
                <w:sz w:val="18"/>
                <w:rtl w:val="1"/>
                <w:lang w:val="ar-SA"/>
              </w:rPr>
              <w:t>تتبع العمليات والتغييرات المهمة بحسب الوحدة.</w:t>
            </w:r>
          </w:p>
        </w:tc>
      </w:tr>
      <w:tr>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تدرج في الإطلاق</w:t>
            </w:r>
          </w:p>
          <w:p>
            <w:pPr>
              <w:spacing w:after="0" w:line="288" w:lineRule="auto"/>
              <w:jc w:val="right"/>
              <w:bidi w:val="1"/>
            </w:pPr>
            <w:r>
              <w:rPr>
                <w:rFonts w:ascii="Arial" w:hAnsi="Arial" w:cs="Arial" w:eastAsia="Arial"/>
                <w:b w:val="0"/>
                <w:color w:val="394B59"/>
                <w:sz w:val="18"/>
                <w:rtl w:val="1"/>
                <w:lang w:val="ar-SA"/>
              </w:rPr>
              <w:t>إمكانية البدء بوحدات ذات أولوية ثم التوسع.</w:t>
            </w:r>
          </w:p>
        </w:tc>
        <w:tc>
          <w:tcPr>
            <w:tcW w:type="dxa" w:w="5018"/>
            <w:vAlign w:val="center"/>
            <w:shd w:fill="F4F8F7"/>
            <w:tcMar>
              <w:top w:w="120" w:type="dxa"/>
              <w:start w:w="150" w:type="dxa"/>
              <w:bottom w:w="120" w:type="dxa"/>
              <w:end w:w="150" w:type="dxa"/>
            </w:tcMar>
          </w:tcPr>
          <w:p>
            <w:pPr>
              <w:spacing w:after="60" w:line="288" w:lineRule="auto"/>
              <w:jc w:val="right"/>
              <w:bidi w:val="1"/>
            </w:pPr>
            <w:r>
              <w:rPr>
                <w:rFonts w:ascii="Arial" w:hAnsi="Arial" w:cs="Arial" w:eastAsia="Arial"/>
                <w:b/>
                <w:color w:val="075B49"/>
                <w:sz w:val="22"/>
                <w:rtl w:val="1"/>
                <w:lang w:val="ar-SA"/>
              </w:rPr>
              <w:t>قبول موثق</w:t>
            </w:r>
          </w:p>
          <w:p>
            <w:pPr>
              <w:spacing w:after="0" w:line="288" w:lineRule="auto"/>
              <w:jc w:val="right"/>
              <w:bidi w:val="1"/>
            </w:pPr>
            <w:r>
              <w:rPr>
                <w:rFonts w:ascii="Arial" w:hAnsi="Arial" w:cs="Arial" w:eastAsia="Arial"/>
                <w:b w:val="0"/>
                <w:color w:val="394B59"/>
                <w:sz w:val="18"/>
                <w:rtl w:val="1"/>
                <w:lang w:val="ar-SA"/>
              </w:rPr>
              <w:t>تثبيت نتائج الاختبار ونطاق التسليم المتفق عليه.</w:t>
            </w:r>
          </w:p>
        </w:tc>
      </w:tr>
    </w:tbl>
    <w:p>
      <w:pPr>
        <w:spacing w:before="0" w:after="20" w:line="317" w:lineRule="auto"/>
        <w:jc w:val="right"/>
        <w:bidi w:val="1"/>
      </w:pPr>
    </w:p>
    <w:tbl>
      <w:tblPr>
        <w:tblW w:type="auto" w:w="0"/>
        <w:jc w:val="center"/>
        <w:tblLook w:firstColumn="1" w:firstRow="1" w:lastColumn="0" w:lastRow="0" w:noHBand="0" w:noVBand="1" w:val="04A0"/>
        <w:bidiVisual w:val="1"/>
        <w:tblBorders>
          <w:top w:val="single" w:sz="5" w:color="DCE5E9"/>
          <w:left w:val="single" w:sz="5" w:color="DCE5E9"/>
          <w:bottom w:val="single" w:sz="5" w:color="DCE5E9"/>
          <w:right w:val="single" w:sz="5" w:color="DCE5E9"/>
          <w:insideH w:val="single" w:sz="5" w:color="DCE5E9"/>
          <w:insideV w:val="single" w:sz="5" w:color="DCE5E9"/>
        </w:tblBorders>
      </w:tblPr>
      <w:tblGrid>
        <w:gridCol w:w="10036"/>
      </w:tblGrid>
      <w:tr>
        <w:tc>
          <w:tcPr>
            <w:tcW w:type="dxa" w:w="10036"/>
            <w:shd w:fill="EFFAF5"/>
            <w:tcMar>
              <w:top w:w="120" w:type="dxa"/>
              <w:start w:w="170" w:type="dxa"/>
              <w:bottom w:w="120" w:type="dxa"/>
              <w:end w:w="170" w:type="dxa"/>
            </w:tcMar>
          </w:tcPr>
          <w:p>
            <w:pPr>
              <w:spacing w:after="0"/>
              <w:jc w:val="right"/>
              <w:bidi w:val="1"/>
            </w:pPr>
            <w:r>
              <w:rPr>
                <w:rFonts w:ascii="Arial" w:hAnsi="Arial" w:cs="Arial" w:eastAsia="Arial"/>
                <w:b/>
                <w:color w:val="075B49"/>
                <w:sz w:val="19"/>
                <w:rtl w:val="1"/>
                <w:lang w:val="ar-SA"/>
              </w:rPr>
              <w:t xml:space="preserve">ترحيل البيانات: </w:t>
            </w:r>
            <w:r>
              <w:rPr>
                <w:rFonts w:ascii="Arial" w:hAnsi="Arial" w:cs="Arial" w:eastAsia="Arial"/>
                <w:b w:val="0"/>
                <w:color w:val="394B59"/>
                <w:sz w:val="18"/>
                <w:rtl w:val="1"/>
                <w:lang w:val="ar-SA"/>
              </w:rPr>
              <w:t>يتحدد نطاق الاستيراد بحسب الملفات المتاحة وجودتها وحجمها، وبعد مراجعة عينة واعتماد مسؤوليات التحقق.</w:t>
            </w:r>
          </w:p>
        </w:tc>
      </w:tr>
    </w:tbl>
    <w:p>
      <w:r>
        <w:br w:type="page"/>
      </w:r>
    </w:p>
    <w:p>
      <w:pPr>
        <w:spacing w:before="0" w:after="60" w:line="317" w:lineRule="auto"/>
        <w:jc w:val="right"/>
        <w:bidi w:val="1"/>
      </w:pPr>
      <w:r>
        <w:rPr>
          <w:rFonts w:ascii="Arial" w:hAnsi="Arial" w:cs="Arial" w:eastAsia="Arial"/>
          <w:b/>
          <w:color w:val="078466"/>
          <w:sz w:val="19"/>
          <w:rtl w:val="1"/>
          <w:lang w:val="ar-SA"/>
        </w:rPr>
        <w:t>05 · الإطار التجاري</w:t>
      </w:r>
    </w:p>
    <w:p>
      <w:pPr>
        <w:spacing w:before="0" w:after="120" w:line="317" w:lineRule="auto"/>
        <w:jc w:val="right"/>
        <w:bidi w:val="1"/>
      </w:pPr>
      <w:r>
        <w:rPr>
          <w:rFonts w:ascii="Arial" w:hAnsi="Arial" w:cs="Arial" w:eastAsia="Arial"/>
          <w:b/>
          <w:color w:val="12212E"/>
          <w:sz w:val="44"/>
          <w:rtl w:val="1"/>
          <w:lang w:val="ar-SA"/>
        </w:rPr>
        <w:t>عرض مبدئي قابل للبناء على احتياجكم</w:t>
      </w:r>
    </w:p>
    <w:p>
      <w:pPr>
        <w:spacing w:before="0" w:after="160" w:line="317" w:lineRule="auto"/>
        <w:jc w:val="right"/>
        <w:bidi w:val="1"/>
      </w:pPr>
      <w:r>
        <w:rPr>
          <w:rFonts w:ascii="Arial" w:hAnsi="Arial" w:cs="Arial" w:eastAsia="Arial"/>
          <w:b w:val="0"/>
          <w:color w:val="394B59"/>
          <w:sz w:val="21"/>
          <w:rtl w:val="1"/>
          <w:lang w:val="ar-SA"/>
        </w:rPr>
        <w:t>لأن هذا العرض موجّه إلى أنشطة وأحجام مختلفة، فإن القيمة التجارية النهائية تُقدّم في عرض تفصيلي بعد تحديد نطاق الاستخدام والمتطلبات الفنية والتشغيلية.</w:t>
      </w:r>
    </w:p>
    <w:tbl>
      <w:tblPr>
        <w:tblW w:type="auto" w:w="0"/>
        <w:jc w:val="center"/>
        <w:tblLook w:firstColumn="1" w:firstRow="1" w:lastColumn="0" w:lastRow="0" w:noHBand="0" w:noVBand="1" w:val="04A0"/>
        <w:bidiVisual w:val="1"/>
        <w:tblBorders>
          <w:top w:val="single" w:sz="5" w:color="DCE5E9"/>
          <w:left w:val="single" w:sz="5" w:color="DCE5E9"/>
          <w:bottom w:val="single" w:sz="5" w:color="DCE5E9"/>
          <w:right w:val="single" w:sz="5" w:color="DCE5E9"/>
          <w:insideH w:val="single" w:sz="5" w:color="DCE5E9"/>
          <w:insideV w:val="single" w:sz="5" w:color="DCE5E9"/>
        </w:tblBorders>
      </w:tblPr>
      <w:tblGrid>
        <w:gridCol w:w="10036"/>
      </w:tblGrid>
      <w:tr>
        <w:tc>
          <w:tcPr>
            <w:tcW w:type="dxa" w:w="10036"/>
            <w:shd w:fill="102A31"/>
            <w:tcMar>
              <w:top w:w="170" w:type="dxa"/>
              <w:start w:w="200" w:type="dxa"/>
              <w:bottom w:w="170" w:type="dxa"/>
              <w:end w:w="200" w:type="dxa"/>
            </w:tcMar>
          </w:tcPr>
          <w:p>
            <w:pPr>
              <w:spacing w:after="80"/>
              <w:jc w:val="right"/>
              <w:bidi w:val="1"/>
            </w:pPr>
            <w:r>
              <w:rPr>
                <w:rFonts w:ascii="Arial" w:hAnsi="Arial" w:cs="Arial" w:eastAsia="Arial"/>
                <w:b/>
                <w:color w:val="D7A72B"/>
                <w:sz w:val="22"/>
                <w:rtl w:val="1"/>
                <w:lang w:val="ar-SA"/>
              </w:rPr>
              <w:t>عناصر يُبنى عليها العرض المالي التفصيلي</w:t>
            </w:r>
          </w:p>
          <w:p>
            <w:pPr>
              <w:spacing w:after="40" w:line="278" w:lineRule="auto"/>
              <w:jc w:val="right"/>
              <w:bidi w:val="1"/>
            </w:pPr>
            <w:r>
              <w:rPr>
                <w:rFonts w:ascii="Arial" w:hAnsi="Arial" w:cs="Arial" w:eastAsia="Arial"/>
                <w:b w:val="0"/>
                <w:color w:val="E7F1ED"/>
                <w:sz w:val="18"/>
                <w:rtl w:val="1"/>
                <w:lang w:val="ar-SA"/>
              </w:rPr>
              <w:t>•  الوحدات المطلوبة، وعدد الشركات والفروع ونقاط العمل.</w:t>
            </w:r>
          </w:p>
          <w:p>
            <w:pPr>
              <w:spacing w:after="40" w:line="278" w:lineRule="auto"/>
              <w:jc w:val="right"/>
              <w:bidi w:val="1"/>
            </w:pPr>
            <w:r>
              <w:rPr>
                <w:rFonts w:ascii="Arial" w:hAnsi="Arial" w:cs="Arial" w:eastAsia="Arial"/>
                <w:b w:val="0"/>
                <w:color w:val="E7F1ED"/>
                <w:sz w:val="18"/>
                <w:rtl w:val="1"/>
                <w:lang w:val="ar-SA"/>
              </w:rPr>
              <w:t>•  عدد المستخدمين ومستويات الصلاحيات واحتياج التدريب.</w:t>
            </w:r>
          </w:p>
          <w:p>
            <w:pPr>
              <w:spacing w:after="40" w:line="278" w:lineRule="auto"/>
              <w:jc w:val="right"/>
              <w:bidi w:val="1"/>
            </w:pPr>
            <w:r>
              <w:rPr>
                <w:rFonts w:ascii="Arial" w:hAnsi="Arial" w:cs="Arial" w:eastAsia="Arial"/>
                <w:b w:val="0"/>
                <w:color w:val="E7F1ED"/>
                <w:sz w:val="18"/>
                <w:rtl w:val="1"/>
                <w:lang w:val="ar-SA"/>
              </w:rPr>
              <w:t>•  متطلبات الاستضافة والتكامل والفوترة الإلكترونية حسب البلد.</w:t>
            </w:r>
          </w:p>
          <w:p>
            <w:pPr>
              <w:spacing w:after="40" w:line="278" w:lineRule="auto"/>
              <w:jc w:val="right"/>
              <w:bidi w:val="1"/>
            </w:pPr>
            <w:r>
              <w:rPr>
                <w:rFonts w:ascii="Arial" w:hAnsi="Arial" w:cs="Arial" w:eastAsia="Arial"/>
                <w:b w:val="0"/>
                <w:color w:val="E7F1ED"/>
                <w:sz w:val="18"/>
                <w:rtl w:val="1"/>
                <w:lang w:val="ar-SA"/>
              </w:rPr>
              <w:t>•  نطاق إعداد البيانات أو استيرادها والدعم بعد الإطلاق.</w:t>
            </w:r>
          </w:p>
        </w:tc>
      </w:tr>
    </w:tbl>
    <w:tbl>
      <w:tblPr>
        <w:tblW w:type="auto" w:w="0"/>
        <w:jc w:val="center"/>
        <w:tblLook w:firstColumn="1" w:firstRow="1" w:lastColumn="0" w:lastRow="0" w:noHBand="0" w:noVBand="1" w:val="04A0"/>
        <w:bidiVisual w:val="1"/>
        <w:tblBorders>
          <w:top w:val="single" w:sz="5" w:color="DCE5E9"/>
          <w:left w:val="single" w:sz="5" w:color="DCE5E9"/>
          <w:bottom w:val="single" w:sz="5" w:color="DCE5E9"/>
          <w:right w:val="single" w:sz="5" w:color="DCE5E9"/>
          <w:insideH w:val="single" w:sz="5" w:color="DCE5E9"/>
          <w:insideV w:val="single" w:sz="5" w:color="DCE5E9"/>
        </w:tblBorders>
      </w:tblPr>
      <w:tblGrid>
        <w:gridCol w:w="10036"/>
      </w:tblGrid>
      <w:tr>
        <w:tc>
          <w:tcPr>
            <w:tcW w:type="dxa" w:w="10036"/>
            <w:shd w:fill="EFFAF5"/>
            <w:tcMar>
              <w:top w:w="140" w:type="dxa"/>
              <w:start w:w="170" w:type="dxa"/>
              <w:bottom w:w="140" w:type="dxa"/>
              <w:end w:w="170" w:type="dxa"/>
            </w:tcMar>
          </w:tcPr>
          <w:p>
            <w:pPr>
              <w:spacing w:after="0"/>
              <w:jc w:val="right"/>
              <w:bidi w:val="1"/>
            </w:pPr>
            <w:r>
              <w:rPr>
                <w:rFonts w:ascii="Arial" w:hAnsi="Arial" w:cs="Arial" w:eastAsia="Arial"/>
                <w:b/>
                <w:color w:val="075B49"/>
                <w:sz w:val="19"/>
                <w:rtl w:val="1"/>
                <w:lang w:val="ar-SA"/>
              </w:rPr>
              <w:t xml:space="preserve">تنبيه: </w:t>
            </w:r>
            <w:r>
              <w:rPr>
                <w:rFonts w:ascii="Arial" w:hAnsi="Arial" w:cs="Arial" w:eastAsia="Arial"/>
                <w:b w:val="0"/>
                <w:color w:val="394B59"/>
                <w:sz w:val="18"/>
                <w:rtl w:val="1"/>
                <w:lang w:val="ar-SA"/>
              </w:rPr>
              <w:t>هذا المستند عرض تعريفي وفني مبدئي، وليس تسعيرًا نهائيًا أو التزامًا بمدة تنفيذ. تُثبت الأسعار والمدة ونطاق التسليم ومستوى الدعم في عرض مالي مستقل بعد الاتفاق على المتطلبات.</w:t>
            </w:r>
          </w:p>
        </w:tc>
      </w:tr>
    </w:tbl>
    <w:p>
      <w:pPr>
        <w:spacing w:before="180" w:after="80" w:line="317" w:lineRule="auto"/>
        <w:jc w:val="right"/>
        <w:bidi w:val="1"/>
      </w:pPr>
      <w:r>
        <w:rPr>
          <w:rFonts w:ascii="Arial" w:hAnsi="Arial" w:cs="Arial" w:eastAsia="Arial"/>
          <w:b/>
          <w:color w:val="12212E"/>
          <w:sz w:val="26"/>
          <w:rtl w:val="1"/>
          <w:lang w:val="ar-SA"/>
        </w:rPr>
        <w:t>الخطوة التالية</w:t>
      </w:r>
    </w:p>
    <w:p>
      <w:pPr>
        <w:spacing w:before="0" w:after="120" w:line="317" w:lineRule="auto"/>
        <w:jc w:val="right"/>
        <w:bidi w:val="1"/>
      </w:pPr>
      <w:r>
        <w:rPr>
          <w:rFonts w:ascii="Arial" w:hAnsi="Arial" w:cs="Arial" w:eastAsia="Arial"/>
          <w:b w:val="0"/>
          <w:color w:val="394B59"/>
          <w:sz w:val="20"/>
          <w:rtl w:val="1"/>
          <w:lang w:val="ar-SA"/>
        </w:rPr>
        <w:t>جلسة تعريف وتحليل مختصرة لتحديد أولويات المنشأة، ثم إعداد نطاق فني ومالي مناسب يوضح الوحدات المقترحة وخطة التطبيق والمتطلبات اللازمة للانطلاق.</w:t>
      </w:r>
    </w:p>
    <w:p>
      <w:pPr>
        <w:spacing w:before="40" w:after="140" w:line="317" w:lineRule="auto"/>
        <w:jc w:val="right"/>
        <w:bidi w:val="1"/>
      </w:pPr>
      <w:r>
        <w:rPr>
          <w:rFonts w:ascii="Arial" w:hAnsi="Arial" w:cs="Arial" w:eastAsia="Arial"/>
          <w:b w:val="0"/>
          <w:color w:val="394B59"/>
          <w:sz w:val="19"/>
          <w:rtl w:val="1"/>
          <w:lang w:val="ar-SA"/>
        </w:rPr>
        <w:t>يسعدنا بحث احتياجات منشأتكم وتقديم تصور عملي لكيفية توظيف زاكود في تحسين ترابط العمليات ووضوح البيانات ودعم النمو، وفق نطاق واقعي ومتفق عليه.</w:t>
      </w:r>
    </w:p>
    <w:tbl>
      <w:tblPr>
        <w:tblW w:type="auto" w:w="0"/>
        <w:jc w:val="center"/>
        <w:tblLook w:firstColumn="1" w:firstRow="1" w:lastColumn="0" w:lastRow="0" w:noHBand="0" w:noVBand="1" w:val="04A0"/>
        <w:bidiVisual w:val="1"/>
        <w:tblBorders>
          <w:top w:val="single" w:sz="5" w:color="DCE5E9"/>
          <w:left w:val="single" w:sz="5" w:color="DCE5E9"/>
          <w:bottom w:val="single" w:sz="5" w:color="DCE5E9"/>
          <w:right w:val="single" w:sz="5" w:color="DCE5E9"/>
          <w:insideH w:val="single" w:sz="5" w:color="DCE5E9"/>
          <w:insideV w:val="single" w:sz="5" w:color="DCE5E9"/>
        </w:tblBorders>
      </w:tblPr>
      <w:tblGrid>
        <w:gridCol w:w="10036"/>
      </w:tblGrid>
      <w:tr>
        <w:tc>
          <w:tcPr>
            <w:tcW w:type="dxa" w:w="10036"/>
            <w:shd w:fill="F4F8F7"/>
            <w:tcMar>
              <w:top w:w="160" w:type="dxa"/>
              <w:start w:w="200" w:type="dxa"/>
              <w:bottom w:w="160" w:type="dxa"/>
              <w:end w:w="200" w:type="dxa"/>
            </w:tcMar>
          </w:tcPr>
          <w:p>
            <w:pPr>
              <w:spacing w:after="40"/>
              <w:jc w:val="right"/>
              <w:bidi w:val="1"/>
            </w:pPr>
            <w:r>
              <w:rPr>
                <w:rFonts w:ascii="Arial" w:hAnsi="Arial" w:cs="Arial" w:eastAsia="Arial"/>
                <w:b/>
                <w:color w:val="075B49"/>
                <w:sz w:val="23"/>
                <w:rtl w:val="1"/>
                <w:lang w:val="ar-SA"/>
              </w:rPr>
              <w:t>شركة سيستمورا للنظم والمعلومات والذكاء</w:t>
            </w:r>
          </w:p>
          <w:p>
            <w:pPr>
              <w:spacing w:after="20"/>
              <w:jc w:val="right"/>
              <w:bidi w:val="1"/>
            </w:pPr>
            <w:r>
              <w:rPr>
                <w:rFonts w:ascii="Arial" w:hAnsi="Arial" w:cs="Arial" w:eastAsia="Arial"/>
                <w:b w:val="0"/>
                <w:color w:val="394B59"/>
                <w:sz w:val="20"/>
                <w:rtl w:val="1"/>
                <w:lang w:val="ar-SA"/>
              </w:rPr>
              <w:t>المدير التنفيذي</w:t>
            </w:r>
          </w:p>
          <w:p>
            <w:pPr>
              <w:spacing w:after="20"/>
              <w:jc w:val="right"/>
              <w:bidi w:val="1"/>
            </w:pPr>
            <w:r>
              <w:rPr>
                <w:rFonts w:ascii="Arial" w:hAnsi="Arial" w:cs="Arial" w:eastAsia="Arial"/>
                <w:b/>
                <w:color w:val="12212E"/>
                <w:sz w:val="20"/>
                <w:rtl w:val="1"/>
                <w:lang w:val="ar-SA"/>
              </w:rPr>
              <w:t>م. سعيد شحاته</w:t>
            </w:r>
          </w:p>
          <w:p>
            <w:pPr>
              <w:spacing w:after="20"/>
              <w:jc w:val="right"/>
              <w:bidi w:val="1"/>
            </w:pPr>
            <w:r>
              <w:rPr>
                <w:rFonts w:ascii="Arial" w:hAnsi="Arial" w:cs="Arial" w:eastAsia="Arial"/>
                <w:b/>
                <w:color w:val="12212E"/>
                <w:sz w:val="20"/>
                <w:rtl w:val="1"/>
                <w:lang w:val="ar-SA"/>
              </w:rPr>
              <w:t>رقم الهاتف: 01000903159</w:t>
            </w:r>
          </w:p>
        </w:tc>
      </w:tr>
    </w:tbl>
    <w:sectPr w:rsidR="00FC693F" w:rsidRPr="0006063C" w:rsidSect="00034616">
      <w:headerReference w:type="default" r:id="rId9"/>
      <w:footerReference w:type="default" r:id="rId10"/>
      <w:pgSz w:w="11906" w:h="16838"/>
      <w:pgMar w:top="935" w:right="935" w:bottom="935"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bidi w:val="1"/>
    </w:pPr>
    <w:r>
      <w:rPr>
        <w:rFonts w:ascii="Arial" w:hAnsi="Arial" w:cs="Arial" w:eastAsia="Arial"/>
        <w:b w:val="0"/>
        <w:color w:val="71808C"/>
        <w:sz w:val="16"/>
        <w:rtl w:val="1"/>
        <w:lang w:val="ar-SA"/>
      </w:rPr>
      <w:t xml:space="preserve">زاكود ERP  |  عرض عام للمنشآت                         </w:t>
    </w:r>
    <w:r>
      <w:rPr>
        <w:rFonts w:ascii="Arial" w:hAnsi="Arial" w:cs="Arial" w:eastAsia="Arial"/>
        <w:b w:val="0"/>
        <w:color w:val="71808C"/>
        <w:sz w:val="16"/>
        <w:rtl w:val="1"/>
        <w:lang w:val="ar-SA"/>
      </w:rPr>
      <w:t xml:space="preserve">صفحة </w:t>
    </w:r>
    <w:r>
      <w:rPr>
        <w:rFonts w:ascii="Arial" w:hAnsi="Arial" w:cs="Arial" w:eastAsia="Arial"/>
        <w:b/>
        <w:color w:val="075B49"/>
        <w:sz w:val="16"/>
        <w:rtl w:val="1"/>
        <w:lang w:val="ar-SA"/>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bidi w:val="1"/>
      <w:pBdr>
        <w:bottom w:val="single" w:sz="10" w:space="5" w:color="078466"/>
      </w:pBdr>
    </w:pPr>
    <w:r>
      <w:drawing>
        <wp:inline xmlns:a="http://schemas.openxmlformats.org/drawingml/2006/main" xmlns:pic="http://schemas.openxmlformats.org/drawingml/2006/picture">
          <wp:extent cx="1188000" cy="326700"/>
          <wp:docPr id="1" name="Picture 1"/>
          <wp:cNvGraphicFramePr>
            <a:graphicFrameLocks noChangeAspect="1"/>
          </wp:cNvGraphicFramePr>
          <a:graphic>
            <a:graphicData uri="http://schemas.openxmlformats.org/drawingml/2006/picture">
              <pic:pic>
                <pic:nvPicPr>
                  <pic:cNvPr id="0" name="zacode-logo-horizontal.png"/>
                  <pic:cNvPicPr/>
                </pic:nvPicPr>
                <pic:blipFill>
                  <a:blip r:embed="rId1"/>
                  <a:stretch>
                    <a:fillRect/>
                  </a:stretch>
                </pic:blipFill>
                <pic:spPr>
                  <a:xfrm>
                    <a:off x="0" y="0"/>
                    <a:ext cx="1188000" cy="326700"/>
                  </a:xfrm>
                  <a:prstGeom prst="rect"/>
                </pic:spPr>
              </pic:pic>
            </a:graphicData>
          </a:graphic>
        </wp:inline>
      </w:drawing>
    </w:r>
    <w:r>
      <w:rPr>
        <w:rFonts w:ascii="Arial" w:hAnsi="Arial" w:cs="Arial" w:eastAsia="Arial"/>
        <w:b/>
        <w:color w:val="71808C"/>
        <w:sz w:val="17"/>
        <w:rtl w:val="1"/>
        <w:lang w:val="ar-SA"/>
      </w:rPr>
      <w:t xml:space="preserve">     عرض زاكود ERP العام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Arial" w:hAnsi="Arial"/>
      <w:color w:val="394B5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عرض زاكود ERP العام — فني وتجاري مبدئي</dc:title>
  <dc:subject>عرض عربي عام للقطاعات التجارية والصناعية والمقاولات والخدمات</dc:subject>
  <dc:creator>شركة سيستمورا للنظم والمعلومات والذكاء</dc:creator>
  <cp:keywords>زاكود، ERP، عرض فني، عرض تجاري، عربي</cp:keywords>
  <dc:description>generated by python-docx</dc:description>
  <cp:lastModifiedBy/>
  <cp:revision>1</cp:revision>
  <dcterms:created xsi:type="dcterms:W3CDTF">2013-12-23T23:15:00Z</dcterms:created>
  <dcterms:modified xsi:type="dcterms:W3CDTF">2013-12-23T23:15:00Z</dcterms:modified>
  <cp:category/>
</cp:coreProperties>
</file>