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10"/>
        </w:pBdr>
        <w:bidi/>
        <w:spacing w:after="30" w:before="0"/>
      </w:pPr>
      <w:r>
        <w:rPr>
          <w:rFonts w:ascii="Sakkal Majalla" w:cs="Sakkal Majalla" w:eastAsia="Sakkal Majalla" w:hAnsi="Sakkal Majalla"/>
          <w:b/>
          <w:bCs/>
          <w:color w:val="1B3A6B"/>
          <w:sz w:val="32"/>
          <w:szCs w:val="32"/>
          <w:rtl/>
        </w:rPr>
        <w:t xml:space="preserve">دراسة المقارنة المعيارية لوظائف النزاهة في دولة الإمارات — موجز تنفيذي</w:t>
      </w:r>
    </w:p>
    <w:p>
      <w:pPr>
        <w:bidi/>
        <w:spacing w:after="10" w:before="40" w:line="260"/>
      </w:pPr>
      <w:r>
        <w:rPr>
          <w:rFonts w:ascii="Sakkal Majalla" w:cs="Sakkal Majalla" w:eastAsia="Sakkal Majalla" w:hAnsi="Sakkal Majalla"/>
          <w:color w:val="595959"/>
          <w:sz w:val="20"/>
          <w:szCs w:val="20"/>
          <w:rtl/>
        </w:rPr>
        <w:t xml:space="preserve">قسم النزاهة · قطاع التدقيق الداخلي وإدارة المخاطر · دائرة التمكين الحكومي – أبوظبي</w:t>
      </w:r>
    </w:p>
    <w:p>
      <w:pPr>
        <w:bidi/>
        <w:spacing w:after="80" w:before="40" w:line="260"/>
      </w:pPr>
      <w:r>
        <w:rPr>
          <w:rFonts w:ascii="Sakkal Majalla" w:cs="Sakkal Majalla" w:eastAsia="Sakkal Majalla" w:hAnsi="Sakkal Majalla"/>
          <w:i/>
          <w:iCs/>
          <w:color w:val="595959"/>
          <w:sz w:val="17"/>
          <w:szCs w:val="17"/>
          <w:rtl/>
        </w:rPr>
        <w:t xml:space="preserve">4 سبتمبر 2026 · مسودة للمراجعة · موجز مستخلص من الدراسة الكاملة ذات الأقسام الـ26؛ كل معلومة تعود إلى سجلات الأدلة (قُرئت المصادر كلها في 4 سبتمبر 2026 بوصفها محتوى رسمياً موثقاً عبر البحث، وتلزم فتحة تحقق واحدة لكل رابط قبل التداول الخارجي).</w:t>
      </w:r>
    </w:p>
    <w:p>
      <w:pPr>
        <w:pBdr>
          <w:bottom w:val="single" w:color="C9A84C" w:sz="6"/>
        </w:pBdr>
        <w:bidi/>
        <w:spacing w:after="60" w:before="140"/>
      </w:pPr>
      <w:r>
        <w:rPr>
          <w:rFonts w:ascii="Sakkal Majalla" w:cs="Sakkal Majalla" w:eastAsia="Sakkal Majalla" w:hAnsi="Sakkal Majalla"/>
          <w:b/>
          <w:bCs/>
          <w:color w:val="1B3A6B"/>
          <w:sz w:val="26"/>
          <w:szCs w:val="26"/>
          <w:rtl/>
        </w:rPr>
        <w:t xml:space="preserve">1. الإجابة</w:t>
      </w:r>
    </w:p>
    <w:p>
      <w:pPr>
        <w:bidi/>
        <w:spacing w:after="40" w:before="40" w:line="260"/>
      </w:pPr>
      <w:r>
        <w:rPr>
          <w:rFonts w:ascii="Sakkal Majalla" w:cs="Sakkal Majalla" w:eastAsia="Sakkal Majalla" w:hAnsi="Sakkal Majalla"/>
          <w:b/>
          <w:bCs/>
          <w:sz w:val="22"/>
          <w:szCs w:val="22"/>
          <w:rtl/>
        </w:rPr>
        <w:t xml:space="preserve">موقعنا اليوم: </w:t>
      </w:r>
      <w:r>
        <w:rPr>
          <w:rFonts w:ascii="Sakkal Majalla" w:cs="Sakkal Majalla" w:eastAsia="Sakkal Majalla" w:hAnsi="Sakkal Majalla"/>
          <w:sz w:val="22"/>
          <w:szCs w:val="22"/>
          <w:rtl/>
        </w:rPr>
        <w:t xml:space="preserve">قسم النزاهة يسجل 57 من 100 على نموذج الدراسة — التحقيقات وتقييم مخاطر الاحتيال (312 خطراً · 497 مالك ضابط · 8 سجلات · 41 جهة) والتقارير التنفيذية عند مستوى متقدم؛ وقناة الإبلاغ وإدارة القضايا وتعارض المصالح والهدايا عند مستوى ناشئ أو أدنى. النضج قائم في الممارسة الفردية ولم يتحول بعد إلى ميثاق وأنظمة وكوادر. (سجل الوضع الحالي: محمول عن سجل المشروع.)</w:t>
      </w:r>
    </w:p>
    <w:p>
      <w:pPr>
        <w:bidi/>
        <w:spacing w:after="40" w:before="40" w:line="260"/>
      </w:pPr>
      <w:r>
        <w:rPr>
          <w:rFonts w:ascii="Sakkal Majalla" w:cs="Sakkal Majalla" w:eastAsia="Sakkal Majalla" w:hAnsi="Sakkal Majalla"/>
          <w:b/>
          <w:bCs/>
          <w:sz w:val="22"/>
          <w:szCs w:val="22"/>
          <w:rtl/>
        </w:rPr>
        <w:t xml:space="preserve">ما تصنعه الجهات الرائدة على نحو مختلف: </w:t>
      </w:r>
      <w:r>
        <w:rPr>
          <w:rFonts w:ascii="Sakkal Majalla" w:cs="Sakkal Majalla" w:eastAsia="Sakkal Majalla" w:hAnsi="Sakkal Majalla"/>
          <w:sz w:val="22"/>
          <w:szCs w:val="22"/>
          <w:rtl/>
        </w:rPr>
        <w:t xml:space="preserve">تضع قناة الإبلاغ خارج الجهة أو تحت شهادة معتمدة، بمجهولية وحوار ثنائي الاتجاه؛ وتفصل التحقيق عن القرار فصلاً هيكلياً؛ وتنشر النتائج والمؤشرات؛ وترسّخ الجهات الحكومية حماية المبلغين في أداة قانونية لا في وعد على صفحة إلكترونية.</w:t>
      </w:r>
    </w:p>
    <w:p>
      <w:pPr>
        <w:bidi/>
        <w:spacing w:after="40" w:before="40" w:line="260"/>
      </w:pPr>
      <w:r>
        <w:rPr>
          <w:rFonts w:ascii="Sakkal Majalla" w:cs="Sakkal Majalla" w:eastAsia="Sakkal Majalla" w:hAnsi="Sakkal Majalla"/>
          <w:b/>
          <w:bCs/>
          <w:sz w:val="22"/>
          <w:szCs w:val="22"/>
          <w:rtl/>
        </w:rPr>
        <w:t xml:space="preserve">القرار المطلوب: </w:t>
      </w:r>
      <w:r>
        <w:rPr>
          <w:rFonts w:ascii="Sakkal Majalla" w:cs="Sakkal Majalla" w:eastAsia="Sakkal Majalla" w:hAnsi="Sakkal Majalla"/>
          <w:sz w:val="22"/>
          <w:szCs w:val="22"/>
          <w:rtl/>
        </w:rPr>
        <w:t xml:space="preserve">اعتماد الإجراءات الحرجة الثلاثة (ميثاق القسم وتفويض التحقيق؛ رفع قدرات القناة؛ لجنة مخالفات منفصلة عن التحقيق) للبدء في الربع الرابع 2026 — الكلفة جهد داخلي في معظمها مع شراء خدمة قناة مستضافة واحدة، وخطر التأجيل تجاوزُ المبلغين للقناة واعتمادُ الوظيفة على شخص واحد.</w:t>
      </w:r>
    </w:p>
    <w:p>
      <w:pPr>
        <w:bidi/>
        <w:spacing w:after="60" w:before="140"/>
      </w:pPr>
      <w:r>
        <w:rPr>
          <w:rFonts w:ascii="Sakkal Majalla" w:cs="Sakkal Majalla" w:eastAsia="Sakkal Majalla" w:hAnsi="Sakkal Majalla"/>
          <w:b/>
          <w:bCs/>
          <w:color w:val="1B3A6B"/>
          <w:sz w:val="26"/>
          <w:szCs w:val="26"/>
          <w:rtl/>
        </w:rPr>
        <w:t xml:space="preserve">2. الجهات المرجعية الخمس الأولى (الدرجة من 100، مقدّرة في الجلسة من الأدلة المنشورة)</w:t>
      </w:r>
    </w:p>
    <w:tbl>
      <w:tblPr>
        <w:bidiVisual/>
        <w:tblW w:type="dxa" w:w="10360"/>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800"/>
        <w:gridCol w:w="4150"/>
        <w:gridCol w:w="3660"/>
      </w:tblGrid>
      <w:tr>
        <w:trPr>
          <w:cantSplit w:val="false"/>
          <w:tblHeader/>
        </w:trPr>
        <w:tc>
          <w:tcPr>
            <w:tcW w:type="dxa" w:w="17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الجهة</w:t>
            </w:r>
          </w:p>
        </w:tc>
        <w:tc>
          <w:tcPr>
            <w:tcW w:type="dxa" w:w="80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الدرجة</w:t>
            </w:r>
          </w:p>
        </w:tc>
        <w:tc>
          <w:tcPr>
            <w:tcW w:type="dxa" w:w="41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ما تثبته الأدلة</w:t>
            </w:r>
          </w:p>
        </w:tc>
        <w:tc>
          <w:tcPr>
            <w:tcW w:type="dxa" w:w="366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ما نأخذه منها</w:t>
            </w:r>
          </w:p>
        </w:tc>
      </w:tr>
      <w:tr>
        <w:trPr>
          <w:cantSplit w:val="false"/>
          <w:tblHeader w:val="false"/>
        </w:trPr>
        <w:tc>
          <w:tcPr>
            <w:tcW w:type="dxa" w:w="17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مبادلة للاستثمار</w:t>
            </w:r>
          </w:p>
        </w:tc>
        <w:tc>
          <w:tcPr>
            <w:tcW w:type="dxa" w:w="8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67</w:t>
            </w:r>
          </w:p>
        </w:tc>
        <w:tc>
          <w:tcPr>
            <w:tcW w:type="dxa" w:w="4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الجهة الوحيدة في الدولة الحاصلة على ⁦ISO 37001⁩ و⁦ISO 37301⁩ و⁦ISO 37002⁩ مجتمعة؛ مكتب أخلاقيات وامتثال يحقق بنفسه في المخالفات</w:t>
            </w:r>
          </w:p>
        </w:tc>
        <w:tc>
          <w:tcPr>
            <w:tcW w:type="dxa" w:w="3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مسار الشهادات؛ مكتب بميثاق يملك الأخلاقيات والقناة والتحقيقات</w:t>
            </w:r>
          </w:p>
        </w:tc>
      </w:tr>
      <w:tr>
        <w:trPr>
          <w:cantSplit w:val="false"/>
          <w:tblHeader w:val="false"/>
        </w:trPr>
        <w:tc>
          <w:tcPr>
            <w:tcW w:type="dxa" w:w="17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سلطة دبي للخدمات المالية (مركز دبي المالي العالمي)</w:t>
            </w:r>
          </w:p>
        </w:tc>
        <w:tc>
          <w:tcPr>
            <w:tcW w:type="dxa" w:w="8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65</w:t>
            </w:r>
          </w:p>
        </w:tc>
        <w:tc>
          <w:tcPr>
            <w:tcW w:type="dxa" w:w="4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إنفاذ بلجنة قرار «لم يسبق لأعضائها أي دور مباشر في إثبات الأدلة»؛ استئناف أمام محكمة مستقلة؛ قرارات منشورة؛ مراجعة موضوعية للإبلاغ 2025</w:t>
            </w:r>
          </w:p>
        </w:tc>
        <w:tc>
          <w:tcPr>
            <w:tcW w:type="dxa" w:w="3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فصل هيكلي بين التحقيق والقرار؛ إشراف قائم على البيانات</w:t>
            </w:r>
          </w:p>
        </w:tc>
      </w:tr>
      <w:tr>
        <w:trPr>
          <w:cantSplit w:val="false"/>
          <w:tblHeader w:val="false"/>
        </w:trPr>
        <w:tc>
          <w:tcPr>
            <w:tcW w:type="dxa" w:w="17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سوق أبوظبي العالمي</w:t>
            </w:r>
          </w:p>
        </w:tc>
        <w:tc>
          <w:tcPr>
            <w:tcW w:type="dxa" w:w="8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63</w:t>
            </w:r>
          </w:p>
        </w:tc>
        <w:tc>
          <w:tcPr>
            <w:tcW w:type="dxa" w:w="4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لائحة حماية المبلغين 2024 (نافذة منذ 5 يوليو 2024): إفصاحات محمية، مجهولية، حماية من «أي شكل من أشكال الضرر»، حفظ السجلات 6 سنوات، جزاءات</w:t>
            </w:r>
          </w:p>
        </w:tc>
        <w:tc>
          <w:tcPr>
            <w:tcW w:type="dxa" w:w="3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قائمة تحقق جاهزة لسياسة إبلاغ على مستوى الدائرة</w:t>
            </w:r>
          </w:p>
        </w:tc>
      </w:tr>
      <w:tr>
        <w:trPr>
          <w:cantSplit w:val="false"/>
          <w:tblHeader w:val="false"/>
        </w:trPr>
        <w:tc>
          <w:tcPr>
            <w:tcW w:type="dxa" w:w="17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جهاز الرقابة المالية في دبي</w:t>
            </w:r>
          </w:p>
        </w:tc>
        <w:tc>
          <w:tcPr>
            <w:tcW w:type="dxa" w:w="8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63</w:t>
            </w:r>
          </w:p>
        </w:tc>
        <w:tc>
          <w:tcPr>
            <w:tcW w:type="dxa" w:w="4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منصة «نزاهة» للإبلاغ العام؛ القرار 2 لسنة 2025 بحماية وظيفية قانونية للمبلغين؛ إطار مكافحة الاحتيال؛ لوحات «المؤشر»؛ لجنة مخالفات خاصة به</w:t>
            </w:r>
          </w:p>
        </w:tc>
        <w:tc>
          <w:tcPr>
            <w:tcW w:type="dxa" w:w="3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أقرب نموذج تشغيلي حكومي مكتمل</w:t>
            </w:r>
          </w:p>
        </w:tc>
      </w:tr>
      <w:tr>
        <w:trPr>
          <w:cantSplit w:val="false"/>
          <w:tblHeader w:val="false"/>
        </w:trPr>
        <w:tc>
          <w:tcPr>
            <w:tcW w:type="dxa" w:w="17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أدنوك</w:t>
            </w:r>
          </w:p>
        </w:tc>
        <w:tc>
          <w:tcPr>
            <w:tcW w:type="dxa" w:w="8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59</w:t>
            </w:r>
          </w:p>
        </w:tc>
        <w:tc>
          <w:tcPr>
            <w:tcW w:type="dxa" w:w="4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قناة «تكلّم»: مشغّل مستقل (⁦SpeakUp⁩، أمستردام)، حوار مجهول ثنائي الاتجاه، موقع وتطبيق وهاتف، لغات متعددة، مفتوحة للجمهور؛ إصدارات مدونة السلوك منذ 2016</w:t>
            </w:r>
          </w:p>
        </w:tc>
        <w:tc>
          <w:tcPr>
            <w:tcW w:type="dxa" w:w="3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حزمة الخصائص التي ينبغي أن تبلغها منصة «تحدث»</w:t>
            </w:r>
          </w:p>
        </w:tc>
      </w:tr>
    </w:tbl>
    <w:p>
      <w:pPr>
        <w:bidi/>
        <w:spacing w:after="40" w:before="60" w:line="260"/>
      </w:pPr>
      <w:r>
        <w:rPr>
          <w:rFonts w:ascii="Sakkal Majalla" w:cs="Sakkal Majalla" w:eastAsia="Sakkal Majalla" w:hAnsi="Sakkal Majalla"/>
          <w:i/>
          <w:iCs/>
          <w:color w:val="595959"/>
          <w:sz w:val="18"/>
          <w:szCs w:val="18"/>
          <w:rtl/>
        </w:rPr>
        <w:t xml:space="preserve">مراجع بحسب المحور: الاتحاد للطيران (تتبع الحالة برمز البلاغ؛ دورة إقرار سنوية لتعارض المصالح)، بنك الإمارات دبي الوطني (نشر مؤشرات الإبلاغ؛ رئيس مسمّى لمنع الاحتيال والتحقيق)، بنك أبوظبي الأول (مزود مسمّى، رقم حالة فريد، قناة واتساب).</w:t>
      </w:r>
    </w:p>
    <w:p>
      <w:pPr>
        <w:bidi/>
        <w:spacing w:after="60" w:before="140"/>
      </w:pPr>
      <w:r>
        <w:rPr>
          <w:rFonts w:ascii="Sakkal Majalla" w:cs="Sakkal Majalla" w:eastAsia="Sakkal Majalla" w:hAnsi="Sakkal Majalla"/>
          <w:b/>
          <w:bCs/>
          <w:color w:val="1B3A6B"/>
          <w:sz w:val="26"/>
          <w:szCs w:val="26"/>
          <w:rtl/>
        </w:rPr>
        <w:t xml:space="preserve">3. الجهات المرجعية الاتحادية وجهات دبي</w:t>
      </w:r>
    </w:p>
    <w:tbl>
      <w:tblPr>
        <w:bidiVisual/>
        <w:tblW w:type="dxa" w:w="10360"/>
        <w:tblBorders>
          <w:top w:val="single" w:color="BFBFBF" w:sz="4"/>
          <w:left w:val="single" w:color="BFBFBF" w:sz="4"/>
          <w:bottom w:val="single" w:color="BFBFBF" w:sz="4"/>
          <w:right w:val="single" w:color="BFBFBF" w:sz="4"/>
          <w:insideH w:val="single" w:color="BFBFBF" w:sz="4"/>
          <w:insideV w:val="single" w:color="BFBFBF" w:sz="4"/>
        </w:tblBorders>
      </w:tblPr>
      <w:tblGrid>
        <w:gridCol w:w="2450"/>
        <w:gridCol w:w="4550"/>
        <w:gridCol w:w="3360"/>
      </w:tblGrid>
      <w:tr>
        <w:trPr>
          <w:cantSplit w:val="false"/>
          <w:tblHeader/>
        </w:trPr>
        <w:tc>
          <w:tcPr>
            <w:tcW w:type="dxa" w:w="24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الجهة</w:t>
            </w:r>
          </w:p>
        </w:tc>
        <w:tc>
          <w:tcPr>
            <w:tcW w:type="dxa" w:w="45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الممارسة الموثقة</w:t>
            </w:r>
          </w:p>
        </w:tc>
        <w:tc>
          <w:tcPr>
            <w:tcW w:type="dxa" w:w="336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موضع الإفادة لدائرة التمكين الحكومي</w:t>
            </w:r>
          </w:p>
        </w:tc>
      </w:tr>
      <w:tr>
        <w:trPr>
          <w:cantSplit w:val="false"/>
          <w:tblHeader w:val="false"/>
        </w:trPr>
        <w:tc>
          <w:tcPr>
            <w:tcW w:type="dxa" w:w="24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وزارة المالية</w:t>
            </w:r>
          </w:p>
        </w:tc>
        <w:tc>
          <w:tcPr>
            <w:tcW w:type="dxa" w:w="45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خدمة الإبلاغ «⁦Trust Voice⁩» وقناة تطبيق «⁦MOFUAE⁩»: قناة آمنة سرية مفتوحة لجميع المتعاملين والجمهور مع التزام معلن بعدم الانتقام، امتداداً لتوجيهات مكافحة الاحتيال الاتحادية 2018؛ نطاقها الوزارة نفسها — والمنصة العابرة للجهات هي «واجب»</w:t>
            </w:r>
          </w:p>
        </w:tc>
        <w:tc>
          <w:tcPr>
            <w:tcW w:type="dxa" w:w="33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سابقة وزارة اتحادية لقناة مسماة يملكها الجهاز نفسه بنطاق يشمل الجمهور</w:t>
            </w:r>
          </w:p>
        </w:tc>
      </w:tr>
      <w:tr>
        <w:trPr>
          <w:cantSplit w:val="false"/>
          <w:tblHeader w:val="false"/>
        </w:trPr>
        <w:tc>
          <w:tcPr>
            <w:tcW w:type="dxa" w:w="24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الهيئة الاتحادية للموارد البشرية الحكومية</w:t>
            </w:r>
          </w:p>
        </w:tc>
        <w:tc>
          <w:tcPr>
            <w:tcW w:type="dxa" w:w="45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مدونة السلوك المهني وأخلاقيات الوظيفة العامة (قرار مجلس الوزراء 79 لسنة 2023 بموجب المرسوم بقانون اتحادي 49 لسنة 2022): تجنب تعارض المصالح حتى الدرجة الرابعة من القرابة وحق طلب النقل؛ حظر الهدايا إلا الرمزية مع وحدة تنظيمية مخصصة لتسلمها؛ واجب الإبلاغ عن المخالفات؛ تأديب عبر اللجان</w:t>
            </w:r>
          </w:p>
        </w:tc>
        <w:tc>
          <w:tcPr>
            <w:tcW w:type="dxa" w:w="33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الأساس المعياري لدورة تعارض المصالح وسجل الهدايا وإقرارات السلوك لدينا</w:t>
            </w:r>
          </w:p>
        </w:tc>
      </w:tr>
      <w:tr>
        <w:trPr>
          <w:cantSplit w:val="false"/>
          <w:tblHeader w:val="false"/>
        </w:trPr>
        <w:tc>
          <w:tcPr>
            <w:tcW w:type="dxa" w:w="24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مصرف الإمارات العربية المتحدة المركزي</w:t>
            </w:r>
          </w:p>
        </w:tc>
        <w:tc>
          <w:tcPr>
            <w:tcW w:type="dxa" w:w="45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بوابة إبلاغ مشفرة خاصة به (2021): مجهولية بتخطي حقول الهوية، رفع المستندات، أهلية الجمهور؛ سلسلة إنفاذ تفصل الفحص عن الجزاء بمساءلة فردية (جزاء مؤسسي 200 مليون درهم وجزاء شخصي 500,000 درهم مع حظر مزاولة)</w:t>
            </w:r>
          </w:p>
        </w:tc>
        <w:tc>
          <w:tcPr>
            <w:tcW w:type="dxa" w:w="33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تصميم قناة مشفرة داخلية؛ فصل الفحص عن الجزاء</w:t>
            </w:r>
          </w:p>
        </w:tc>
      </w:tr>
      <w:tr>
        <w:trPr>
          <w:cantSplit w:val="false"/>
          <w:tblHeader w:val="false"/>
        </w:trPr>
        <w:tc>
          <w:tcPr>
            <w:tcW w:type="dxa" w:w="24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سلطة دبي للخدمات المالية — مركز دبي المالي العالمي</w:t>
            </w:r>
          </w:p>
        </w:tc>
        <w:tc>
          <w:tcPr>
            <w:tcW w:type="dxa" w:w="45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أول نظام رقابي للإبلاغ في الدولة (7 أبريل 2022) يلزم الجهات الخاضعة كلها بإجراءات مكتوبة للاستلام والتقييم والتصعيد وحماية هوية المبلّغ؛ بيانات المراجعة الموضوعية 2025: تدابير مجهولية لدى 97 من كل 100 جهة مستجيبة، وتدريب لدى 88، وفتح القنوات لأطراف ثالثة لدى 39 فقط، وضعف عام في رصد معاملة المبلّغ بعد بلاغه</w:t>
            </w:r>
          </w:p>
        </w:tc>
        <w:tc>
          <w:tcPr>
            <w:tcW w:type="dxa" w:w="33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تصميم النظام مع مجموعة البيانات القطاعية الوحيدة؛ رصد ما بعد البلاغ هو الفجوة التي نغلقها أولاً</w:t>
            </w:r>
          </w:p>
        </w:tc>
      </w:tr>
      <w:tr>
        <w:trPr>
          <w:cantSplit w:val="false"/>
          <w:tblHeader w:val="false"/>
        </w:trPr>
        <w:tc>
          <w:tcPr>
            <w:tcW w:type="dxa" w:w="24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سوق أبوظبي العالمي</w:t>
            </w:r>
          </w:p>
        </w:tc>
        <w:tc>
          <w:tcPr>
            <w:tcW w:type="dxa" w:w="45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لائحة حماية المبلغين 2024 وقناة «أمانة»؛ إنفاذ سلطة تنظيم الخدمات المالية بجزاءات منشورة وآلية خصم تسوية (⁦Aarna Capital⁩ بمبلغ 504,000 دولار)</w:t>
            </w:r>
          </w:p>
        </w:tc>
        <w:tc>
          <w:tcPr>
            <w:tcW w:type="dxa" w:w="33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المرجع القانوني داخل أبوظبي؛ قائمة تحقق للسياسة ومنطق الجزاءات</w:t>
            </w:r>
          </w:p>
        </w:tc>
      </w:tr>
      <w:tr>
        <w:trPr>
          <w:cantSplit w:val="false"/>
          <w:tblHeader w:val="false"/>
        </w:trPr>
        <w:tc>
          <w:tcPr>
            <w:tcW w:type="dxa" w:w="24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جهاز الإمارات للمساءلة</w:t>
            </w:r>
          </w:p>
        </w:tc>
        <w:tc>
          <w:tcPr>
            <w:tcW w:type="dxa" w:w="45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المرسوم بقانون اتحادي 56 لسنة 2023؛ تحقيقات إدارية في اختلاس الأموال وتعارض المصالح وإساءة استعمال السلطة؛ بوابة إحالة إلى النيابة المختصة؛ اعتماد منصة «واجب» في الوزارات والجهات الاتحادية كلها (2023)؛ سرية دون إلزام بكشف الهوية؛ إعفاء تحفيزي لمن يبلّغ من المشاركين قبل الاكتشاف</w:t>
            </w:r>
          </w:p>
        </w:tc>
        <w:tc>
          <w:tcPr>
            <w:tcW w:type="dxa" w:w="33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بيئة الإحالة التي تصب فيها قضايانا؛ تصميم السرية والإعفاء</w:t>
            </w:r>
          </w:p>
        </w:tc>
      </w:tr>
    </w:tbl>
    <w:p>
      <w:pPr>
        <w:bidi/>
        <w:spacing w:after="60" w:before="140"/>
      </w:pPr>
      <w:r>
        <w:rPr>
          <w:rFonts w:ascii="Sakkal Majalla" w:cs="Sakkal Majalla" w:eastAsia="Sakkal Majalla" w:hAnsi="Sakkal Majalla"/>
          <w:b/>
          <w:bCs/>
          <w:color w:val="1B3A6B"/>
          <w:sz w:val="26"/>
          <w:szCs w:val="26"/>
          <w:rtl/>
        </w:rPr>
        <w:t xml:space="preserve">4. الفجوات والمخاطر الرئيسية (من تحليل الفجوات)</w:t>
      </w:r>
    </w:p>
    <w:tbl>
      <w:tblPr>
        <w:bidiVisual/>
        <w:tblW w:type="dxa" w:w="10360"/>
        <w:tblBorders>
          <w:top w:val="single" w:color="BFBFBF" w:sz="4"/>
          <w:left w:val="single" w:color="BFBFBF" w:sz="4"/>
          <w:bottom w:val="single" w:color="BFBFBF" w:sz="4"/>
          <w:right w:val="single" w:color="BFBFBF" w:sz="4"/>
          <w:insideH w:val="single" w:color="BFBFBF" w:sz="4"/>
          <w:insideV w:val="single" w:color="BFBFBF" w:sz="4"/>
        </w:tblBorders>
      </w:tblPr>
      <w:tblGrid>
        <w:gridCol w:w="3050"/>
        <w:gridCol w:w="3350"/>
        <w:gridCol w:w="2300"/>
        <w:gridCol w:w="1660"/>
      </w:tblGrid>
      <w:tr>
        <w:trPr>
          <w:cantSplit/>
          <w:tblHeader/>
        </w:trPr>
        <w:tc>
          <w:tcPr>
            <w:tcW w:type="dxa" w:w="30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الفجوة</w:t>
            </w:r>
          </w:p>
        </w:tc>
        <w:tc>
          <w:tcPr>
            <w:tcW w:type="dxa" w:w="33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الخطر عند الإهمال</w:t>
            </w:r>
          </w:p>
        </w:tc>
        <w:tc>
          <w:tcPr>
            <w:tcW w:type="dxa" w:w="230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الإجراء</w:t>
            </w:r>
          </w:p>
        </w:tc>
        <w:tc>
          <w:tcPr>
            <w:tcW w:type="dxa" w:w="166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الأولوية</w:t>
            </w:r>
          </w:p>
        </w:tc>
      </w:tr>
      <w:tr>
        <w:trPr>
          <w:cantSplit/>
          <w:tblHeader w:val="false"/>
        </w:trPr>
        <w:tc>
          <w:tcPr>
            <w:tcW w:type="dxa" w:w="30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القناة: لا مجهولية ولا تتبع ولا اتصال ثنائي الاتجاه ولا استضافة مستقلة موثقة في «تحدث»</w:t>
            </w:r>
          </w:p>
        </w:tc>
        <w:tc>
          <w:tcPr>
            <w:tcW w:type="dxa" w:w="3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تجاوز المبلغين إلى «واجب» أو صمتهم؛ تأخر الاكتشاف</w:t>
            </w:r>
          </w:p>
        </w:tc>
        <w:tc>
          <w:tcPr>
            <w:tcW w:type="dxa" w:w="2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رفع قدرات «تحدث» أو شراء قناة مستضافة</w:t>
            </w:r>
          </w:p>
        </w:tc>
        <w:tc>
          <w:tcPr>
            <w:tcW w:type="dxa" w:w="1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حرجة</w:t>
            </w:r>
          </w:p>
        </w:tc>
      </w:tr>
      <w:tr>
        <w:trPr>
          <w:cantSplit/>
          <w:tblHeader w:val="false"/>
        </w:trPr>
        <w:tc>
          <w:tcPr>
            <w:tcW w:type="dxa" w:w="30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منهجية التحقيق غير ممأسسة (لا ميثاق ولا دليل في السجل)</w:t>
            </w:r>
          </w:p>
        </w:tc>
        <w:tc>
          <w:tcPr>
            <w:tcW w:type="dxa" w:w="3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فقدان القدرة برحيل شخص واحد؛ قابلية الطعن في الإجراءات</w:t>
            </w:r>
          </w:p>
        </w:tc>
        <w:tc>
          <w:tcPr>
            <w:tcW w:type="dxa" w:w="2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ميثاق ودليل وبروتوكول لجنة مخالفات</w:t>
            </w:r>
          </w:p>
        </w:tc>
        <w:tc>
          <w:tcPr>
            <w:tcW w:type="dxa" w:w="1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حرجة</w:t>
            </w:r>
          </w:p>
        </w:tc>
      </w:tr>
      <w:tr>
        <w:trPr>
          <w:cantSplit/>
          <w:tblHeader w:val="false"/>
        </w:trPr>
        <w:tc>
          <w:tcPr>
            <w:tcW w:type="dxa" w:w="30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إدارة قضايا يدوية؛ لا مدد التزام ولا أثر تدقيق ولا تحليل اتجاهات</w:t>
            </w:r>
          </w:p>
        </w:tc>
        <w:tc>
          <w:tcPr>
            <w:tcW w:type="dxa" w:w="3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تعذر إثبات السيطرة على عبء القضايا أمام الرقابة</w:t>
            </w:r>
          </w:p>
        </w:tc>
        <w:tc>
          <w:tcPr>
            <w:tcW w:type="dxa" w:w="2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نظام قضايا يقنّن الانضباط القائم</w:t>
            </w:r>
          </w:p>
        </w:tc>
        <w:tc>
          <w:tcPr>
            <w:tcW w:type="dxa" w:w="1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عالية</w:t>
            </w:r>
          </w:p>
        </w:tc>
      </w:tr>
      <w:tr>
        <w:trPr>
          <w:cantSplit/>
          <w:tblHeader w:val="false"/>
        </w:trPr>
        <w:tc>
          <w:tcPr>
            <w:tcW w:type="dxa" w:w="30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تعارض المصالح بحسب الحالة فقط؛ لا دورة إقرار سنوية</w:t>
            </w:r>
          </w:p>
        </w:tc>
        <w:tc>
          <w:tcPr>
            <w:tcW w:type="dxa" w:w="3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ظهور التعارضات غير المعلنة بعد وقوع الضرر — كما تثبت قضايانا</w:t>
            </w:r>
          </w:p>
        </w:tc>
        <w:tc>
          <w:tcPr>
            <w:tcW w:type="dxa" w:w="2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دورة سنوية وبوابة تعارض في المشتريات</w:t>
            </w:r>
          </w:p>
        </w:tc>
        <w:tc>
          <w:tcPr>
            <w:tcW w:type="dxa" w:w="1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عالية</w:t>
            </w:r>
          </w:p>
        </w:tc>
      </w:tr>
      <w:tr>
        <w:trPr>
          <w:cantSplit/>
          <w:tblHeader w:val="false"/>
        </w:trPr>
        <w:tc>
          <w:tcPr>
            <w:tcW w:type="dxa" w:w="30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سجل هدايا غير موثق؛ تحليلات مقيدة بالقضايا؛ ثقافة غير مقيسة</w:t>
            </w:r>
          </w:p>
        </w:tc>
        <w:tc>
          <w:tcPr>
            <w:tcW w:type="dxa" w:w="3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بقاء الوقاية تفاعلية وغياب الثقافة عن نظر الإدارة</w:t>
            </w:r>
          </w:p>
        </w:tc>
        <w:tc>
          <w:tcPr>
            <w:tcW w:type="dxa" w:w="2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سجل على النموذج الاتحادي؛ مؤشرات خطر؛ قياس سنوي</w:t>
            </w:r>
          </w:p>
        </w:tc>
        <w:tc>
          <w:tcPr>
            <w:tcW w:type="dxa" w:w="166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متوسطة</w:t>
            </w:r>
          </w:p>
        </w:tc>
      </w:tr>
    </w:tbl>
    <w:p>
      <w:pPr>
        <w:bidi/>
        <w:spacing w:after="60" w:before="140"/>
      </w:pPr>
      <w:r>
        <w:rPr>
          <w:rFonts w:ascii="Sakkal Majalla" w:cs="Sakkal Majalla" w:eastAsia="Sakkal Majalla" w:hAnsi="Sakkal Majalla"/>
          <w:b/>
          <w:bCs/>
          <w:color w:val="1B3A6B"/>
          <w:sz w:val="26"/>
          <w:szCs w:val="26"/>
          <w:rtl/>
        </w:rPr>
        <w:t xml:space="preserve">5. خارطة الطريق 2026–2028 (لمحة)</w:t>
      </w:r>
    </w:p>
    <w:tbl>
      <w:tblPr>
        <w:bidiVisual/>
        <w:tblW w:type="dxa" w:w="10360"/>
        <w:tblBorders>
          <w:top w:val="single" w:color="BFBFBF" w:sz="4"/>
          <w:left w:val="single" w:color="BFBFBF" w:sz="4"/>
          <w:bottom w:val="single" w:color="BFBFBF" w:sz="4"/>
          <w:right w:val="single" w:color="BFBFBF" w:sz="4"/>
          <w:insideH w:val="single" w:color="BFBFBF" w:sz="4"/>
          <w:insideV w:val="single" w:color="BFBFBF" w:sz="4"/>
        </w:tblBorders>
      </w:tblPr>
      <w:tblGrid>
        <w:gridCol w:w="2350"/>
        <w:gridCol w:w="5300"/>
        <w:gridCol w:w="2710"/>
      </w:tblGrid>
      <w:tr>
        <w:trPr>
          <w:cantSplit/>
          <w:tblHeader/>
        </w:trPr>
        <w:tc>
          <w:tcPr>
            <w:tcW w:type="dxa" w:w="23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المرحلة</w:t>
            </w:r>
          </w:p>
        </w:tc>
        <w:tc>
          <w:tcPr>
            <w:tcW w:type="dxa" w:w="530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المحتوى</w:t>
            </w:r>
          </w:p>
        </w:tc>
        <w:tc>
          <w:tcPr>
            <w:tcW w:type="dxa" w:w="271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المؤشر الرئيسي</w:t>
            </w:r>
          </w:p>
        </w:tc>
      </w:tr>
      <w:tr>
        <w:trPr>
          <w:cantSplit/>
          <w:tblHeader w:val="false"/>
        </w:trPr>
        <w:tc>
          <w:tcPr>
            <w:tcW w:type="dxa" w:w="2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1 · التأسيس (الربع الرابع 2026 – الربع الثاني 2027)</w:t>
            </w:r>
          </w:p>
        </w:tc>
        <w:tc>
          <w:tcPr>
            <w:tcW w:type="dxa" w:w="5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اعتماد الميثاق والتفويض والدليل؛ تشكيل لجنة المخالفات (قرار خلال 30 يوماً)؛ أول دورة لإقرارات تعارض المصالح؛ سجل الهدايا؛ تشغيل ترقية القناة؛ صفحة مؤشرات في حزمة لجنة التدقيق والمخاطر والامتثال؛ تعريف آلية رصد عدم الانتقام</w:t>
            </w:r>
          </w:p>
        </w:tc>
        <w:tc>
          <w:tcPr>
            <w:tcW w:type="dxa" w:w="27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درجة الإبلاغ من 2 إلى 4؛ الاستقلالية من متوسطة-منخفضة إلى متوسطة-عالية</w:t>
            </w:r>
          </w:p>
        </w:tc>
      </w:tr>
      <w:tr>
        <w:trPr>
          <w:cantSplit/>
          <w:tblHeader w:val="false"/>
        </w:trPr>
        <w:tc>
          <w:tcPr>
            <w:tcW w:type="dxa" w:w="2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2 · التعزيز (الربع الثالث 2027 – الربع الثاني 2028)</w:t>
            </w:r>
          </w:p>
        </w:tc>
        <w:tc>
          <w:tcPr>
            <w:tcW w:type="dxa" w:w="5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نظام إدارة القضايا؛ محققان معتمدان إضافيان؛ تغذية استخبارات المخاطر (المشتريات والموارد البشرية والمالية) في مؤشرات دائمة؛ إقرارات التوعية وقياس نبض الثقافة؛ جاهزية ⁦ISO 37001⁩</w:t>
            </w:r>
          </w:p>
        </w:tc>
        <w:tc>
          <w:tcPr>
            <w:tcW w:type="dxa" w:w="27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كل القضايا في النظام بحالات مدد التزام؛ 10 مؤشرات خطر دائمة فأكثر</w:t>
            </w:r>
          </w:p>
        </w:tc>
      </w:tr>
      <w:tr>
        <w:trPr>
          <w:cantSplit/>
          <w:tblHeader w:val="false"/>
        </w:trPr>
        <w:tc>
          <w:tcPr>
            <w:tcW w:type="dxa" w:w="23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3 · النزاهة الذكية (2028 فما بعد)</w:t>
            </w:r>
          </w:p>
        </w:tc>
        <w:tc>
          <w:tcPr>
            <w:tcW w:type="dxa" w:w="53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تصنيف الاستلام بمعالجة اللغة الطبيعية مع قرار بشري إلزامي (مساحة بيضاء في الدولة — لا جهة تثبت فرزاً آلياً لبلاغات المخالفات)؛ شهادات ⁦ISO 37001⁩ ثم ⁦ISO 37301⁩؛ سيناريوهات احتيال الذكاء الاصطناعي في دورة تقييم مخاطر الاحتيال</w:t>
            </w:r>
          </w:p>
        </w:tc>
        <w:tc>
          <w:tcPr>
            <w:tcW w:type="dxa" w:w="27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أول استلام معزز بالذكاء الاصطناعي موثق في حكومة الدولة</w:t>
            </w:r>
          </w:p>
        </w:tc>
      </w:tr>
    </w:tbl>
    <w:p>
      <w:pPr>
        <w:bidi/>
        <w:spacing w:after="60" w:before="140"/>
      </w:pPr>
      <w:r>
        <w:rPr>
          <w:rFonts w:ascii="Sakkal Majalla" w:cs="Sakkal Majalla" w:eastAsia="Sakkal Majalla" w:hAnsi="Sakkal Majalla"/>
          <w:b/>
          <w:bCs/>
          <w:color w:val="1B3A6B"/>
          <w:sz w:val="26"/>
          <w:szCs w:val="26"/>
          <w:rtl/>
        </w:rPr>
        <w:t xml:space="preserve">6. التوصيات العشر (التفصيل الكامل في القسم 24 من الدراسة)</w:t>
      </w:r>
    </w:p>
    <w:tbl>
      <w:tblPr>
        <w:bidiVisual/>
        <w:tblW w:type="dxa" w:w="10360"/>
        <w:tblBorders>
          <w:top w:val="single" w:color="BFBFBF" w:sz="4"/>
          <w:left w:val="single" w:color="BFBFBF" w:sz="4"/>
          <w:bottom w:val="single" w:color="BFBFBF" w:sz="4"/>
          <w:right w:val="single" w:color="BFBFBF" w:sz="4"/>
          <w:insideH w:val="single" w:color="BFBFBF" w:sz="4"/>
          <w:insideV w:val="single" w:color="BFBFBF" w:sz="4"/>
        </w:tblBorders>
      </w:tblPr>
      <w:tblGrid>
        <w:gridCol w:w="4900"/>
        <w:gridCol w:w="1900"/>
        <w:gridCol w:w="1150"/>
        <w:gridCol w:w="2410"/>
      </w:tblGrid>
      <w:tr>
        <w:trPr>
          <w:cantSplit/>
          <w:tblHeader/>
        </w:trPr>
        <w:tc>
          <w:tcPr>
            <w:tcW w:type="dxa" w:w="490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التوصية</w:t>
            </w:r>
          </w:p>
        </w:tc>
        <w:tc>
          <w:tcPr>
            <w:tcW w:type="dxa" w:w="190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المرجع</w:t>
            </w:r>
          </w:p>
        </w:tc>
        <w:tc>
          <w:tcPr>
            <w:tcW w:type="dxa" w:w="115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الأولوية</w:t>
            </w:r>
          </w:p>
        </w:tc>
        <w:tc>
          <w:tcPr>
            <w:tcW w:type="dxa" w:w="2410"/>
            <w:shd w:fill="1B3A6B" w:val="clear"/>
            <w:tcMar>
              <w:top w:type="dxa" w:w="30"/>
              <w:left w:type="dxa" w:w="70"/>
              <w:bottom w:type="dxa" w:w="30"/>
              <w:right w:type="dxa" w:w="70"/>
            </w:tcMar>
          </w:tcPr>
          <w:p>
            <w:pPr>
              <w:bidi/>
              <w:spacing w:after="0" w:before="0" w:line="240"/>
            </w:pPr>
            <w:r>
              <w:rPr>
                <w:rFonts w:ascii="Sakkal Majalla" w:cs="Sakkal Majalla" w:eastAsia="Sakkal Majalla" w:hAnsi="Sakkal Majalla"/>
                <w:b/>
                <w:bCs/>
                <w:color w:val="FFFFFF"/>
                <w:sz w:val="20"/>
                <w:szCs w:val="20"/>
                <w:rtl/>
              </w:rPr>
              <w:t xml:space="preserve">التوقيت</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1 · اعتماد ميثاق مكتب النزاهة بتفويض التحقيق</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مبادلة</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حرجة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الرابع 2026</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2 · رفع قناة الإبلاغ إلى حزمة الخصائص الرائدة</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أدنوك / بنك أبوظبي الأول / الاتحاد للطيران</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حرجة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التشغيل الربع الثاني 2027</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3 · تشكيل لجنة مخالفات منفصلة عن التحقيق بقرار خلال 30 يوماً</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سلطة دبي للخدمات المالية / قرار المجلس التنفيذي 4 لسنة 2019</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حرجة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الأول 2027</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4 · تقنين دليل التحقيق من المنهجية القائمة والتدريب عليه</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مساحة بيضاء محلياً</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عالية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الرابع 2026</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5 · إطلاق دورة الإقرار السنوي لتعارض المصالح وبوابة تعارض في المشتريات</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الاتحاد للطيران / القانون الاتحادي 11 لسنة 2023</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عالية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الثاني 2027</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6 · تنفيذ نظام إدارة القضايا بتقنين الانضباط القائم</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نموذج مركّب</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عالية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الأول 2028</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7 · إنشاء سجل الهدايا على النموذج الاتحادي</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مدونة الهيئة الاتحادية للموارد البشرية الحكومية</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متوسطة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الأول 2027</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8 · مؤشرات القناة والقضايا في حزمة اللجنة مع رصد ما بعد البلاغ</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بنك الإمارات دبي الوطني / سلطة دبي للخدمات المالية</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متوسطة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الأول 2027</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9 · تغذية استخبارات المخاطر في مؤشرات دائمة لتقييم مخاطر الاحتيال</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الهيئة الاتحادية للضرائب / جهاز الرقابة المالية في دبي</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متوسطة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الربع الثاني 2028</w:t>
            </w:r>
          </w:p>
        </w:tc>
      </w:tr>
      <w:tr>
        <w:trPr>
          <w:cantSplit/>
          <w:tblHeader w:val="false"/>
        </w:trPr>
        <w:tc>
          <w:tcPr>
            <w:tcW w:type="dxa" w:w="4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10 · مسار ⁦ISO⁩ (من ⁦37001⁩ إلى ⁦37301⁩ وقناة موافقة لمواصفة ⁦37002⁩) ثم الاستلام المعزز بقرار بشري</w:t>
            </w:r>
          </w:p>
        </w:tc>
        <w:tc>
          <w:tcPr>
            <w:tcW w:type="dxa" w:w="190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مبادلة / هيئة كهرباء ومياه دبي / سابقة «تمّ»</w:t>
            </w:r>
          </w:p>
        </w:tc>
        <w:tc>
          <w:tcPr>
            <w:tcW w:type="dxa" w:w="115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استراتيجية</w:t>
            </w:r>
          </w:p>
        </w:tc>
        <w:tc>
          <w:tcPr>
            <w:tcW w:type="dxa" w:w="2410"/>
            <w:tcMar>
              <w:top w:type="dxa" w:w="30"/>
              <w:left w:type="dxa" w:w="70"/>
              <w:bottom w:type="dxa" w:w="30"/>
              <w:right w:type="dxa" w:w="70"/>
            </w:tcMar>
          </w:tcPr>
          <w:p>
            <w:pPr>
              <w:bidi/>
              <w:spacing w:after="0" w:before="0" w:line="240"/>
            </w:pPr>
            <w:r>
              <w:rPr>
                <w:rFonts w:ascii="Sakkal Majalla" w:cs="Sakkal Majalla" w:eastAsia="Sakkal Majalla" w:hAnsi="Sakkal Majalla"/>
                <w:color w:val="000000"/>
                <w:sz w:val="20"/>
                <w:szCs w:val="20"/>
                <w:rtl/>
              </w:rPr>
              <w:t xml:space="preserve">2028</w:t>
            </w:r>
          </w:p>
        </w:tc>
      </w:tr>
    </w:tbl>
    <w:p>
      <w:pPr>
        <w:bidi/>
        <w:spacing w:after="60" w:before="140"/>
      </w:pPr>
      <w:r>
        <w:rPr>
          <w:rFonts w:ascii="Sakkal Majalla" w:cs="Sakkal Majalla" w:eastAsia="Sakkal Majalla" w:hAnsi="Sakkal Majalla"/>
          <w:b/>
          <w:bCs/>
          <w:color w:val="1B3A6B"/>
          <w:sz w:val="26"/>
          <w:szCs w:val="26"/>
          <w:rtl/>
        </w:rPr>
        <w:t xml:space="preserve">7. ماذا يعني هذا — وما الذي لا نعرفه بعد</w:t>
      </w:r>
    </w:p>
    <w:p>
      <w:pPr>
        <w:bidi/>
        <w:spacing w:after="40" w:before="40" w:line="260"/>
      </w:pPr>
      <w:r>
        <w:rPr>
          <w:rFonts w:ascii="Sakkal Majalla" w:cs="Sakkal Majalla" w:eastAsia="Sakkal Majalla" w:hAnsi="Sakkal Majalla"/>
          <w:b/>
          <w:bCs/>
          <w:sz w:val="22"/>
          <w:szCs w:val="22"/>
          <w:rtl/>
        </w:rPr>
        <w:t xml:space="preserve">ماذا يعني هذا: </w:t>
      </w:r>
      <w:r>
        <w:rPr>
          <w:rFonts w:ascii="Sakkal Majalla" w:cs="Sakkal Majalla" w:eastAsia="Sakkal Majalla" w:hAnsi="Sakkal Majalla"/>
          <w:sz w:val="22"/>
          <w:szCs w:val="22"/>
          <w:rtl/>
        </w:rPr>
        <w:t xml:space="preserve">المسار تحويل ممارسة مجسدة إلى مؤسسة — ميثاق فلجنة فقناة فنظام فبرنامج، بهذا الترتيب؛ وبتنفيذ الخارطة ينتقل الملف من 57 إلى منتصف السبعينات، بثلاثة منجزات لا يُظهرها أي نظير حكومي محلي موثق: منهجية تحقيق منشورة، وثقافة نزاهة مقيسة، واستلام معزز بالذكاء الاصطناعي بقرار بشري.</w:t>
      </w:r>
    </w:p>
    <w:p>
      <w:pPr>
        <w:bidi/>
        <w:spacing w:after="40" w:before="40" w:line="260"/>
      </w:pPr>
      <w:r>
        <w:rPr>
          <w:rFonts w:ascii="Sakkal Majalla" w:cs="Sakkal Majalla" w:eastAsia="Sakkal Majalla" w:hAnsi="Sakkal Majalla"/>
          <w:b/>
          <w:bCs/>
          <w:sz w:val="22"/>
          <w:szCs w:val="22"/>
          <w:rtl/>
        </w:rPr>
        <w:t xml:space="preserve">ما الذي لا نعرفه بعد: </w:t>
      </w:r>
      <w:r>
        <w:rPr>
          <w:rFonts w:ascii="Sakkal Majalla" w:cs="Sakkal Majalla" w:eastAsia="Sakkal Majalla" w:hAnsi="Sakkal Majalla"/>
          <w:sz w:val="22"/>
          <w:szCs w:val="22"/>
          <w:rtl/>
        </w:rPr>
        <w:t xml:space="preserve">درجات المقارنة تقيس النضج المُفصح عنه فقط؛ وكل ادعاء خارجي محتوى رسمي موثق عبر البحث تلزمه فتحة تحقق واحدة للرابط (بيئة التنفيذ حجبت الجلب المباشر للصفحات)؛ وتوظيف القسم وموازنته وسياساته الداخلية خارج سجل المشروع؛ ووجود آليات هدايا أو تعارض مصالح على مستوى الدائرة خارج السجل؛ ورقم مادة إعفاء الراشي المبلّغ في قانون الجرائم والعقوبات تتضارب فيه المصادر الثانوية فأُغفل عمداً.</w:t>
      </w:r>
    </w:p>
    <w:sectPr>
      <w:headerReference w:type="default" r:id="rId7"/>
      <w:footerReference w:type="default" r:id="rId8"/>
      <w:pgSz w:w="11906" w:h="16838" w:orient="portrait"/>
      <w:pgMar w:top="794" w:right="851" w:bottom="794" w:left="851"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10205"/>
      </w:tabs>
      <w:bidi/>
    </w:pPr>
    <w:r>
      <w:rPr>
        <w:rFonts w:ascii="Sakkal Majalla" w:cs="Sakkal Majalla" w:eastAsia="Sakkal Majalla" w:hAnsi="Sakkal Majalla"/>
        <w:color w:val="595959"/>
        <w:sz w:val="16"/>
        <w:szCs w:val="16"/>
        <w:rtl/>
      </w:rPr>
      <w:t xml:space="preserve">دائرة التمكين الحكومي – أبوظبي   صفحة </w:t>
    </w:r>
    <w:r>
      <w:rPr>
        <w:rFonts w:ascii="Sakkal Majalla" w:cs="Sakkal Majalla" w:eastAsia="Sakkal Majalla" w:hAnsi="Sakkal Majalla"/>
        <w:color w:val="595959"/>
        <w:sz w:val="16"/>
        <w:szCs w:val="16"/>
      </w:rPr>
      <w:fldChar w:fldCharType="begin"/>
      <w:instrText xml:space="preserve">PAGE</w:instrText>
      <w:fldChar w:fldCharType="separate"/>
      <w:fldChar w:fldCharType="end"/>
    </w:r>
    <w:r>
      <w:rPr>
        <w:rFonts w:ascii="Sakkal Majalla" w:cs="Sakkal Majalla" w:eastAsia="Sakkal Majalla" w:hAnsi="Sakkal Majalla"/>
        <w:color w:val="595959"/>
        <w:sz w:val="16"/>
        <w:szCs w:val="16"/>
        <w:rtl/>
      </w:rPr>
      <w:t xml:space="preserve"> من </w:t>
    </w:r>
    <w:r>
      <w:rPr>
        <w:rFonts w:ascii="Sakkal Majalla" w:cs="Sakkal Majalla" w:eastAsia="Sakkal Majalla" w:hAnsi="Sakkal Majalla"/>
        <w:color w:val="595959"/>
        <w:sz w:val="16"/>
        <w:szCs w:val="16"/>
      </w:rPr>
      <w:fldChar w:fldCharType="begin"/>
      <w:instrText xml:space="preserve">NUMPAGES</w:instrText>
      <w:fldChar w:fldCharType="separate"/>
      <w:fldChar w:fldCharType="end"/>
    </w:r>
    <w:r>
      <w:rPr>
        <w:rFonts w:ascii="Sakkal Majalla" w:cs="Sakkal Majalla" w:eastAsia="Sakkal Majalla" w:hAnsi="Sakkal Majalla"/>
        <w:sz w:val="16"/>
        <w:szCs w:val="16"/>
      </w:rPr>
      <w:t xml:space="preserve">	</w:t>
    </w:r>
    <w:r>
      <w:rPr>
        <w:rFonts w:ascii="Sakkal Majalla" w:cs="Sakkal Majalla" w:eastAsia="Sakkal Majalla" w:hAnsi="Sakkal Majalla"/>
        <w:color w:val="595959"/>
        <w:sz w:val="16"/>
        <w:szCs w:val="16"/>
      </w:rPr>
      <w:t xml:space="preserve">CONFIDENTIAL | خصوصيّ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bidi/>
      <w:spacing w:after="0"/>
    </w:pPr>
    <w:r>
      <w:rPr>
        <w:rFonts w:ascii="Sakkal Majalla" w:cs="Sakkal Majalla" w:eastAsia="Sakkal Majalla" w:hAnsi="Sakkal Majalla"/>
        <w:color w:val="1B3A6B"/>
        <w:sz w:val="16"/>
        <w:szCs w:val="16"/>
        <w:rtl/>
      </w:rPr>
      <w:t xml:space="preserve">قسم النزاهة – قطاع التدقيق الداخلي وإدارة المخاطر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2026-09-04T21:57:32.999Z</dcterms:created>
  <dcterms:modified xsi:type="dcterms:W3CDTF">2026-09-04T21:57:32.999Z</dcterms:modified>
</cp:coreProperties>
</file>

<file path=docProps/custom.xml><?xml version="1.0" encoding="utf-8"?>
<Properties xmlns="http://schemas.openxmlformats.org/officeDocument/2006/custom-properties" xmlns:vt="http://schemas.openxmlformats.org/officeDocument/2006/docPropsVTypes"/>
</file>