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0"/>
        </w:pBdr>
        <w:spacing w:after="30" w:before="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UAE Integrity Benchmarking Study — Executive Brief</w:t>
      </w:r>
    </w:p>
    <w:p>
      <w:pPr>
        <w:spacing w:after="10" w:before="40" w:line="25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Integrity Section · Internal Audit and Risk Management Sector · Department of Government Enablement — Abu Dhabi</w:t>
      </w:r>
    </w:p>
    <w:p>
      <w:pPr>
        <w:spacing w:after="80" w:before="40" w:line="252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4 September 2026 · DRAFT for review · Distilled from the full 26-section study; every claim traces to the evidence registers (all sources accessed 4 September 2026, search-verified official content pending one-click URL confirmation).</w:t>
      </w:r>
    </w:p>
    <w:p>
      <w:pPr>
        <w:pBdr>
          <w:bottom w:val="single" w:color="C9A84C" w:sz="6"/>
        </w:pBdr>
        <w:spacing w:after="60" w:before="1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1. The Answer</w:t>
      </w:r>
    </w:p>
    <w:p>
      <w:pPr>
        <w:spacing w:after="40" w:before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Where we stand. </w:t>
      </w:r>
      <w:r>
        <w:rPr>
          <w:rFonts w:ascii="Calibri" w:cs="Calibri" w:eastAsia="Calibri" w:hAnsi="Calibri"/>
          <w:sz w:val="21"/>
          <w:szCs w:val="21"/>
        </w:rPr>
        <w:t xml:space="preserve">The Integrity Section scores a provisional 57 of 100 on the study model — investigations, fraud risk assessment (312 risks · 497 control owners · 8 registers · 41 entities) and executive reporting at Advanced level; whistleblowing channel, case management, conflict of interest, and gifts machinery at Developing or below. The maturity is embodied in practice, not yet institutionalised in charter, systems and staffing. (Current-state register: carried from the project record.)</w:t>
      </w:r>
    </w:p>
    <w:p>
      <w:pPr>
        <w:spacing w:after="40" w:before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the leaders do differently. </w:t>
      </w:r>
      <w:r>
        <w:rPr>
          <w:rFonts w:ascii="Calibri" w:cs="Calibri" w:eastAsia="Calibri" w:hAnsi="Calibri"/>
          <w:sz w:val="21"/>
          <w:szCs w:val="21"/>
        </w:rPr>
        <w:t xml:space="preserve">They place the reporting channel outside the organization or under certification, with anonymity and two-way dialogue; they separate investigation from decision structurally; they publish outcomes and metrics; and government bodies anchor reporter protection in a legal instrument, not a webpage promise.</w:t>
      </w:r>
    </w:p>
    <w:p>
      <w:pPr>
        <w:spacing w:after="40" w:before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decision requested. </w:t>
      </w:r>
      <w:r>
        <w:rPr>
          <w:rFonts w:ascii="Calibri" w:cs="Calibri" w:eastAsia="Calibri" w:hAnsi="Calibri"/>
          <w:sz w:val="21"/>
          <w:szCs w:val="21"/>
        </w:rPr>
        <w:t xml:space="preserve">Approve the three Critical actions (charter and investigation mandate; channel capability upgrade; violations committee separated from investigation) to start Q4 2026 — cost is chiefly internal effort plus one hosted-channel procurement; the risk carried by inaction is reporter bypass and key-person dependency.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2. Top 5 UAE Benchmark Entities (scored /100, assessed in session from disclosed evidence)</w:t>
      </w:r>
    </w:p>
    <w:tbl>
      <w:tblPr>
        <w:tblW w:type="dxa" w:w="10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850"/>
        <w:gridCol w:w="4150"/>
        <w:gridCol w:w="3660"/>
      </w:tblGrid>
      <w:tr>
        <w:trPr>
          <w:cantSplit w:val="false"/>
          <w:tblHeader/>
        </w:trPr>
        <w:tc>
          <w:tcPr>
            <w:tcW w:type="dxa" w:w="170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85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15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evidences</w:t>
            </w:r>
          </w:p>
        </w:tc>
        <w:tc>
          <w:tcPr>
            <w:tcW w:type="dxa" w:w="366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take from it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Mubadala</w:t>
            </w:r>
          </w:p>
        </w:tc>
        <w:tc>
          <w:tcPr>
            <w:tcW w:type="dxa" w:w="8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67</w:t>
            </w:r>
          </w:p>
        </w:tc>
        <w:tc>
          <w:tcPr>
            <w:tcW w:type="dxa" w:w="4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Only UAE entity with ISO 37001 + 37301 + 37002 together; Ethics &amp; Compliance Office that itself investigates</w:t>
            </w:r>
          </w:p>
        </w:tc>
        <w:tc>
          <w:tcPr>
            <w:tcW w:type="dxa" w:w="3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Certification path; chartered office owning ethics, channel and investigations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DFSA (DIFC)</w:t>
            </w:r>
          </w:p>
        </w:tc>
        <w:tc>
          <w:tcPr>
            <w:tcW w:type="dxa" w:w="8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4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Enforcement with Decision Making Committee having "no previous direct involvement in establishing the evidence"; tribunal appeal; published notices; 2025 whistleblowing thematic review</w:t>
            </w:r>
          </w:p>
        </w:tc>
        <w:tc>
          <w:tcPr>
            <w:tcW w:type="dxa" w:w="3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Structural separation of investigation from decision; supervision by data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ADGM</w:t>
            </w:r>
          </w:p>
        </w:tc>
        <w:tc>
          <w:tcPr>
            <w:tcW w:type="dxa" w:w="8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63</w:t>
            </w:r>
          </w:p>
        </w:tc>
        <w:tc>
          <w:tcPr>
            <w:tcW w:type="dxa" w:w="4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Whistleblower Protection Regulations 2024 (in force 5 July 2024): protected disclosures, anonymity, protection from "any form of detriment", 6-year records, sanctions</w:t>
            </w:r>
          </w:p>
        </w:tc>
        <w:tc>
          <w:tcPr>
            <w:tcW w:type="dxa" w:w="3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Ready checklist for a departmental whistleblowing policy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Dubai Financial Audit Authority</w:t>
            </w:r>
          </w:p>
        </w:tc>
        <w:tc>
          <w:tcPr>
            <w:tcW w:type="dxa" w:w="8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63</w:t>
            </w:r>
          </w:p>
        </w:tc>
        <w:tc>
          <w:tcPr>
            <w:tcW w:type="dxa" w:w="4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Nazaha public reporting; Decision 2/2025 statutory employment protection for reporters; anti-fraud framework; Al Mo’ashir dashboards; own violations committee</w:t>
            </w:r>
          </w:p>
        </w:tc>
        <w:tc>
          <w:tcPr>
            <w:tcW w:type="dxa" w:w="3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Closest public-sector operating model end to end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ADNOC</w:t>
            </w:r>
          </w:p>
        </w:tc>
        <w:tc>
          <w:tcPr>
            <w:tcW w:type="dxa" w:w="8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59</w:t>
            </w:r>
          </w:p>
        </w:tc>
        <w:tc>
          <w:tcPr>
            <w:tcW w:type="dxa" w:w="4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Takallam channel: independent operator (SpeakUp, Amsterdam), anonymous two-way dialogue, web/app/phone, multilingual, open to the public; code editions since 2016</w:t>
            </w:r>
          </w:p>
        </w:tc>
        <w:tc>
          <w:tcPr>
            <w:tcW w:type="dxa" w:w="3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channel attribute set Tahadath should reach</w:t>
            </w:r>
          </w:p>
        </w:tc>
      </w:tr>
    </w:tbl>
    <w:p>
      <w:pPr>
        <w:spacing w:after="40" w:before="60" w:line="252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Dimension-specific references: Etihad (Report-Key case tracking; annual COI declaration cycle), Emirates NBD (published whistleblowing metrics; named Head of Fraud Prevention and Investigation), FAB (named vendor, unique case numbers, WhatsApp channel).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 Federal and Dubai Reference Entities</w:t>
      </w:r>
    </w:p>
    <w:tbl>
      <w:tblPr>
        <w:tblW w:type="dxa" w:w="10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3360"/>
      </w:tblGrid>
      <w:tr>
        <w:trPr>
          <w:cantSplit w:val="false"/>
          <w:tblHeader/>
        </w:trPr>
        <w:tc>
          <w:tcPr>
            <w:tcW w:type="dxa" w:w="240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60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Evidenced practice</w:t>
            </w:r>
          </w:p>
        </w:tc>
        <w:tc>
          <w:tcPr>
            <w:tcW w:type="dxa" w:w="336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Relevance to DGE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Ministry of Finance</w:t>
            </w:r>
          </w:p>
        </w:tc>
        <w:tc>
          <w:tcPr>
            <w:tcW w:type="dxa" w:w="4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"Trust Voice" whistleblowing service + MOFUAE app channel: secure, confidential, open to all stakeholders including the public, anti-retaliation stated; lineage from the 2018 federal anti-fraud guidance. Covers MoF itself — the cross-government platform is Wajib.</w:t>
            </w:r>
          </w:p>
        </w:tc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Federal ministry precedent for a department-owned named channel with public scope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Federal Authority for Government Human Resources (FAHR)</w:t>
            </w:r>
          </w:p>
        </w:tc>
        <w:tc>
          <w:tcPr>
            <w:tcW w:type="dxa" w:w="4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Federal Code of Professional Conduct and Ethics (Cabinet Resolution 79/2023 under Decree-Law 49/2022): COI avoidance with family scope to the 4th degree and right to request transfer; gifts barred except symbolic items, with a designated unit to receive gifts; duty to report irregularities; committee-based discipline.</w:t>
            </w:r>
          </w:p>
        </w:tc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normative base for our COI cycle, gifts register and conduct attestation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Central Bank of the UAE</w:t>
            </w:r>
          </w:p>
        </w:tc>
        <w:tc>
          <w:tcPr>
            <w:tcW w:type="dxa" w:w="4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Own encrypted whistleblowing portal (2021): anonymity by skipping identification, evidence upload, public eligibility; enforcement chain (Examination vs Enforcement) with individual accountability (AED 200m institutional + AED 500,000 personal sanction with prohibition).</w:t>
            </w:r>
          </w:p>
        </w:tc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Encrypted in-house channel design; separation of examination from sanction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DFSA — DIFC</w:t>
            </w:r>
          </w:p>
        </w:tc>
        <w:tc>
          <w:tcPr>
            <w:tcW w:type="dxa" w:w="4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First UAE regulatory whistleblowing regime (7 April 2022) binding all regulated entities: written procedures to report, assess, escalate; identity protection; thematic review data (97% anonymity measures; 88% training; only 39% open channels to third parties; weak post-report treatment monitoring).</w:t>
            </w:r>
          </w:p>
        </w:tc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Regime design plus the only sector-wide dataset; post-report monitoring is the gap we can close first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ADGM (Abu Dhabi)</w:t>
            </w:r>
          </w:p>
        </w:tc>
        <w:tc>
          <w:tcPr>
            <w:tcW w:type="dxa" w:w="4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Whistleblower Protection Regulations 2024 + AMANAH channel; FSRA enforcement with published penalties and settlement discounts (Aarna Capital USD 504,000).</w:t>
            </w:r>
          </w:p>
        </w:tc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Abu Dhabi’s own statutory benchmark; policy checklist and sanction logic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UAE Accountability Authority</w:t>
            </w:r>
          </w:p>
        </w:tc>
        <w:tc>
          <w:tcPr>
            <w:tcW w:type="dxa" w:w="4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Federal Decree-Law 56/2023; administrative investigations into misappropriation, COI, abuse of authority; prosecution referral gateway; Wajib platform adopted across all ministries and federal entities (2023); confidentiality without mandatory identity disclosure; leniency for self-reporting participants.</w:t>
            </w:r>
          </w:p>
        </w:tc>
        <w:tc>
          <w:tcPr>
            <w:tcW w:type="dxa" w:w="33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referral environment our cases feed; leniency and confidentiality design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4. Main Gaps and Risks (from the gap analysis)</w:t>
      </w:r>
    </w:p>
    <w:tbl>
      <w:tblPr>
        <w:tblW w:type="dxa" w:w="10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50"/>
        <w:gridCol w:w="3600"/>
        <w:gridCol w:w="2050"/>
        <w:gridCol w:w="1660"/>
      </w:tblGrid>
      <w:tr>
        <w:trPr>
          <w:cantSplit w:val="false"/>
          <w:tblHeader/>
        </w:trPr>
        <w:tc>
          <w:tcPr>
            <w:tcW w:type="dxa" w:w="305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60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if unaddressed</w:t>
            </w:r>
          </w:p>
        </w:tc>
        <w:tc>
          <w:tcPr>
            <w:tcW w:type="dxa" w:w="205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66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 w:val="false"/>
          <w:tblHeader w:val="false"/>
        </w:trPr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Channel: no anonymity, tracking, two-way, independent hosting evidenced on Tahadath</w:t>
            </w:r>
          </w:p>
        </w:tc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Reporters bypass to Wajib or stay silent; late detection</w:t>
            </w:r>
          </w:p>
        </w:tc>
        <w:tc>
          <w:tcPr>
            <w:tcW w:type="dxa" w:w="2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Upgrade Tahadath or procure hosted channel</w:t>
            </w:r>
          </w:p>
        </w:tc>
        <w:tc>
          <w:tcPr>
            <w:tcW w:type="dxa" w:w="1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rPr>
          <w:cantSplit w:val="false"/>
          <w:tblHeader w:val="false"/>
        </w:trPr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Investigation method not institutionalised (no charter/manual in record)</w:t>
            </w:r>
          </w:p>
        </w:tc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Key-person loss removes capability; process challengeable</w:t>
            </w:r>
          </w:p>
        </w:tc>
        <w:tc>
          <w:tcPr>
            <w:tcW w:type="dxa" w:w="2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Charter + manual + violations-committee protocol</w:t>
            </w:r>
          </w:p>
        </w:tc>
        <w:tc>
          <w:tcPr>
            <w:tcW w:type="dxa" w:w="1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rPr>
          <w:cantSplit w:val="false"/>
          <w:tblHeader w:val="false"/>
        </w:trPr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Manual case management; no SLA, audit trail, trend view</w:t>
            </w:r>
          </w:p>
        </w:tc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Cannot evidence control of caseload to oversight</w:t>
            </w:r>
          </w:p>
        </w:tc>
        <w:tc>
          <w:tcPr>
            <w:tcW w:type="dxa" w:w="2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Case system encoding existing discipline</w:t>
            </w:r>
          </w:p>
        </w:tc>
        <w:tc>
          <w:tcPr>
            <w:tcW w:type="dxa" w:w="1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cantSplit w:val="false"/>
          <w:tblHeader w:val="false"/>
        </w:trPr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COI per-case only; no annual declaration cycle</w:t>
            </w:r>
          </w:p>
        </w:tc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Undeclared conflicts surface after damage — as own casework shows</w:t>
            </w:r>
          </w:p>
        </w:tc>
        <w:tc>
          <w:tcPr>
            <w:tcW w:type="dxa" w:w="2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Annual cycle + procurement COI gate</w:t>
            </w:r>
          </w:p>
        </w:tc>
        <w:tc>
          <w:tcPr>
            <w:tcW w:type="dxa" w:w="1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rPr>
          <w:cantSplit w:val="false"/>
          <w:tblHeader w:val="false"/>
        </w:trPr>
        <w:tc>
          <w:tcPr>
            <w:tcW w:type="dxa" w:w="3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Gifts register not evidenced; analytics case-bound; culture unmeasured</w:t>
            </w:r>
          </w:p>
        </w:tc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Prevention stays reactive; culture invisible</w:t>
            </w:r>
          </w:p>
        </w:tc>
        <w:tc>
          <w:tcPr>
            <w:tcW w:type="dxa" w:w="20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Register (federal-code model); KRIs; annual pulse</w:t>
            </w:r>
          </w:p>
        </w:tc>
        <w:tc>
          <w:tcPr>
            <w:tcW w:type="dxa" w:w="16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5. Roadmap 2026–2028 (snapshot)</w:t>
      </w:r>
    </w:p>
    <w:tbl>
      <w:tblPr>
        <w:tblW w:type="dxa" w:w="10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50"/>
        <w:gridCol w:w="5300"/>
        <w:gridCol w:w="2710"/>
      </w:tblGrid>
      <w:tr>
        <w:trPr>
          <w:cantSplit/>
          <w:tblHeader/>
        </w:trPr>
        <w:tc>
          <w:tcPr>
            <w:tcW w:type="dxa" w:w="235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30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71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Headline KPI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 · Foundation (Q4 2026 – Q2 2027)</w:t>
            </w:r>
          </w:p>
        </w:tc>
        <w:tc>
          <w:tcPr>
            <w:tcW w:type="dxa" w:w="5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Charter, mandate and manual approved; violations committee constituted (30-day decision standard); COI first cycle; gifts register; channel upgrade live; KPI page in ARCC pack; anti-retaliation monitoring defined</w:t>
            </w:r>
          </w:p>
        </w:tc>
        <w:tc>
          <w:tcPr>
            <w:tcW w:type="dxa" w:w="27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Whistleblowing score 2→4; independence Moderate-Low→Moderate-High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· Enhancement (Q3 2027 – Q2 2028)</w:t>
            </w:r>
          </w:p>
        </w:tc>
        <w:tc>
          <w:tcPr>
            <w:tcW w:type="dxa" w:w="5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Case-management system; second and third certified investigators; risk-intelligence feeds (procurement, HR, finance) into standing KRIs; awareness attestation + culture pulse; ISO 37001 readiness</w:t>
            </w:r>
          </w:p>
        </w:tc>
        <w:tc>
          <w:tcPr>
            <w:tcW w:type="dxa" w:w="27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100% of cases in system with SLA states; ≥10 standing KRIs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 · Intelligent Integrity (2028+)</w:t>
            </w:r>
          </w:p>
        </w:tc>
        <w:tc>
          <w:tcPr>
            <w:tcW w:type="dxa" w:w="5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NLP-assisted intake classification with mandatory human decision (UAE white space — no entity evidences AI triage of whistleblowing reports); ISO 37001→37301 certification; AI-fraud scenarios in the FRA cycle</w:t>
            </w:r>
          </w:p>
        </w:tc>
        <w:tc>
          <w:tcPr>
            <w:tcW w:type="dxa" w:w="27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First evidenced AI-assisted integrity intake in UAE government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6. Top 10 Recommendations (full detail in Section 24 of the study)</w:t>
      </w:r>
    </w:p>
    <w:tbl>
      <w:tblPr>
        <w:tblW w:type="dxa" w:w="10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150"/>
        <w:gridCol w:w="1500"/>
        <w:gridCol w:w="1300"/>
        <w:gridCol w:w="2410"/>
      </w:tblGrid>
      <w:tr>
        <w:trPr>
          <w:cantSplit w:val="false"/>
          <w:tblHeader/>
        </w:trPr>
        <w:tc>
          <w:tcPr>
            <w:tcW w:type="dxa" w:w="515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150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Benchmark</w:t>
            </w:r>
          </w:p>
        </w:tc>
        <w:tc>
          <w:tcPr>
            <w:tcW w:type="dxa" w:w="130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10"/>
            <w:shd w:fill="1B3A6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 · Approve Integrity Office charter with investigation mandate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Mubadala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Q4 2026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· Upgrade reporting channel to the leading attribute set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ADNOC / FAB / Etihad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Live Q2 2027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 · Constitute violations committee separated from investigation, 30-day decisions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DFSA / Dubai ECR 4/2019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Q1 2027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 · Codify the investigation manual from the operating method; train to it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Local white space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Q4 2026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 · Launch annual COI declaration cycle + procurement COI gate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Etihad / Law 11/2023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Q2 2027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 · Implement case-management system encoding existing discipline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Composite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Q1 2028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 · Stand up gifts register on the federal-code model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FAHR code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Q1 2027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 · Channel and case KPIs in ARCC pack + post-report treatment monitoring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Emirates NBD / DFSA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Q1 2027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 · Risk-intelligence feeds into standing KRIs for the FRA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FTA / Dubai FAA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Q2 2028</w:t>
            </w:r>
          </w:p>
        </w:tc>
      </w:tr>
      <w:tr>
        <w:trPr>
          <w:cantSplit w:val="false"/>
          <w:tblHeader w:val="false"/>
        </w:trPr>
        <w:tc>
          <w:tcPr>
            <w:tcW w:type="dxa" w:w="5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 · ISO path (37001→37301, ISO 37002-conformant channel); then NLP-assisted intake, human decision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Mubadala / DEWA / TAMM precedent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Strategic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2028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7. What This Means — and What We Do Not Know Yet</w:t>
      </w:r>
    </w:p>
    <w:p>
      <w:pPr>
        <w:spacing w:after="40" w:before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this means: </w:t>
      </w:r>
      <w:r>
        <w:rPr>
          <w:rFonts w:ascii="Calibri" w:cs="Calibri" w:eastAsia="Calibri" w:hAnsi="Calibri"/>
          <w:sz w:val="20"/>
          <w:szCs w:val="20"/>
        </w:rPr>
        <w:t xml:space="preserve">the path is conversion of an embodied practice into an institution — charter, committee, channel, system, programme, in that order; executed on this roadmap the profile moves from 57 to a defensible mid-70s, holding three artefacts no evidenced local government peer shows: a published investigation methodology, a measured integrity culture, and AI-assisted intake under human decision.</w:t>
      </w:r>
    </w:p>
    <w:p>
      <w:pPr>
        <w:spacing w:after="40" w:before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we do not know yet: </w:t>
      </w:r>
      <w:r>
        <w:rPr>
          <w:rFonts w:ascii="Calibri" w:cs="Calibri" w:eastAsia="Calibri" w:hAnsi="Calibri"/>
          <w:sz w:val="20"/>
          <w:szCs w:val="20"/>
        </w:rPr>
        <w:t xml:space="preserve">benchmark scores measure disclosed maturity only; every external claim is search-verified official content pending one-click URL confirmation (the environment blocked direct page fetching); the section’s staffing, budget and any internal policies outside the project record; whether Department-level gifts or COI machinery exists outside the record; the Penal Code self-reporting article number (secondary sources conflict — deliberately uncited).</w:t>
      </w:r>
    </w:p>
    <w:sectPr>
      <w:headerReference w:type="default" r:id="rId7"/>
      <w:footerReference w:type="default" r:id="rId8"/>
      <w:pgSz w:w="11906" w:h="16838" w:orient="portrait"/>
      <w:pgMar w:top="794" w:right="851" w:bottom="794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10205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خصوصيّ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t xml:space="preserve">Department of Government Enablement – Abu Dhabi 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0"/>
    </w:pPr>
    <w:r>
      <w:rPr>
        <w:rFonts w:ascii="Calibri" w:cs="Calibri" w:eastAsia="Calibri" w:hAnsi="Calibri"/>
        <w:color w:val="1B3A6B"/>
        <w:sz w:val="16"/>
        <w:szCs w:val="16"/>
      </w:rPr>
      <w:t xml:space="preserve">Integrity Section – Internal Audit and Risk Management Sector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2026-09-04T21:53:04.046Z</dcterms:created>
  <dcterms:modified xsi:type="dcterms:W3CDTF">2026-09-04T21:53:04.046Z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