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10"/>
        </w:pBdr>
        <w:bidi/>
        <w:spacing w:after="20" w:before="0"/>
      </w:pPr>
      <w:r>
        <w:rPr>
          <w:rFonts w:ascii="Sakkal Majalla" w:cs="Sakkal Majalla" w:eastAsia="Sakkal Majalla" w:hAnsi="Sakkal Majalla"/>
          <w:b/>
          <w:bCs/>
          <w:color w:val="1B3A6B"/>
          <w:sz w:val="34"/>
          <w:szCs w:val="34"/>
          <w:rtl/>
        </w:rPr>
        <w:t xml:space="preserve">تقرير إلى الرئيس التنفيذي</w:t>
      </w:r>
    </w:p>
    <w:p>
      <w:pPr>
        <w:bidi/>
        <w:spacing w:after="20" w:before="40" w:line="264"/>
      </w:pPr>
      <w:r>
        <w:rPr>
          <w:rFonts w:ascii="Sakkal Majalla" w:cs="Sakkal Majalla" w:eastAsia="Sakkal Majalla" w:hAnsi="Sakkal Majalla"/>
          <w:b/>
          <w:bCs/>
          <w:sz w:val="24"/>
          <w:szCs w:val="24"/>
          <w:rtl/>
        </w:rPr>
        <w:t xml:space="preserve">نتائج المقارنة المعيارية لوظيفة النزاهة في ضوء أفضل الممارسات في دولة الإمارات — للاطلاع واعتماد أولويات التنفيذ</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8000"/>
      </w:tblGrid>
      <w:tr>
        <w:trPr>
          <w:cantSplit w:val="false"/>
          <w:tblHeader w:val="false"/>
        </w:trPr>
        <w:tc>
          <w:tcPr>
            <w:tcW w:type="dxa" w:w="2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مستوى السرية</w:t>
            </w:r>
          </w:p>
        </w:tc>
        <w:tc>
          <w:tcPr>
            <w:tcW w:type="dxa" w:w="8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سري – للاستخدام الداخلي</w:t>
            </w:r>
          </w:p>
        </w:tc>
      </w:tr>
      <w:tr>
        <w:trPr>
          <w:cantSplit w:val="false"/>
          <w:tblHeader w:val="false"/>
        </w:trPr>
        <w:tc>
          <w:tcPr>
            <w:tcW w:type="dxa" w:w="2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جهة الإعداد</w:t>
            </w:r>
          </w:p>
        </w:tc>
        <w:tc>
          <w:tcPr>
            <w:tcW w:type="dxa" w:w="8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قسم النزاهة – قطاع التدقيق الداخلي وإدارة المخاطر</w:t>
            </w:r>
          </w:p>
        </w:tc>
      </w:tr>
      <w:tr>
        <w:trPr>
          <w:cantSplit w:val="false"/>
          <w:tblHeader w:val="false"/>
        </w:trPr>
        <w:tc>
          <w:tcPr>
            <w:tcW w:type="dxa" w:w="2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تاريخ التقرير</w:t>
            </w:r>
          </w:p>
        </w:tc>
        <w:tc>
          <w:tcPr>
            <w:tcW w:type="dxa" w:w="8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 سبتمبر 2026</w:t>
            </w:r>
          </w:p>
        </w:tc>
      </w:tr>
      <w:tr>
        <w:trPr>
          <w:cantSplit w:val="false"/>
          <w:tblHeader w:val="false"/>
        </w:trPr>
        <w:tc>
          <w:tcPr>
            <w:tcW w:type="dxa" w:w="2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المرجع</w:t>
            </w:r>
          </w:p>
        </w:tc>
        <w:tc>
          <w:tcPr>
            <w:tcW w:type="dxa" w:w="8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دراسة المقارنة المعيارية الكاملة (26 قسماً) وسجلات الأدلة الخمسة المرفقة بها</w:t>
            </w:r>
          </w:p>
        </w:tc>
      </w:tr>
    </w:tbl>
    <w:p>
      <w:pPr>
        <w:pBdr>
          <w:bottom w:val="single" w:color="C9A84C" w:sz="6"/>
        </w:pBdr>
        <w:bidi/>
        <w:spacing w:after="60" w:before="160"/>
      </w:pPr>
      <w:r>
        <w:rPr>
          <w:rFonts w:ascii="Sakkal Majalla" w:cs="Sakkal Majalla" w:eastAsia="Sakkal Majalla" w:hAnsi="Sakkal Majalla"/>
          <w:b/>
          <w:bCs/>
          <w:color w:val="1B3A6B"/>
          <w:sz w:val="26"/>
          <w:szCs w:val="26"/>
          <w:rtl/>
        </w:rPr>
        <w:t xml:space="preserve">أولاً: الخلاصة والمطلوب</w:t>
      </w:r>
    </w:p>
    <w:p>
      <w:pPr>
        <w:bidi/>
        <w:spacing w:after="40" w:before="40" w:line="264"/>
      </w:pPr>
      <w:r>
        <w:rPr>
          <w:rFonts w:ascii="Sakkal Majalla" w:cs="Sakkal Majalla" w:eastAsia="Sakkal Majalla" w:hAnsi="Sakkal Majalla"/>
          <w:b/>
          <w:bCs/>
          <w:sz w:val="22"/>
          <w:szCs w:val="22"/>
          <w:rtl/>
        </w:rPr>
        <w:t xml:space="preserve">الخلاصة: </w:t>
      </w:r>
      <w:r>
        <w:rPr>
          <w:rFonts w:ascii="Sakkal Majalla" w:cs="Sakkal Majalla" w:eastAsia="Sakkal Majalla" w:hAnsi="Sakkal Majalla"/>
          <w:sz w:val="22"/>
          <w:szCs w:val="22"/>
          <w:rtl/>
        </w:rPr>
        <w:t xml:space="preserve">وظيفة النزاهة في الدائرة تسجل 57 من 100 على نموذج تقييم من عشرة محاور موزونة، مقابل 67 لأعلى جهة مرجعية في الدولة (مبادلة للاستثمار). مصدر الفارق ليس جودة العمل التحليلي — فالتحقيقات وتقييم مخاطر الاحتيال والتقارير التنفيذية عند مستوى متقدم يضاهي أفضل ما هو مفصح عنه محلياً — بل غياب البنية المؤسسية: قناة إبلاغ بقدرات محدودة، ولا ميثاق معتمداً للوظيفة، ولا نظام لإدارة القضايا، ولا برنامجاً شاملاً لتعارض المصالح والهدايا، واعتماد القدرة التحقيقية على ممارسة فردية.</w:t>
      </w:r>
    </w:p>
    <w:p>
      <w:pPr>
        <w:bidi/>
        <w:spacing w:after="40" w:before="40" w:line="264"/>
      </w:pPr>
      <w:r>
        <w:rPr>
          <w:rFonts w:ascii="Sakkal Majalla" w:cs="Sakkal Majalla" w:eastAsia="Sakkal Majalla" w:hAnsi="Sakkal Majalla"/>
          <w:b/>
          <w:bCs/>
          <w:sz w:val="22"/>
          <w:szCs w:val="22"/>
          <w:rtl/>
        </w:rPr>
        <w:t xml:space="preserve">الخطر إن لم نتحرك: </w:t>
      </w:r>
      <w:r>
        <w:rPr>
          <w:rFonts w:ascii="Sakkal Majalla" w:cs="Sakkal Majalla" w:eastAsia="Sakkal Majalla" w:hAnsi="Sakkal Majalla"/>
          <w:sz w:val="22"/>
          <w:szCs w:val="22"/>
          <w:rtl/>
        </w:rPr>
        <w:t xml:space="preserve">تجاوز المبلغين لقناة الدائرة إلى منصة «واجب» الاتحادية أو الصمت، وتأخر اكتشاف المخالفات؛ وفقدان القدرة التحقيقية برحيل شخص واحد؛ وتعذر إثبات السيطرة على عبء القضايا أمام جهات الرقابة عند الطلب.</w:t>
      </w:r>
    </w:p>
    <w:p>
      <w:pPr>
        <w:bidi/>
        <w:spacing w:after="20" w:before="40" w:line="264"/>
      </w:pPr>
      <w:r>
        <w:rPr>
          <w:rFonts w:ascii="Sakkal Majalla" w:cs="Sakkal Majalla" w:eastAsia="Sakkal Majalla" w:hAnsi="Sakkal Majalla"/>
          <w:b/>
          <w:bCs/>
          <w:sz w:val="22"/>
          <w:szCs w:val="22"/>
          <w:rtl/>
        </w:rPr>
        <w:t xml:space="preserve">المطلوب من الرئيس التنفيذي وتوقيته:</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6900"/>
        <w:gridCol w:w="2600"/>
      </w:tblGrid>
      <w:tr>
        <w:trPr>
          <w:cantSplit w:val="false"/>
          <w:tblHeader/>
        </w:trPr>
        <w:tc>
          <w:tcPr>
            <w:tcW w:type="dxa" w:w="7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م</w:t>
            </w:r>
          </w:p>
        </w:tc>
        <w:tc>
          <w:tcPr>
            <w:tcW w:type="dxa" w:w="69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المطلوب</w:t>
            </w:r>
          </w:p>
        </w:tc>
        <w:tc>
          <w:tcPr>
            <w:tcW w:type="dxa" w:w="26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التوقيت</w:t>
            </w:r>
          </w:p>
        </w:tc>
      </w:tr>
      <w:tr>
        <w:trPr>
          <w:cantSplit w:val="false"/>
          <w:tblHeader w:val="false"/>
        </w:trPr>
        <w:tc>
          <w:tcPr>
            <w:tcW w:type="dxa" w:w="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w:t>
            </w:r>
          </w:p>
        </w:tc>
        <w:tc>
          <w:tcPr>
            <w:tcW w:type="dxa" w:w="6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الاطلاع على نتائج المقارنة المعيارية الواردة في هذا التقرير ومصفوفتها التفصيلية (الملحق)</w:t>
            </w:r>
          </w:p>
        </w:tc>
        <w:tc>
          <w:tcPr>
            <w:tcW w:type="dxa" w:w="26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للاطلاع</w:t>
            </w:r>
          </w:p>
        </w:tc>
      </w:tr>
      <w:tr>
        <w:trPr>
          <w:cantSplit w:val="false"/>
          <w:tblHeader w:val="false"/>
        </w:trPr>
        <w:tc>
          <w:tcPr>
            <w:tcW w:type="dxa" w:w="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2</w:t>
            </w:r>
          </w:p>
        </w:tc>
        <w:tc>
          <w:tcPr>
            <w:tcW w:type="dxa" w:w="6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اعتماد التوصيات الحرجة الثلاث: ميثاق وظيفة النزاهة بتفويض التحقيق؛ رفع قدرات قناة الإبلاغ؛ تشكيل لجنة مخالفات منفصلة عن التحقيق</w:t>
            </w:r>
          </w:p>
        </w:tc>
        <w:tc>
          <w:tcPr>
            <w:tcW w:type="dxa" w:w="26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قرار – الربع الرابع 2026</w:t>
            </w:r>
          </w:p>
        </w:tc>
      </w:tr>
      <w:tr>
        <w:trPr>
          <w:cantSplit w:val="false"/>
          <w:tblHeader w:val="false"/>
        </w:trPr>
        <w:tc>
          <w:tcPr>
            <w:tcW w:type="dxa" w:w="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6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التكليف بإعداد الخطة التنفيذية التفصيلية 2026–2028 على أساس هذا التقرير ورفعها للاعتماد</w:t>
            </w:r>
          </w:p>
        </w:tc>
        <w:tc>
          <w:tcPr>
            <w:tcW w:type="dxa" w:w="26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تكليف – خلال 30 يوماً من الاعتماد</w:t>
            </w:r>
          </w:p>
        </w:tc>
      </w:tr>
    </w:tbl>
    <w:p>
      <w:pPr>
        <w:bidi/>
        <w:spacing w:after="60" w:before="160"/>
      </w:pPr>
      <w:r>
        <w:rPr>
          <w:rFonts w:ascii="Sakkal Majalla" w:cs="Sakkal Majalla" w:eastAsia="Sakkal Majalla" w:hAnsi="Sakkal Majalla"/>
          <w:b/>
          <w:bCs/>
          <w:color w:val="1B3A6B"/>
          <w:sz w:val="26"/>
          <w:szCs w:val="26"/>
          <w:rtl/>
        </w:rPr>
        <w:t xml:space="preserve">ثانياً: جدول الأرقام — درجتنا مقابل أعلى مرجع محلي في كل محور</w:t>
      </w:r>
    </w:p>
    <w:p>
      <w:pPr>
        <w:bidi/>
        <w:spacing w:after="20" w:before="40" w:line="264"/>
      </w:pPr>
      <w:r>
        <w:rPr>
          <w:rFonts w:ascii="Sakkal Majalla" w:cs="Sakkal Majalla" w:eastAsia="Sakkal Majalla" w:hAnsi="Sakkal Majalla"/>
          <w:i/>
          <w:iCs/>
          <w:color w:val="595959"/>
          <w:sz w:val="18"/>
          <w:szCs w:val="18"/>
          <w:rtl/>
        </w:rPr>
        <w:t xml:space="preserve">الدرجات من 5 لكل محور، مقدرة في الجلسة من الأدلة المنشورة وفق معيار التقييم في القسم الرابع؛ والإجمالي موزون من 100.</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2950"/>
        <w:gridCol w:w="900"/>
        <w:gridCol w:w="1000"/>
        <w:gridCol w:w="3550"/>
        <w:gridCol w:w="900"/>
        <w:gridCol w:w="900"/>
      </w:tblGrid>
      <w:tr>
        <w:trPr>
          <w:cantSplit/>
          <w:tblHeader/>
        </w:trPr>
        <w:tc>
          <w:tcPr>
            <w:tcW w:type="dxa" w:w="295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المحور</w:t>
            </w:r>
          </w:p>
        </w:tc>
        <w:tc>
          <w:tcPr>
            <w:tcW w:type="dxa" w:w="9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الوزن</w:t>
            </w:r>
          </w:p>
        </w:tc>
        <w:tc>
          <w:tcPr>
            <w:tcW w:type="dxa" w:w="10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درجتنا</w:t>
            </w:r>
          </w:p>
        </w:tc>
        <w:tc>
          <w:tcPr>
            <w:tcW w:type="dxa" w:w="355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أعلى مرجع محلي في المحور</w:t>
            </w:r>
          </w:p>
        </w:tc>
        <w:tc>
          <w:tcPr>
            <w:tcW w:type="dxa" w:w="9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درجته</w:t>
            </w:r>
          </w:p>
        </w:tc>
        <w:tc>
          <w:tcPr>
            <w:tcW w:type="dxa" w:w="9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الفارق</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الإبلاغ عن المخالفات</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15</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2</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أدنوك / الاتحاد للطيران / بنك أبوظبي الأول</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5</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7A1F2B"/>
                <w:sz w:val="19"/>
                <w:szCs w:val="19"/>
                <w:rtl/>
              </w:rPr>
              <w:t xml:space="preserve">⁦-3⁩</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التحقيقات</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15</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سلطة دبي للخدمات المالية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5</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B8860B"/>
                <w:sz w:val="19"/>
                <w:szCs w:val="19"/>
                <w:rtl/>
              </w:rPr>
              <w:t xml:space="preserve">⁦-1⁩</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الحوكمة والاستقلالية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الجهات الرقابية وجهازا المساءلة والرقابة المالية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B8860B"/>
                <w:sz w:val="19"/>
                <w:szCs w:val="19"/>
                <w:rtl/>
              </w:rPr>
              <w:t xml:space="preserve">⁦-1⁩</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إدارة مخاطر الاحتيال والفساد</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برنامجنا هو الأوسع إفصاحاً محلياً</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1E6B43"/>
                <w:sz w:val="19"/>
                <w:szCs w:val="19"/>
                <w:rtl/>
              </w:rPr>
              <w:t xml:space="preserve">0</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إدارة القضايا</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2</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نموذج دبي (قرار خلال 30 يوماً) ولوحات جهاز الرقابة المالية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B8860B"/>
                <w:sz w:val="19"/>
                <w:szCs w:val="19"/>
                <w:rtl/>
              </w:rPr>
              <w:t xml:space="preserve">⁦-1⁩</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تعارض المصالح</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2</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الاتحاد للطيران (دورة إقرار سنوية)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7A1F2B"/>
                <w:sz w:val="19"/>
                <w:szCs w:val="19"/>
                <w:rtl/>
              </w:rPr>
              <w:t xml:space="preserve">⁦-2⁩</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الهدايا والضيافة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5</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المدونة الاتحادية / الدار العقارية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7A1F2B"/>
                <w:sz w:val="19"/>
                <w:szCs w:val="19"/>
                <w:rtl/>
              </w:rPr>
              <w:t xml:space="preserve">⁦-2⁩</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التقنية والذكاء الاصطناعي</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جهاز الرقابة المالية في دبي / بنك أبوظبي الأول</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1E6B43"/>
                <w:sz w:val="19"/>
                <w:szCs w:val="19"/>
                <w:rtl/>
              </w:rPr>
              <w:t xml:space="preserve">0</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التوعية وثقافة النزاهة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5</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2</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مبادلة / أدنوك / بنك الإمارات دبي الوطني</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7A1F2B"/>
                <w:sz w:val="19"/>
                <w:szCs w:val="19"/>
                <w:rtl/>
              </w:rPr>
              <w:t xml:space="preserve">⁦-2⁩</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التقارير والتحليلات</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بنك الإمارات دبي الوطني / سلطة دبي للخدمات المالية</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1E6B43"/>
                <w:sz w:val="19"/>
                <w:szCs w:val="19"/>
                <w:rtl/>
              </w:rPr>
              <w:t xml:space="preserve">0</w:t>
            </w:r>
          </w:p>
        </w:tc>
      </w:tr>
      <w:tr>
        <w:trPr>
          <w:cantSplit/>
          <w:tblHeader w:val="false"/>
        </w:trPr>
        <w:tc>
          <w:tcPr>
            <w:tcW w:type="dxa" w:w="295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الإجمالي الموزون</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100</w:t>
            </w:r>
          </w:p>
        </w:tc>
        <w:tc>
          <w:tcPr>
            <w:tcW w:type="dxa" w:w="10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57</w:t>
            </w:r>
          </w:p>
        </w:tc>
        <w:tc>
          <w:tcPr>
            <w:tcW w:type="dxa" w:w="355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أعلى جهة إجمالاً: مبادلة للاستثمار</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67</w:t>
            </w:r>
          </w:p>
        </w:tc>
        <w:tc>
          <w:tcPr>
            <w:tcW w:type="dxa" w:w="900"/>
            <w:tcMar>
              <w:top w:type="dxa" w:w="30"/>
              <w:left w:type="dxa" w:w="70"/>
              <w:bottom w:type="dxa" w:w="30"/>
              <w:right w:type="dxa" w:w="70"/>
            </w:tcMar>
          </w:tcPr>
          <w:p>
            <w:pPr>
              <w:bidi/>
              <w:spacing w:after="0" w:before="0" w:line="238"/>
            </w:pPr>
            <w:r>
              <w:rPr>
                <w:rFonts w:ascii="Sakkal Majalla" w:cs="Sakkal Majalla" w:eastAsia="Sakkal Majalla" w:hAnsi="Sakkal Majalla"/>
                <w:b/>
                <w:bCs/>
                <w:color w:val="7A1F2B"/>
                <w:sz w:val="19"/>
                <w:szCs w:val="19"/>
                <w:rtl/>
              </w:rPr>
              <w:t xml:space="preserve">⁦-10⁩</w:t>
            </w:r>
          </w:p>
        </w:tc>
      </w:tr>
    </w:tbl>
    <w:p>
      <w:pPr>
        <w:bidi/>
        <w:spacing w:after="40" w:before="30" w:line="264"/>
      </w:pPr>
      <w:r>
        <w:rPr>
          <w:rFonts w:ascii="Sakkal Majalla" w:cs="Sakkal Majalla" w:eastAsia="Sakkal Majalla" w:hAnsi="Sakkal Majalla"/>
          <w:i/>
          <w:iCs/>
          <w:color w:val="595959"/>
          <w:sz w:val="18"/>
          <w:szCs w:val="18"/>
          <w:rtl/>
        </w:rPr>
        <w:t xml:space="preserve">قراءة الجدول: تساوي الدرجة في محورٍ لا يعني اكتمال المحور — ففي التقنية درجتنا قائمة على أدوات فردية ودرجة المرجع على منصات مؤسسية؛ والفوارق السالبة الثلاثة الكبرى (الإبلاغ، تعارض المصالح، الهدايا والتوعية) هي محاور بنية تُبنى بقرار، لا محاور جودة عمل.</w:t>
      </w:r>
    </w:p>
    <w:p>
      <w:pPr>
        <w:bidi/>
        <w:spacing w:after="60" w:before="160"/>
      </w:pPr>
      <w:r>
        <w:rPr>
          <w:rFonts w:ascii="Sakkal Majalla" w:cs="Sakkal Majalla" w:eastAsia="Sakkal Majalla" w:hAnsi="Sakkal Majalla"/>
          <w:b/>
          <w:bCs/>
          <w:color w:val="1B3A6B"/>
          <w:sz w:val="26"/>
          <w:szCs w:val="26"/>
          <w:rtl/>
        </w:rPr>
        <w:t xml:space="preserve">ثالثاً: النتائج على مبدأ الاستثناء — خمس نتائج، لكل منها المعيار والواقع والسبب والأثر والإجراء</w:t>
      </w:r>
    </w:p>
    <w:p>
      <w:pPr>
        <w:bidi/>
        <w:spacing w:after="20" w:before="120" w:line="264"/>
      </w:pPr>
      <w:r>
        <w:rPr>
          <w:rFonts w:ascii="Sakkal Majalla" w:cs="Sakkal Majalla" w:eastAsia="Sakkal Majalla" w:hAnsi="Sakkal Majalla"/>
          <w:b/>
          <w:bCs/>
          <w:sz w:val="21"/>
          <w:szCs w:val="21"/>
          <w:rtl/>
        </w:rPr>
        <w:t xml:space="preserve">النتيجة 1: قناة الإبلاغ دون الحد الأدنى للممارسة الرائدة — درجة الخطورة: </w:t>
      </w:r>
      <w:r>
        <w:rPr>
          <w:rFonts w:ascii="Sakkal Majalla" w:cs="Sakkal Majalla" w:eastAsia="Sakkal Majalla" w:hAnsi="Sakkal Majalla"/>
          <w:b/>
          <w:bCs/>
          <w:color w:val="7A1F2B"/>
          <w:sz w:val="21"/>
          <w:szCs w:val="21"/>
          <w:rtl/>
        </w:rPr>
        <w:t xml:space="preserve">حرجة</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8700"/>
      </w:tblGrid>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المعيار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القناة الرائدة محلياً تشغّلها جهة مستقلة وتتيح المجهولية والحوار ثنائي الاتجاه وتتبع الحالة برقم مرجعي ورفع الأدلة وتعدد اللغات وشمول الجمهور (أدنوك «تكلّم»؛ الاتحاد للطيران برمز البلاغ؛ بنك أبوظبي الأول برقم حالة وقناة واتساب)</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الواقع</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منصة «تحدث» سرية بالتزام معلن بعدم الانتقام وتصنيف من سبع فئات، ولا يُثبت إفصاحها المنشور مجهولية ولا تتبعاً ولا اتصالاً ثنائي الاتجاه ولا استضافة مستقلة ولا رفع أدلة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السبب</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بُنيت المنصة قناة استقبال داخلية ولم تُواكب حزمة الخصائص التي فرضتها لوائح 2022–2024 وممارسات المشغلين المستقلين في السوق</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الأثر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إحجام المبلغين أو تحولهم إلى «واجب» مباشرة؛ وصول البلاغات متأخرة أو منقوصة الأدلة؛ ضعف قابلية الدفاع عن حماية هوية المبلغ</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الإجراء التصحيحي</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رفع قدرات «تحدث» (مجهولية، رقم مرجعي وحالات، اتصال ثنائي، رفع أدلة، توسيع الأطراف) أو شراء قناة مستضافة من مزود مستقل، مع سياسة إبلاغ على قائمة تحقق لائحة سوق أبوظبي العالمي 2024 — التشغيل بحلول الربع الثاني 2027</w:t>
            </w:r>
          </w:p>
        </w:tc>
      </w:tr>
    </w:tbl>
    <w:p>
      <w:pPr>
        <w:bidi/>
        <w:spacing w:after="20" w:before="120" w:line="264"/>
      </w:pPr>
      <w:r>
        <w:rPr>
          <w:rFonts w:ascii="Sakkal Majalla" w:cs="Sakkal Majalla" w:eastAsia="Sakkal Majalla" w:hAnsi="Sakkal Majalla"/>
          <w:b/>
          <w:bCs/>
          <w:sz w:val="21"/>
          <w:szCs w:val="21"/>
          <w:rtl/>
        </w:rPr>
        <w:t xml:space="preserve">النتيجة 2: قدرة تحقيقية متقدمة دون مأسسة — درجة الخطورة: </w:t>
      </w:r>
      <w:r>
        <w:rPr>
          <w:rFonts w:ascii="Sakkal Majalla" w:cs="Sakkal Majalla" w:eastAsia="Sakkal Majalla" w:hAnsi="Sakkal Majalla"/>
          <w:b/>
          <w:bCs/>
          <w:color w:val="7A1F2B"/>
          <w:sz w:val="21"/>
          <w:szCs w:val="21"/>
          <w:rtl/>
        </w:rPr>
        <w:t xml:space="preserve">حرجة</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8700"/>
      </w:tblGrid>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المعيار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وظيفة تحقيق بسند مكتوب ودليل منهجية معتمد وفصل هيكلي بين من يحقق ومن يقرر (لجنة قرار «لم يسبق لأعضائها دور في إثبات الأدلة» لدى سلطة دبي للخدمات المالية) وقدرة لا تعتمد على فرد</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الواقع</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منهجية تشغيلية قائمة تضاهي أفضل الممارسات (إعادة اشتقاق حسابي، عهدة أدلة موثقة، انضباط سحب النتائج، صيغ إحالة معتمدة) لكنها ممارسة فردية: لا ميثاق ولا دليل معتمداً ولا محقق ثانياً ولا لجنة قرار</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السبب</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نشأت الوظيفة حول القضايا لا حول أداة إنشاء؛ ولم يُنقل ما تراكم من منهجية إلى وثائق معتمدة وكوادر إضافية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الأثر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فقدان القدرة برحيل شخص واحد؛ قابلية الطعن في الإجراءات عند غياب السند والدليل؛ اجتماع التحقيق والتوصية في يد واحدة يضعف الاستقلالية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الإجراء التصحيحي</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ميثاق بتفويض تحقيق معتمد (الربع الرابع 2026)؛ تقنين الدليل من المنهجية القائمة والتدريب عليه؛ تشكيل لجنة مخالفات تقرر خلال 30 يوماً (الربع الأول 2027)؛ تعيين وتأهيل محققين إضافيين (2027)</w:t>
            </w:r>
          </w:p>
        </w:tc>
      </w:tr>
    </w:tbl>
    <w:p>
      <w:pPr>
        <w:bidi/>
        <w:spacing w:after="20" w:before="120" w:line="264"/>
      </w:pPr>
      <w:r>
        <w:rPr>
          <w:rFonts w:ascii="Sakkal Majalla" w:cs="Sakkal Majalla" w:eastAsia="Sakkal Majalla" w:hAnsi="Sakkal Majalla"/>
          <w:b/>
          <w:bCs/>
          <w:sz w:val="21"/>
          <w:szCs w:val="21"/>
          <w:rtl/>
        </w:rPr>
        <w:t xml:space="preserve">النتيجة 3: برنامج تعارض المصالح والهدايا دون المستوى البرنامجي — درجة الخطورة: </w:t>
      </w:r>
      <w:r>
        <w:rPr>
          <w:rFonts w:ascii="Sakkal Majalla" w:cs="Sakkal Majalla" w:eastAsia="Sakkal Majalla" w:hAnsi="Sakkal Majalla"/>
          <w:b/>
          <w:bCs/>
          <w:color w:val="7A1F2B"/>
          <w:sz w:val="21"/>
          <w:szCs w:val="21"/>
          <w:rtl/>
        </w:rPr>
        <w:t xml:space="preserve">عالية</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8700"/>
      </w:tblGrid>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المعيار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دورة إقرار سنوية لتعارض المصالح تشمل الموظفين والقيادة (الاتحاد للطيران)، وحظر مشاركة الموظف في مشتريات جهته (القانون الاتحادي 11 لسنة 2023)، وسجل هدايا بوحدة تسلم مخصصة وقصرها على الرمزية (المدونة الاتحادية) وخط قاطع بحظر النقد (الدار العقارية)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الواقع</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فحوص تعارض المصالح تجري ضمن القضايا بعد وقوعها، ولا دورة إقرار سنوية على مستوى الدائرة، ولا سجل هدايا موثقاً في سجل المشروع</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السبب</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بقيت الوقاية توصياتٍ في خواتيم التقارير ولم تتحول إلى برنامج مملوك بدورة سنوية وربط بالمشتريات</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الأثر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ظهور التعارضات غير المعلنة بعد الضرر — وقضايا القسم نفسها شاهد على الكلفة؛ وبقاء أكثر أبواب مخاطر المشتريات شيوعاً بلا ضابط قبلي</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الإجراء التصحيحي</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إطلاق دورة الإقرار السنوي مع إقرار الواقعة عند تغير الظروف، وبوابة تعارض في دورة المشتريات، وسجل هدايا على النموذج الاتحادي — أول دورة بحلول الربع الثاني 2027</w:t>
            </w:r>
          </w:p>
        </w:tc>
      </w:tr>
    </w:tbl>
    <w:p>
      <w:pPr>
        <w:bidi/>
        <w:spacing w:after="20" w:before="120" w:line="264"/>
      </w:pPr>
      <w:r>
        <w:rPr>
          <w:rFonts w:ascii="Sakkal Majalla" w:cs="Sakkal Majalla" w:eastAsia="Sakkal Majalla" w:hAnsi="Sakkal Majalla"/>
          <w:b/>
          <w:bCs/>
          <w:sz w:val="21"/>
          <w:szCs w:val="21"/>
          <w:rtl/>
        </w:rPr>
        <w:t xml:space="preserve">النتيجة 4: إدارة قضايا يدوية لا تُنتج أثر تدقيق ولا اتجاهات — درجة الخطورة: </w:t>
      </w:r>
      <w:r>
        <w:rPr>
          <w:rFonts w:ascii="Sakkal Majalla" w:cs="Sakkal Majalla" w:eastAsia="Sakkal Majalla" w:hAnsi="Sakkal Majalla"/>
          <w:b/>
          <w:bCs/>
          <w:color w:val="7A1F2B"/>
          <w:sz w:val="21"/>
          <w:szCs w:val="21"/>
          <w:rtl/>
        </w:rPr>
        <w:t xml:space="preserve">عالية</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8700"/>
      </w:tblGrid>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المعيار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دورة قضايا داخل نظام: تصنيف وإسناد ومدد التزام (قرار خلال 30 يوماً في نموذج دبي) وأثر تدقيق ولوحات متابعة (لوحة «المؤشر» لدى جهاز الرقابة المالية) وتحليل تكرار</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الواقع</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إدارة يدوية بانضباط توثيقي مرجعي (مفردات حالة، سجلات ربط، عهدة موثقة) دون نظام ولا مدد التزام ولا لوحات ولا تحليل اتجاهات عبر القضايا</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السبب</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غياب نظام مخصص، وترقب منظومة الحوكمة والمخاطر والامتثال المرتقبة التي سيكون القسم مستخدماً لها لا مالكها</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الأثر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تعذر إثبات الالتزام بالمدد والسيطرة على العبء أمام الرقابة؛ خفاء التراكم والأنماط المتكررة عن الإدارة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الإجراء التصحيحي</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نظام إدارة قضايا يقنّن الانضباط القائم حقولاً وسيراً للعمل (وحدة من المنظومة المرتقبة إن وفت بالمتطلبات) — التشغيل بحلول الربع الأول 2028، وقبله صفحة مؤشرات ربعية في حزمة لجنة التدقيق والمخاطر والامتثال</w:t>
            </w:r>
          </w:p>
        </w:tc>
      </w:tr>
    </w:tbl>
    <w:p>
      <w:pPr>
        <w:bidi/>
        <w:spacing w:after="20" w:before="120" w:line="264"/>
      </w:pPr>
      <w:r>
        <w:rPr>
          <w:rFonts w:ascii="Sakkal Majalla" w:cs="Sakkal Majalla" w:eastAsia="Sakkal Majalla" w:hAnsi="Sakkal Majalla"/>
          <w:b/>
          <w:bCs/>
          <w:sz w:val="21"/>
          <w:szCs w:val="21"/>
          <w:rtl/>
        </w:rPr>
        <w:t xml:space="preserve">النتيجة 5: وظيفة تفاعلية يلزم تحويلها إلى وظيفة تقودها المخاطر والبيانات — درجة الخطورة: </w:t>
      </w:r>
      <w:r>
        <w:rPr>
          <w:rFonts w:ascii="Sakkal Majalla" w:cs="Sakkal Majalla" w:eastAsia="Sakkal Majalla" w:hAnsi="Sakkal Majalla"/>
          <w:b/>
          <w:bCs/>
          <w:color w:val="B8860B"/>
          <w:sz w:val="21"/>
          <w:szCs w:val="21"/>
          <w:rtl/>
        </w:rPr>
        <w:t xml:space="preserve">متوسطة</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8700"/>
      </w:tblGrid>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المعيار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الجهات الرائدة تولّد قضاياها من البيانات لا من البلاغات وحدها: تحليلات مخاطر لدى الهيئة الاتحادية للضرائب، ولوحات إشراف لدى جهاز الرقابة المالية، وتوجيه آلي للبلاغات في «تم» بحكومة أبوظبي؛ ولا جهة في الدولة تُثبت فرزاً آلياً لبلاغات المخالفات — مساحة سبق متاحة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الواقع</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برنامج تقييم مخاطر الاحتيال هو الأوسع إفصاحاً محلياً (312 خطراً، 497 مالك ضابط، 8 سجلات، 41 جهة) لكنه دوري بلا مؤشرات دائمة ولا تغذية بيانات مستمرة؛ والتوعية بلا قياس لثقافة النزاهة</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السبب</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غياب اتفاقات تغذية البيانات من المشتريات والموارد البشرية والمالية، وغياب طبقة تحليلات دائمة فوق سجل المخاطر</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الأثر</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بقاء الاكتشاف رهناً بوصول بلاغ؛ وغياب الإنذار المبكر في المحاور التي تتركز فيها قضايا القسم</w:t>
            </w:r>
          </w:p>
        </w:tc>
      </w:tr>
      <w:tr>
        <w:trPr>
          <w:cantSplit/>
          <w:tblHeader w:val="false"/>
        </w:trPr>
        <w:tc>
          <w:tcPr>
            <w:tcW w:type="dxa" w:w="1500"/>
            <w:tcMar>
              <w:top w:type="dxa" w:w="30"/>
              <w:left w:type="dxa" w:w="70"/>
              <w:bottom w:type="dxa" w:w="30"/>
              <w:right w:type="dxa" w:w="70"/>
            </w:tcMar>
          </w:tcPr>
          <w:p>
            <w:pPr>
              <w:bidi/>
              <w:spacing w:after="0" w:before="0" w:line="238"/>
            </w:pPr>
            <w:r>
              <w:rPr>
                <w:rFonts w:ascii="Sakkal Majalla" w:cs="Sakkal Majalla" w:eastAsia="Sakkal Majalla" w:hAnsi="Sakkal Majalla"/>
                <w:b/>
                <w:bCs/>
                <w:color w:val="000000"/>
                <w:sz w:val="19"/>
                <w:szCs w:val="19"/>
                <w:rtl/>
              </w:rPr>
              <w:t xml:space="preserve">الإجراء التصحيحي</w:t>
            </w:r>
          </w:p>
        </w:tc>
        <w:tc>
          <w:tcPr>
            <w:tcW w:type="dxa" w:w="87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تغذية بيانات دائمة ومؤشرات خطر ربعية ترفد دورة التقييم (2027–2028)؛ قياس سنوي لنبض ثقافة النزاهة؛ وبعد تشغيل نظام القضايا: تصنيف الاستلام بمعالجة اللغة الطبيعية بقرار بشري إلزامي (2028)</w:t>
            </w:r>
          </w:p>
        </w:tc>
      </w:tr>
    </w:tbl>
    <w:p>
      <w:pPr>
        <w:bidi/>
        <w:spacing w:after="60" w:before="160"/>
      </w:pPr>
      <w:r>
        <w:rPr>
          <w:rFonts w:ascii="Sakkal Majalla" w:cs="Sakkal Majalla" w:eastAsia="Sakkal Majalla" w:hAnsi="Sakkal Majalla"/>
          <w:b/>
          <w:bCs/>
          <w:color w:val="1B3A6B"/>
          <w:sz w:val="26"/>
          <w:szCs w:val="26"/>
          <w:rtl/>
        </w:rPr>
        <w:t xml:space="preserve">رابعاً: معيار التقييم المعتمد في المقارنة</w:t>
      </w:r>
    </w:p>
    <w:p>
      <w:pPr>
        <w:bidi/>
        <w:spacing w:after="40" w:before="40" w:line="264"/>
      </w:pPr>
      <w:r>
        <w:rPr>
          <w:rFonts w:ascii="Sakkal Majalla" w:cs="Sakkal Majalla" w:eastAsia="Sakkal Majalla" w:hAnsi="Sakkal Majalla"/>
          <w:sz w:val="22"/>
          <w:szCs w:val="22"/>
          <w:rtl/>
        </w:rPr>
        <w:t xml:space="preserve">نموذج من 100 نقطة: عشرة محاور بالأوزان الواردة في جدول الأرقام أعلاه، ودرجة كل محور من 5 وفق المقياس الآتي، وتُحتسب مساهمة المحور بقسمة درجته على 5 وضربها في وزنه. الدرجة تقيس النضج المُفصح عنه في الأدلة المنشورة؛ وما لا دليل عليه يُقيَّم تحفظياً بدرجة 1 مع بيان ذلك.</w:t>
      </w:r>
    </w:p>
    <w:tbl>
      <w:tblPr>
        <w:bidiVisual/>
        <w:tblW w:type="dxa" w:w="1020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1900"/>
        <w:gridCol w:w="7200"/>
      </w:tblGrid>
      <w:tr>
        <w:trPr>
          <w:cantSplit/>
          <w:tblHeader/>
        </w:trPr>
        <w:tc>
          <w:tcPr>
            <w:tcW w:type="dxa" w:w="11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الدرجة</w:t>
            </w:r>
          </w:p>
        </w:tc>
        <w:tc>
          <w:tcPr>
            <w:tcW w:type="dxa" w:w="19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المستوى</w:t>
            </w:r>
          </w:p>
        </w:tc>
        <w:tc>
          <w:tcPr>
            <w:tcW w:type="dxa" w:w="72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الضابط التعريفي</w:t>
            </w:r>
          </w:p>
        </w:tc>
      </w:tr>
      <w:tr>
        <w:trPr>
          <w:cantSplit/>
          <w:tblHeader w:val="false"/>
        </w:trPr>
        <w:tc>
          <w:tcPr>
            <w:tcW w:type="dxa" w:w="11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1</w:t>
            </w:r>
          </w:p>
        </w:tc>
        <w:tc>
          <w:tcPr>
            <w:tcW w:type="dxa" w:w="1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أساسي</w:t>
            </w:r>
          </w:p>
        </w:tc>
        <w:tc>
          <w:tcPr>
            <w:tcW w:type="dxa" w:w="7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وجود نصي عام (بند في مدونة أو بريد عام) دون آلية مخصصة أو مالك أو تفصيل منشور</w:t>
            </w:r>
          </w:p>
        </w:tc>
      </w:tr>
      <w:tr>
        <w:trPr>
          <w:cantSplit/>
          <w:tblHeader w:val="false"/>
        </w:trPr>
        <w:tc>
          <w:tcPr>
            <w:tcW w:type="dxa" w:w="11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2</w:t>
            </w:r>
          </w:p>
        </w:tc>
        <w:tc>
          <w:tcPr>
            <w:tcW w:type="dxa" w:w="1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ناشئ</w:t>
            </w:r>
          </w:p>
        </w:tc>
        <w:tc>
          <w:tcPr>
            <w:tcW w:type="dxa" w:w="7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آلية مخصصة قائمة (سياسة أو قناة أو وحدة) بقدرات مفصح عنها محدودة: لا مجهولية ولا تتبع ولا منهجية ولا بيانات</w:t>
            </w:r>
          </w:p>
        </w:tc>
      </w:tr>
      <w:tr>
        <w:trPr>
          <w:cantSplit/>
          <w:tblHeader w:val="false"/>
        </w:trPr>
        <w:tc>
          <w:tcPr>
            <w:tcW w:type="dxa" w:w="11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3</w:t>
            </w:r>
          </w:p>
        </w:tc>
        <w:tc>
          <w:tcPr>
            <w:tcW w:type="dxa" w:w="1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راسخ</w:t>
            </w:r>
          </w:p>
        </w:tc>
        <w:tc>
          <w:tcPr>
            <w:tcW w:type="dxa" w:w="7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إطار موثق بمالك واضح وعملية محددة وخاصية متقدمة واحدة مثبتة على الأقل (مجهولية، تتبع، إشراف مستقل، دورة تقييم مخاطر)</w:t>
            </w:r>
          </w:p>
        </w:tc>
      </w:tr>
      <w:tr>
        <w:trPr>
          <w:cantSplit/>
          <w:tblHeader w:val="false"/>
        </w:trPr>
        <w:tc>
          <w:tcPr>
            <w:tcW w:type="dxa" w:w="11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4</w:t>
            </w:r>
          </w:p>
        </w:tc>
        <w:tc>
          <w:tcPr>
            <w:tcW w:type="dxa" w:w="1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متقدم</w:t>
            </w:r>
          </w:p>
        </w:tc>
        <w:tc>
          <w:tcPr>
            <w:tcW w:type="dxa" w:w="7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خصائص متقدمة متعددة مثبتة ومتكاملة (قناة بتتبع وعدم انتقام وشمول موردين؛ تحقيق بمنهجية وضمان جودة وإحالات؛ مراجعة تعارض بالمخاطر)</w:t>
            </w:r>
          </w:p>
        </w:tc>
      </w:tr>
      <w:tr>
        <w:trPr>
          <w:cantSplit/>
          <w:tblHeader w:val="false"/>
        </w:trPr>
        <w:tc>
          <w:tcPr>
            <w:tcW w:type="dxa" w:w="11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5</w:t>
            </w:r>
          </w:p>
        </w:tc>
        <w:tc>
          <w:tcPr>
            <w:tcW w:type="dxa" w:w="19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رائد</w:t>
            </w:r>
          </w:p>
        </w:tc>
        <w:tc>
          <w:tcPr>
            <w:tcW w:type="dxa" w:w="72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9"/>
                <w:szCs w:val="19"/>
                <w:rtl/>
              </w:rPr>
              <w:t xml:space="preserve">ممارسة تصلح مرجعاً: شاملة، مستقلة، ممكّنة تقنياً، بأدلة تشغيل منشورة (إحصاءات، قرارات إنفاذ، شهادات ⁦ISO 37001/37301⁩) لا مجرد إعلان</w:t>
            </w:r>
          </w:p>
        </w:tc>
      </w:tr>
    </w:tbl>
    <w:p>
      <w:pPr>
        <w:bidi/>
        <w:spacing w:after="60" w:before="160"/>
      </w:pPr>
      <w:r>
        <w:rPr>
          <w:rFonts w:ascii="Sakkal Majalla" w:cs="Sakkal Majalla" w:eastAsia="Sakkal Majalla" w:hAnsi="Sakkal Majalla"/>
          <w:b/>
          <w:bCs/>
          <w:color w:val="1B3A6B"/>
          <w:sz w:val="26"/>
          <w:szCs w:val="26"/>
          <w:rtl/>
        </w:rPr>
        <w:t xml:space="preserve">خامساً: المنهجية وحدود الأدلة — تُقرأ قبل المصفوفة</w:t>
      </w:r>
    </w:p>
    <w:p>
      <w:pPr>
        <w:bidi/>
        <w:spacing w:after="40" w:before="40" w:line="264"/>
      </w:pPr>
      <w:r>
        <w:rPr>
          <w:rFonts w:ascii="Sakkal Majalla" w:cs="Sakkal Majalla" w:eastAsia="Sakkal Majalla" w:hAnsi="Sakkal Majalla"/>
          <w:sz w:val="22"/>
          <w:szCs w:val="22"/>
          <w:rtl/>
        </w:rPr>
        <w:t xml:space="preserve">خمسة مسارات بحث نُفذت في 4 سبتمبر 2026 بقاعدة صارمة: لا يُسجل ادعاء إلا من محتوى المصدر الرسمي المسمى مع رابطه وتاريخ قراءته وحالة التطبيق (مطبق / تجريبي / معلن)، وما تعذر إثباته دُوّن نصاً أنه بلا دليل عام كافٍ. حدّ الأدلة: بيئة التنفيذ حجبت فتح الصفحات مباشرة، فكل الأدلة الخارجية محتوى رسمي موثق عبر خدمة البحث تلزمه فتحة تحقق واحدة لكل رابط قبل التداول خارج الدائرة، وسجلات الأدلة تُعدد الروابط لهذا الغرض. ووصف وضعنا الحالي محمول عن سجل المشروع لا عن مستندات قُرئت في هذه الجلسة، ودرجتنا تستفيد من السجل الداخلي بينما درجات الجهات من إفصاحها العام وحده — والمقارنة صالحة لتحديد الفجوات وهو غرضها الوحيد هنا. واستُبعد جهاز أبوظبي للمحاسبة مرجعاً رئيسياً وشرطة أبوظبي في التحقيقات وفق نطاق التكليف.</w:t>
      </w:r>
    </w:p>
    <w:p>
      <w:pPr>
        <w:bidi/>
        <w:spacing w:after="40" w:before="40" w:line="264"/>
      </w:pPr>
      <w:r>
        <w:rPr>
          <w:rFonts w:ascii="Sakkal Majalla" w:cs="Sakkal Majalla" w:eastAsia="Sakkal Majalla" w:hAnsi="Sakkal Majalla"/>
          <w:b/>
          <w:bCs/>
          <w:sz w:val="22"/>
          <w:szCs w:val="22"/>
          <w:rtl/>
        </w:rPr>
        <w:t xml:space="preserve">الملحق التالي (صفحات عرضية): مصفوفة المقارنة والفجوات — عشرة محاور بمعاييرها ومراجعها التفصيلية وفجواتها وإجراءاتها وأولوياتها.</w:t>
      </w:r>
    </w:p>
    <w:p>
      <w:pPr>
        <w:sectPr>
          <w:headerReference w:type="default" r:id="rId7"/>
          <w:footerReference w:type="default" r:id="rId8"/>
          <w:pgSz w:w="11906" w:h="16838" w:orient="portrait"/>
          <w:pgMar w:top="794" w:right="851" w:bottom="794" w:left="851" w:header="708" w:footer="708" w:gutter="0"/>
          <w:pgNumType/>
          <w:bidi/>
          <w:docGrid w:linePitch="360"/>
        </w:sectPr>
      </w:pPr>
    </w:p>
    <w:p>
      <w:pPr>
        <w:pBdr>
          <w:bottom w:val="single" w:color="C9A84C" w:sz="8"/>
        </w:pBdr>
        <w:bidi/>
        <w:spacing w:after="40" w:before="0"/>
      </w:pPr>
      <w:r>
        <w:rPr>
          <w:rFonts w:ascii="Sakkal Majalla" w:cs="Sakkal Majalla" w:eastAsia="Sakkal Majalla" w:hAnsi="Sakkal Majalla"/>
          <w:b/>
          <w:bCs/>
          <w:color w:val="1B3A6B"/>
          <w:sz w:val="28"/>
          <w:szCs w:val="28"/>
          <w:rtl/>
        </w:rPr>
        <w:t xml:space="preserve">الملحق: مصفوفة المقارنة المعيارية والفجوات — عشرة محاور</w:t>
      </w:r>
    </w:p>
    <w:p>
      <w:pPr>
        <w:bidi/>
        <w:spacing w:after="30" w:before="40" w:line="264"/>
      </w:pPr>
      <w:r>
        <w:rPr>
          <w:rFonts w:ascii="Sakkal Majalla" w:cs="Sakkal Majalla" w:eastAsia="Sakkal Majalla" w:hAnsi="Sakkal Majalla"/>
          <w:i/>
          <w:iCs/>
          <w:color w:val="595959"/>
          <w:sz w:val="17"/>
          <w:szCs w:val="17"/>
          <w:rtl/>
        </w:rPr>
        <w:t xml:space="preserve">الدرجات من 5 (نحن / أعلى مرجع محلي). كل ممارسة مرجعية تعود إلى سجل أدلة مسمى بمصدره الرسمي وتاريخ قراءته 4 سبتمبر 2026.</w:t>
      </w:r>
    </w:p>
    <w:tbl>
      <w:tblPr>
        <w:bidiVisual/>
        <w:tblW w:type="dxa" w:w="15100"/>
        <w:tblBorders>
          <w:top w:val="single" w:color="BFBFBF" w:sz="4"/>
          <w:left w:val="single" w:color="BFBFBF" w:sz="4"/>
          <w:bottom w:val="single" w:color="BFBFBF" w:sz="4"/>
          <w:right w:val="single" w:color="BFBFBF" w:sz="4"/>
          <w:insideH w:val="single" w:color="BFBFBF" w:sz="4"/>
          <w:insideV w:val="single" w:color="BFBFBF" w:sz="4"/>
        </w:tblBorders>
      </w:tblPr>
      <w:tblGrid>
        <w:gridCol w:w="1650"/>
        <w:gridCol w:w="2750"/>
        <w:gridCol w:w="3500"/>
        <w:gridCol w:w="1350"/>
        <w:gridCol w:w="3050"/>
        <w:gridCol w:w="2800"/>
      </w:tblGrid>
      <w:tr>
        <w:trPr>
          <w:cantSplit/>
          <w:tblHeader/>
        </w:trPr>
        <w:tc>
          <w:tcPr>
            <w:tcW w:type="dxa" w:w="165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المحور (الوزن)</w:t>
            </w:r>
          </w:p>
        </w:tc>
        <w:tc>
          <w:tcPr>
            <w:tcW w:type="dxa" w:w="275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معايير التقييم (العناصر)</w:t>
            </w:r>
          </w:p>
        </w:tc>
        <w:tc>
          <w:tcPr>
            <w:tcW w:type="dxa" w:w="35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الممارسة المرجعية بتفاصيلها وصاحبها</w:t>
            </w:r>
          </w:p>
        </w:tc>
        <w:tc>
          <w:tcPr>
            <w:tcW w:type="dxa" w:w="135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الدرجة</w:t>
            </w:r>
          </w:p>
        </w:tc>
        <w:tc>
          <w:tcPr>
            <w:tcW w:type="dxa" w:w="305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الفجوة ونقاط التحسين لدينا</w:t>
            </w:r>
          </w:p>
        </w:tc>
        <w:tc>
          <w:tcPr>
            <w:tcW w:type="dxa" w:w="2800"/>
            <w:shd w:fill="1B3A6B" w:val="clear"/>
            <w:tcMar>
              <w:top w:type="dxa" w:w="30"/>
              <w:left w:type="dxa" w:w="70"/>
              <w:bottom w:type="dxa" w:w="30"/>
              <w:right w:type="dxa" w:w="70"/>
            </w:tcMar>
          </w:tcPr>
          <w:p>
            <w:pPr>
              <w:bidi/>
              <w:spacing w:after="0" w:before="0" w:line="238"/>
            </w:pPr>
            <w:r>
              <w:rPr>
                <w:rFonts w:ascii="Sakkal Majalla" w:cs="Sakkal Majalla" w:eastAsia="Sakkal Majalla" w:hAnsi="Sakkal Majalla"/>
                <w:b/>
                <w:bCs/>
                <w:color w:val="FFFFFF"/>
                <w:sz w:val="19"/>
                <w:szCs w:val="19"/>
                <w:rtl/>
              </w:rPr>
              <w:t xml:space="preserve">الإجراء والأولوية والتوقيت</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الإبلاغ عن المخالفات (15)</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مجهولية؛ سرية؛ عدم انتقام؛ رقم مرجعي وتتبع حالة؛ اتصال ثنائي الاتجاه؛ رفع أدلة؛ تعدد قنوات ولغات؛ شمول الموظفين والموردين والجمهور؛ استقلالية التشغيل؛ تحليلات البلاغات</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أدنوك «تكلّم»: مشغّل مستقل (⁦SpeakUp⁩، أمستردام)، مجهولية بحوار ثنائي، موقع وتطبيق وهاتف، لغات متعددة، مفتوح للجمهور، سياسة عدم انتقام · الاتحاد للطيران: رمز بلاغ لمتابعة الحالة، جميع الأطراف، أي لغة · بنك أبوظبي الأول: مزود مسمى، رقم حالة فريد، قناة واتساب، خطوط هاتفية بحسب الدولة</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2 · المرجع 5</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«تحدث» سرية بتصنيف سباعي وعدم انتقام معلن؛ ولا مجهولية ولا رقم مرجعي ولا اتصال ثنائي ولا استضافة مستقلة ولا رفع أدلة في الإفصاح المنشور؛ والنطاق موظفون وموردون متعاملون فقط</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رفع قدرات «تحدث» أو قناة مستضافة مستقلة + سياسة على قائمة لائحة سوق أبوظبي العالمي 2024 · حرجة · التشغيل الربع الثاني 2027</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التحقيقات (15)</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سند وتفويض مكتوب؛ دليل منهجية؛ فصل التحقيق عن القرار؛ ضبط الأدلة وسلسلة العهدة؛ ضمان الجودة؛ مدد إنجاز؛ إحالات (تأديبية، جهات مساءلة، نيابة)؛ تعدد المحققين وتأهيلهم</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سلطة دبي للخدمات المالية: صلاحيات قانونية، لجنة قرار «لم يسبق لأعضائها دور مباشر في إثبات الأدلة»، استئناف أمام محكمة مستقلة، قرارات منشورة · جهاز الإمارات للمساءلة: تحقيق إداري وبوابة إحالة للنيابة · بنك الإمارات دبي الوطني: رئيس مسمى لمنع الاحتيال والتحقيق يسند القضايا بحفظ آمن</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4 · المرجع 5</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المنهجية التشغيلية قائمة وتضاهي المراجع؛ الناقص مأسستها: ميثاق، دليل معتمد، لجنة قرار، محقق ثانٍ وثالث، ضمان جودة مستقل عن المحقق</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ميثاق وتفويض (الربع الرابع 2026) + دليل معتمد + لجنة مخالفات بقرار خلال 30 يوماً (الربع الأول 2027) + تعيينان مؤهلان (2027) · حرجة/عالية</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الحوكمة والاستقلالية (10)</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أداة إنشاء مكتوبة؛ خط تقرير للجنة التدقيق والمخاطر والامتثال؛ وصول غير مقيد للرئيس؛ تحديد من يعتمد ومن يغلق ومن يعدّل التصنيف؛ خطة نزاهة سنوية</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مبادلة: مكتب أخلاقيات وامتثال بميثاق يملك المدونة والقناة والتحقيق · الجهات الرقابية وجهازا المساءلة والرقابة المالية: سند قانوني وتبعية لمستوى الرئاسة/الحاكم ولجان مخالفات خاصة</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3 · المرجع 4</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تصعيد قائم للجنة وللرئيس وصيغة إحالة معتمدة؛ ولا أداة مكتوبة تسمي التفويض والصلاحيات وسلطة الإغلاق، ولا خطة نزاهة سنوية معتمدة</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إصدار الميثاق واعتماد اللجنة له مع خطة نزاهة سنوية · حرجة · الربع الرابع 2026</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إدارة مخاطر الاحتيال والفساد (10)</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تقييم دوري شامل؛ سيناريوهات؛ تقييم فعالية الضوابط؛ ملاك معالجة وتواريخ؛ مؤشرات إنذار مبكر؛ رصد مستمر بالبيانات؛ مخاطر الأطراف الثالثة والمشتريات؛ مخاطر الذكاء الاصطناعي المستجدة</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برنامج الدائرة ذاته أوسع إفصاح محلي (312 خطراً · 497 مالك ضابط · 8 سجلات · 41 جهة) · جهاز الرقابة المالية بدبي: إطار مكافحة احتيال ملزم للجهات الخاضعة · الهيئة الاتحادية للضرائب: تحليل مخاطر ضمن إدارة ذكية</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4 · المرجع 4</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الدورية قائمة والناقص الاستمرارية: لا مؤشرات دائمة ولا تغذية بيانات من المشتريات والموارد البشرية والمالية، ولا عائلة سيناريوهات لاحتيال الذكاء الاصطناعي</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اتفاقات تغذية بيانات + 10 مؤشرات دائمة فأكثر بمراجعة ربعية + سيناريوهات الذكاء الاصطناعي في الدورة المقبلة · عالية · 2027–2028</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إدارة القضايا (10)</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دورة كاملة من الاستلام إلى الدروس المستفادة؛ تصنيف وخطورة؛ إسناد؛ مدد التزام وتصعيد؛ أثر تدقيق؛ إدارة أدلة؛ إغلاق معتمد؛ تحليل تكرار واتجاهات؛ لوحات متابعة</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قرار المجلس التنفيذي بدبي 4 لسنة 2019: بتّ لجنة المخالفات خلال 30 يوماً بتمديد واحد · بنك الإمارات دبي الوطني: إسناد لمحقق مختص وحفظ آمن للأدلة · جهاز الرقابة المالية: لوحة «المؤشر» تجمع بيانات المخالفات والامتثال</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2 · المرجع 3</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انضباط توثيقي مرجعي (مفردات حالة، سجلات ربط، عهدة) دون نظام: لا سير عمل ولا مدد ولا لوحات ولا تحليل عبر القضايا</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نظام قضايا يقنّن الانضباط القائم (وحدة المنظومة المرتقبة إن وفت) · عالية · الربع الأول 2028؛ وقبله مؤشرات ربعية للجنة</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تعارض المصالح (10)</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إقرار سنوي شامل؛ إقرار عند الواقعة؛ مراجعة بحسب الخطورة؛ خطط معالجة موثقة؛ حظر المشاركة في مشتريات الجهة؛ ربط بالموارد البشرية والمشتريات؛ تحليلات استثناءات</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الاتحاد للطيران: برنامج بدورة إقرار سنوية يشمل الموظفين والمجلس · القانون الاتحادي 11 لسنة 2023: تعريف التعارض الفعلي والمحتمل حتى الدرجة الرابعة وحظر مشاركة الموظف في مشتريات جهته · المدونة الاتحادية: حق طلب النقل عند التعارض</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2 · المرجع 4</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فحوص ضمن القضايا وتوصيات وقائية؛ ولا دورة إقرار على مستوى الدائرة ولا بوابة تعارض في دورة الشراء ولا مراجعة دورية بالمخاطر</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دورة إقرار سنوية + إقرار الواقعة + بوابة مشتريات · عالية · أول دورة الربع الثاني 2027</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الهدايا والضيافة (5)</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سجل مركزي؛ وحدة تسلم مخصصة؛ قصر القبول على الرمزية؛ خطوط قاطعة (حظر النقد)؛ اعتماد مسبق للاستثناءات؛ ربط بالموردين والمشتريات؛ مؤشرات إنذار</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المدونة الاتحادية (قرار مجلس الوزراء 79 لسنة 2023): حظر الهدايا إلا الرمزية باسم المُهدي، وحدة تنظيمية مخصصة للتسلم، شمول الأقارب حتى الدرجة الرابعة · الدار العقارية: «النقد محظور دائماً» واعتماد لجنة التدقيق لأعضاء المجلس</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1 · المرجع 3</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لا سجل ولا سياسة موثقة في سجل المشروع (توصيف للسجل لا نفي للواقع — يلزم حصر ما لدى الشؤون المؤسسية أولاً)</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سياسة وسجل على النموذج الاتحادي بربط مبكر بالمشتريات · متوسطة · الربع الأول 2027</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التقنية والذكاء الاصطناعي (10)</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نظام قضايا؛ منصات قناة؛ لوحات؛ تحليلات؛ تصنيف آلي للاستلام بقرار بشري؛ حوكمة استخدام الذكاء الاصطناعي وتوثيقه</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جهاز الرقابة المالية: لوحة «المؤشر» ومنصة بلاغات للجهات الخاضعة (تشغيل معلن 2024) · حكومة أبوظبي «تم»: استخلاص آلي لتفاصيل الحادثة وتوجيهها للجهة المختصة · لا جهة في الدولة تُثبت فرزاً آلياً لبلاغات المخالفات — مساحة سبق</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3 · المرجع 3</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قدرة تحليلية فردية مقننة بضوابط تحقق؛ ولا طبقة مؤسسية: لا نظام ولا لوحات ولا منصة قناة يملكها القسم</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الطبقة المؤسسية أولاً (نظام + لوحات) ثم تصنيف الاستلام بمعالجة اللغة بقرار بشري إلزامي · متوسطة مرحّلة · 2028</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التوعية وثقافة النزاهة (5)</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خطة توعية سنوية؛ تدريب إلزامي بإقرار موقّع؛ نشر نسب الإتمام؛ تدريب المديرين على الاستلام؛ قياس دوري لثقافة النزاهة (استعداد للإبلاغ، خشية الانتقام، ثقة بالإجراءات)</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مبادلة: تعلم إلكتروني سنوي إلزامي على المدونة · بنك الإمارات دبي الوطني: تدريب سنوي مع توقيع على السياسات · أدنوك: إتمام كامل معلن لتدريب مكافحة الرشوة · قياس الثقافة غير مُثبت لدى أي جهة محلياً — فرصة ريادة بكلفة استبيان</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2 · المرجع 4</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قدرة إنتاج حملات قائمة؛ ولا خطة معتمدة ولا إقرارات موقعة ولا قياس للثقافة</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خطة سنوية + إقرار موقّع + قياس نبض سنوي يبدأ قبل ترقية القناة ليكون أساس مقارنة · متوسطة · 2027</w:t>
            </w:r>
          </w:p>
        </w:tc>
      </w:tr>
      <w:tr>
        <w:trPr>
          <w:cantSplit/>
          <w:tblHeader w:val="false"/>
        </w:trPr>
        <w:tc>
          <w:tcPr>
            <w:tcW w:type="dxa" w:w="16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التقارير والتحليلات (10)</w:t>
            </w:r>
          </w:p>
        </w:tc>
        <w:tc>
          <w:tcPr>
            <w:tcW w:type="dxa" w:w="27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تقارير ربعية للجنة؛ مؤشرات القناة (أعداد، فئات، مدد)؛ مؤشرات القضايا (عبء، التزام بالمدد، نتائج)؛ اتجاهات وتكرار؛ إفصاح سنوي مناسب</w:t>
            </w:r>
          </w:p>
        </w:tc>
        <w:tc>
          <w:tcPr>
            <w:tcW w:type="dxa" w:w="35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بنك الإمارات دبي الوطني: نشر أعداد البلاغات وأنواعها والإجراءات في التقارير السنوية · سلطة دبي للخدمات المالية: مراجعة موضوعية قطاعية منشورة ببيانات · هيئة الأوراق المالية والسلع (هيئة سوق المال حالياً): بيانات مخالفات مفتوحة</w:t>
            </w:r>
          </w:p>
        </w:tc>
        <w:tc>
          <w:tcPr>
            <w:tcW w:type="dxa" w:w="13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نحن 4 · المرجع 4</w:t>
            </w:r>
          </w:p>
        </w:tc>
        <w:tc>
          <w:tcPr>
            <w:tcW w:type="dxa" w:w="305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التقرير التنفيذي لدينا مرجعي الشكل والانضباط؛ الناقص صفحة مؤشرات دورية للقناة والقضايا واتجاهاتها</w:t>
            </w:r>
          </w:p>
        </w:tc>
        <w:tc>
          <w:tcPr>
            <w:tcW w:type="dxa" w:w="2800"/>
            <w:tcMar>
              <w:top w:type="dxa" w:w="30"/>
              <w:left w:type="dxa" w:w="70"/>
              <w:bottom w:type="dxa" w:w="30"/>
              <w:right w:type="dxa" w:w="70"/>
            </w:tcMar>
          </w:tcPr>
          <w:p>
            <w:pPr>
              <w:bidi/>
              <w:spacing w:after="0" w:before="0" w:line="238"/>
            </w:pPr>
            <w:r>
              <w:rPr>
                <w:rFonts w:ascii="Sakkal Majalla" w:cs="Sakkal Majalla" w:eastAsia="Sakkal Majalla" w:hAnsi="Sakkal Majalla"/>
                <w:color w:val="000000"/>
                <w:sz w:val="17"/>
                <w:szCs w:val="17"/>
                <w:rtl/>
              </w:rPr>
              <w:t xml:space="preserve">صفحة مؤشرات ربعية في حزمة اللجنة — مكسب سريع · منخفضة الجهد عالية الأثر · الربع الأول 2027</w:t>
            </w:r>
          </w:p>
        </w:tc>
      </w:tr>
    </w:tbl>
    <w:p>
      <w:pPr>
        <w:bidi/>
        <w:spacing w:after="40" w:before="60" w:line="264"/>
      </w:pPr>
      <w:r>
        <w:rPr>
          <w:rFonts w:ascii="Sakkal Majalla" w:cs="Sakkal Majalla" w:eastAsia="Sakkal Majalla" w:hAnsi="Sakkal Majalla"/>
          <w:i/>
          <w:iCs/>
          <w:color w:val="595959"/>
          <w:sz w:val="17"/>
          <w:szCs w:val="17"/>
          <w:rtl/>
        </w:rPr>
        <w:t xml:space="preserve">نهاية التقرير. المراجع التفصيلية: دراسة المقارنة المعيارية الكاملة وسجلات الأدلة الخمسة (لكل ممارسة: المصدر الرسمي، الرابط، تاريخ القراءة 4 سبتمبر 2026، حالة التطبيق).</w:t>
      </w:r>
    </w:p>
    <w:sectPr>
      <w:headerReference w:type="default" r:id="rId9"/>
      <w:footerReference w:type="default" r:id="rId10"/>
      <w:pgSz w:w="16838" w:h="11906" w:orient="landscape"/>
      <w:pgMar w:top="794" w:right="851" w:bottom="794" w:left="851"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10205"/>
      </w:tabs>
      <w:bidi/>
    </w:pPr>
    <w:r>
      <w:rPr>
        <w:rFonts w:ascii="Sakkal Majalla" w:cs="Sakkal Majalla" w:eastAsia="Sakkal Majalla" w:hAnsi="Sakkal Majalla"/>
        <w:color w:val="595959"/>
        <w:sz w:val="16"/>
        <w:szCs w:val="16"/>
        <w:rtl/>
      </w:rPr>
      <w:t xml:space="preserve">دائرة التمكين الحكومي – أبوظبي   صفحة </w:t>
    </w:r>
    <w:r>
      <w:rPr>
        <w:rFonts w:ascii="Sakkal Majalla" w:cs="Sakkal Majalla" w:eastAsia="Sakkal Majalla" w:hAnsi="Sakkal Majalla"/>
        <w:color w:val="595959"/>
        <w:sz w:val="16"/>
        <w:szCs w:val="16"/>
      </w:rPr>
      <w:fldChar w:fldCharType="begin"/>
      <w:instrText xml:space="preserve">PAGE</w:instrText>
      <w:fldChar w:fldCharType="separate"/>
      <w:fldChar w:fldCharType="end"/>
    </w:r>
    <w:r>
      <w:rPr>
        <w:rFonts w:ascii="Sakkal Majalla" w:cs="Sakkal Majalla" w:eastAsia="Sakkal Majalla" w:hAnsi="Sakkal Majalla"/>
        <w:color w:val="595959"/>
        <w:sz w:val="16"/>
        <w:szCs w:val="16"/>
        <w:rtl/>
      </w:rPr>
      <w:t xml:space="preserve"> من </w:t>
    </w:r>
    <w:r>
      <w:rPr>
        <w:rFonts w:ascii="Sakkal Majalla" w:cs="Sakkal Majalla" w:eastAsia="Sakkal Majalla" w:hAnsi="Sakkal Majalla"/>
        <w:color w:val="595959"/>
        <w:sz w:val="16"/>
        <w:szCs w:val="16"/>
      </w:rPr>
      <w:fldChar w:fldCharType="begin"/>
      <w:instrText xml:space="preserve">NUMPAGES</w:instrText>
      <w:fldChar w:fldCharType="separate"/>
      <w:fldChar w:fldCharType="end"/>
    </w:r>
    <w:r>
      <w:rPr>
        <w:rFonts w:ascii="Sakkal Majalla" w:cs="Sakkal Majalla" w:eastAsia="Sakkal Majalla" w:hAnsi="Sakkal Majalla"/>
        <w:sz w:val="16"/>
        <w:szCs w:val="16"/>
      </w:rPr>
      <w:t xml:space="preserve">	</w:t>
    </w:r>
    <w:r>
      <w:rPr>
        <w:rFonts w:ascii="Sakkal Majalla" w:cs="Sakkal Majalla" w:eastAsia="Sakkal Majalla" w:hAnsi="Sakkal Majalla"/>
        <w:color w:val="595959"/>
        <w:sz w:val="16"/>
        <w:szCs w:val="16"/>
      </w:rPr>
      <w:t xml:space="preserve">CONFIDENTIAL | خصوصيّ</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15130"/>
      </w:tabs>
      <w:bidi/>
    </w:pPr>
    <w:r>
      <w:rPr>
        <w:rFonts w:ascii="Sakkal Majalla" w:cs="Sakkal Majalla" w:eastAsia="Sakkal Majalla" w:hAnsi="Sakkal Majalla"/>
        <w:color w:val="595959"/>
        <w:sz w:val="16"/>
        <w:szCs w:val="16"/>
        <w:rtl/>
      </w:rPr>
      <w:t xml:space="preserve">دائرة التمكين الحكومي – أبوظبي   صفحة </w:t>
    </w:r>
    <w:r>
      <w:rPr>
        <w:rFonts w:ascii="Sakkal Majalla" w:cs="Sakkal Majalla" w:eastAsia="Sakkal Majalla" w:hAnsi="Sakkal Majalla"/>
        <w:color w:val="595959"/>
        <w:sz w:val="16"/>
        <w:szCs w:val="16"/>
      </w:rPr>
      <w:fldChar w:fldCharType="begin"/>
      <w:instrText xml:space="preserve">PAGE</w:instrText>
      <w:fldChar w:fldCharType="separate"/>
      <w:fldChar w:fldCharType="end"/>
    </w:r>
    <w:r>
      <w:rPr>
        <w:rFonts w:ascii="Sakkal Majalla" w:cs="Sakkal Majalla" w:eastAsia="Sakkal Majalla" w:hAnsi="Sakkal Majalla"/>
        <w:color w:val="595959"/>
        <w:sz w:val="16"/>
        <w:szCs w:val="16"/>
        <w:rtl/>
      </w:rPr>
      <w:t xml:space="preserve"> من </w:t>
    </w:r>
    <w:r>
      <w:rPr>
        <w:rFonts w:ascii="Sakkal Majalla" w:cs="Sakkal Majalla" w:eastAsia="Sakkal Majalla" w:hAnsi="Sakkal Majalla"/>
        <w:color w:val="595959"/>
        <w:sz w:val="16"/>
        <w:szCs w:val="16"/>
      </w:rPr>
      <w:fldChar w:fldCharType="begin"/>
      <w:instrText xml:space="preserve">NUMPAGES</w:instrText>
      <w:fldChar w:fldCharType="separate"/>
      <w:fldChar w:fldCharType="end"/>
    </w:r>
    <w:r>
      <w:rPr>
        <w:rFonts w:ascii="Sakkal Majalla" w:cs="Sakkal Majalla" w:eastAsia="Sakkal Majalla" w:hAnsi="Sakkal Majalla"/>
        <w:sz w:val="16"/>
        <w:szCs w:val="16"/>
      </w:rPr>
      <w:t xml:space="preserve">	</w:t>
    </w:r>
    <w:r>
      <w:rPr>
        <w:rFonts w:ascii="Sakkal Majalla" w:cs="Sakkal Majalla" w:eastAsia="Sakkal Majalla" w:hAnsi="Sakkal Majalla"/>
        <w:color w:val="595959"/>
        <w:sz w:val="16"/>
        <w:szCs w:val="16"/>
      </w:rPr>
      <w:t xml:space="preserve">CONFIDENTIAL | خصوصيّ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bidi/>
      <w:spacing w:after="0"/>
    </w:pPr>
    <w:r>
      <w:rPr>
        <w:rFonts w:ascii="Sakkal Majalla" w:cs="Sakkal Majalla" w:eastAsia="Sakkal Majalla" w:hAnsi="Sakkal Majalla"/>
        <w:color w:val="1B3A6B"/>
        <w:sz w:val="16"/>
        <w:szCs w:val="16"/>
        <w:rtl/>
      </w:rPr>
      <w:t xml:space="preserve">قسم النزاهة – قطاع التدقيق الداخلي وإدارة المخاطر</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bidi/>
      <w:spacing w:after="0"/>
    </w:pPr>
    <w:r>
      <w:rPr>
        <w:rFonts w:ascii="Sakkal Majalla" w:cs="Sakkal Majalla" w:eastAsia="Sakkal Majalla" w:hAnsi="Sakkal Majalla"/>
        <w:color w:val="1B3A6B"/>
        <w:sz w:val="16"/>
        <w:szCs w:val="16"/>
        <w:rtl/>
      </w:rPr>
      <w:t xml:space="preserve">قسم النزاهة – قطاع التدقيق الداخلي وإدارة المخاطر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2026-09-04T22:07:27.303Z</dcterms:created>
  <dcterms:modified xsi:type="dcterms:W3CDTF">2026-09-04T22:07:27.303Z</dcterms:modified>
</cp:coreProperties>
</file>

<file path=docProps/custom.xml><?xml version="1.0" encoding="utf-8"?>
<Properties xmlns="http://schemas.openxmlformats.org/officeDocument/2006/custom-properties" xmlns:vt="http://schemas.openxmlformats.org/officeDocument/2006/docPropsVTypes"/>
</file>