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rPr>
          <w:rFonts w:hint="cs"/>
          <w:rtl/>
        </w:rPr>
        <w:t>از داده تراکنشی تا هوشمندی سازمانی: ارائه چارچوب معماری مبتنی بر گراف برای کشف مشتری در صنعت پرداخت</w:t>
      </w:r>
    </w:p>
    <w:p>
      <w:pPr>
        <w:pStyle w:val="Author"/>
      </w:pPr>
      <w:r>
        <w:rPr>
          <w:rFonts w:hint="cs"/>
          <w:rtl/>
        </w:rPr>
        <w:t>نام و نام خانوادگی نویسنده اول</w:t>
      </w:r>
      <w:r>
        <w:rPr>
          <w:rFonts w:hint="cs"/>
          <w:rtl/>
          <w:vertAlign w:val="superscript"/>
        </w:rPr>
        <w:t>1*</w:t>
      </w:r>
      <w:r>
        <w:rPr>
          <w:rFonts w:hint="cs"/>
          <w:rtl/>
        </w:rPr>
        <w:t>، نام و نام خانوادگی نویسنده دوم</w:t>
      </w:r>
      <w:r>
        <w:rPr>
          <w:rFonts w:hint="cs"/>
          <w:rtl/>
          <w:vertAlign w:val="superscript"/>
        </w:rPr>
        <w:t>2</w:t>
      </w:r>
      <w:r>
        <w:rPr>
          <w:rFonts w:hint="cs"/>
          <w:rtl/>
        </w:rPr>
        <w:t>، نام و نام خانوادگی نویسنده سوم</w:t>
      </w:r>
      <w:r>
        <w:rPr>
          <w:rFonts w:hint="cs"/>
          <w:rtl/>
          <w:vertAlign w:val="superscript"/>
        </w:rPr>
        <w:t>3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1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 (* نویسنده مسئول)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2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</w:t>
      </w:r>
    </w:p>
    <w:p>
      <w:pPr>
        <w:pStyle w:val="Author"/>
      </w:pPr>
    </w:p>
    <w:p>
      <w:pPr>
        <w:pStyle w:val="Author"/>
      </w:pPr>
      <w:r>
        <w:rPr>
          <w:rFonts w:hint="cs"/>
          <w:rtl/>
          <w:vertAlign w:val="superscript"/>
        </w:rPr>
        <w:t>3</w:t>
      </w:r>
      <w:r>
        <w:rPr>
          <w:rFonts w:hint="cs"/>
          <w:rtl/>
        </w:rPr>
        <w:t xml:space="preserve"> رتبه علمی نویسنده، گروه آموزشی یا واحد سازمانی مربوطه، نام سازمان، شهر</w:t>
      </w:r>
    </w:p>
    <w:p>
      <w:pPr>
        <w:pStyle w:val="Author"/>
      </w:pPr>
      <w:r>
        <w:rPr>
          <w:rFonts w:hint="cs"/>
          <w:rtl/>
        </w:rPr>
        <w:t>آدرس پست الکترونیکی</w:t>
      </w:r>
    </w:p>
    <w:p>
      <w:pPr>
        <w:pStyle w:val="Author"/>
      </w:pPr>
    </w:p>
    <w:p>
      <w:pPr>
        <w:pStyle w:val="Heading0"/>
      </w:pPr>
      <w:r>
        <w:rPr>
          <w:rFonts w:hint="cs"/>
          <w:rtl/>
        </w:rPr>
        <w:t>چکیده</w:t>
      </w:r>
    </w:p>
    <w:p>
      <w:pPr>
        <w:pStyle w:val="Abstract"/>
      </w:pPr>
      <w:r>
        <w:rPr>
          <w:rFonts w:hint="cs"/>
          <w:rtl/>
        </w:rPr>
        <w:t>تحلیل رفتار مشتریان در شبکه پرداخت الکترونیک اغلب بر شاخص‌های خلاصه‌شده جدولی نظیر تازگی، تکرار و ارزش مالی استوار است و ساختار تعاملی میان ابزارهای پرداخت، پایانه‌های پذیرندگی و اصناف تجاری را به صورت مستقیم لحاظ نمی‌کند. در این مقاله، چارچوبی مبتنی بر خودرمزگذار شبکه عصبی توجه‌محور به همراه انحنای گسسته فرمن-ریچی روی ابرگراف دوبخشی کارت-پذیرنده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) جهت استخراج بازنمایی رفتار تراکنشی و بخش‌بندی کارت‌های پرداخت بررسی می‌شود. در این الگو، تراکنش‌ها به صورت یک ابرگراف دوبخشی مدل‌سازی شده و انحنای فرمن-ریچی بر روی یال‌های شبکه تصویرشده جهت تعدیل وزن‌های مکانیزم توجه گراف محاسبه می‌گردد تا پیوندهای گلوگاهی و خوشه‌های تجاری وزن‌دهی مناسب‌تری بیابند. ارزیابی تجربی بر روی یک مجموعه داده شبیه‌سازی‌شده شامل </w:t>
      </w:r>
      <w:r>
        <w:rPr>
          <w:rFonts w:ascii="Times New Roman" w:hAnsi="Times New Roman" w:cs="Times New Roman"/>
        </w:rPr>
        <w:t>1480</w:t>
      </w:r>
      <w:r>
        <w:rPr>
          <w:rFonts w:hint="cs"/>
          <w:rtl/>
        </w:rPr>
        <w:t xml:space="preserve"> کارت بانکی، </w:t>
      </w:r>
      <w:r>
        <w:rPr>
          <w:rFonts w:ascii="Times New Roman" w:hAnsi="Times New Roman" w:cs="Times New Roman"/>
        </w:rPr>
        <w:t>350</w:t>
      </w:r>
      <w:r>
        <w:rPr>
          <w:rFonts w:hint="cs"/>
          <w:rtl/>
        </w:rPr>
        <w:t xml:space="preserve"> پایانه پذیرنده در </w:t>
      </w:r>
      <w:r>
        <w:rPr>
          <w:rFonts w:ascii="Times New Roman" w:hAnsi="Times New Roman" w:cs="Times New Roman"/>
        </w:rPr>
        <w:t>8</w:t>
      </w:r>
      <w:r>
        <w:rPr>
          <w:rFonts w:hint="cs"/>
          <w:rtl/>
        </w:rPr>
        <w:t xml:space="preserve"> صنف اقتصادی و </w:t>
      </w:r>
      <w:r>
        <w:rPr>
          <w:rFonts w:ascii="Times New Roman" w:hAnsi="Times New Roman" w:cs="Times New Roman"/>
        </w:rPr>
        <w:t>35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000</w:t>
      </w:r>
      <w:r>
        <w:rPr>
          <w:rFonts w:hint="cs"/>
          <w:rtl/>
        </w:rPr>
        <w:t xml:space="preserve"> تراکنش نشان می‌دهد که روش پیشنهادی به شاخص اطلاعات متقابل نرمال‌شده (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) معادل </w:t>
      </w:r>
      <w:r>
        <w:rPr>
          <w:rFonts w:ascii="Times New Roman" w:hAnsi="Times New Roman" w:cs="Times New Roman"/>
        </w:rPr>
        <w:t>0.867</w:t>
      </w:r>
      <w:r>
        <w:rPr>
          <w:rFonts w:hint="cs"/>
          <w:rtl/>
        </w:rPr>
        <w:t xml:space="preserve"> و شاخص رند تعدیل‌شده (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) معادل </w:t>
      </w:r>
      <w:r>
        <w:rPr>
          <w:rFonts w:ascii="Times New Roman" w:hAnsi="Times New Roman" w:cs="Times New Roman"/>
        </w:rPr>
        <w:t>0.885</w:t>
      </w:r>
      <w:r>
        <w:rPr>
          <w:rFonts w:hint="cs"/>
          <w:rtl/>
        </w:rPr>
        <w:t xml:space="preserve"> دست می‌یابد؛ این نتایج نسبت به مدل جدولی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بهبود قابل‌ملاحظه‌ای را نشان می‌دهند و در عین حال عملکردی هم‌سطح با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ثبت می‌کنند، با این مزیت که امکان تلفیق ویژگی‌های گره‌ای و استنتاج بر ساختار رابطه‌ای را فراهم می‌سازد.</w:t>
      </w:r>
    </w:p>
    <w:p>
      <w:pPr>
        <w:pStyle w:val="Heading0"/>
      </w:pPr>
      <w:r>
        <w:rPr>
          <w:rFonts w:hint="cs"/>
          <w:rtl/>
        </w:rPr>
        <w:t>کلمات کلیدی</w:t>
      </w:r>
    </w:p>
    <w:p>
      <w:pPr>
        <w:pStyle w:val="Abstract"/>
      </w:pPr>
      <w:r>
        <w:rPr>
          <w:rFonts w:hint="cs"/>
          <w:rtl/>
        </w:rPr>
        <w:t>پرداخت الکترونیک، کشف مشتری، شبکه عصبی گراف، انحنای فرمن-ریچی، خودرمزگذار گراف، بازنمایی رفتار مالی</w:t>
      </w:r>
    </w:p>
    <w:p w14:paraId="6109172F" w14:textId="77777777" w:rsidR="002F6468" w:rsidRPr="00A5429D" w:rsidRDefault="002F6468" w:rsidP="002F6468">
      <w:pPr>
        <w:pStyle w:val="Abstract"/>
        <w:bidi w:val="0"/>
        <w:rPr>
          <w:rFonts w:hint="eastAsia"/>
          <w:lang w:eastAsia="ja-JP"/>
        </w:rPr>
        <w:sectPr w:rsidR="002F6468" w:rsidRPr="00A5429D" w:rsidSect="00795E10">
          <w:headerReference w:type="default" r:id="rId8"/>
          <w:footerReference w:type="default" r:id="rId9"/>
          <w:footnotePr>
            <w:numFmt w:val="chicago"/>
          </w:footnotePr>
          <w:endnotePr>
            <w:numFmt w:val="decimal"/>
          </w:endnotePr>
          <w:type w:val="continuous"/>
          <w:pgSz w:w="11907" w:h="16840" w:code="9"/>
          <w:pgMar w:top="2977" w:right="1134" w:bottom="1418" w:left="1134" w:header="0" w:footer="0" w:gutter="0"/>
          <w:cols w:space="720"/>
          <w:bidi/>
          <w:rtlGutter/>
          <w:docGrid w:linePitch="360"/>
        </w:sectPr>
      </w:pPr>
    </w:p>
    <w:p>
      <w:pPr>
        <w:pStyle w:val="Heading1"/>
      </w:pPr>
      <w:r>
        <w:rPr>
          <w:rFonts w:hint="cs"/>
          <w:rtl/>
        </w:rPr>
        <w:t>مقدمه</w:t>
      </w:r>
    </w:p>
    <w:p>
      <w:pPr>
        <w:pStyle w:val="Text1"/>
      </w:pPr>
      <w:r>
        <w:rPr>
          <w:rFonts w:hint="cs"/>
          <w:rtl/>
        </w:rPr>
        <w:t>تراکنش‌های کارتی در شبکه پرداخت الکترونیک از مهم‌ترین منابع داده‌های رفتاری به شمار می‌روند. هر تراکنش در لحظه ثبت دست‌کم پنج مؤلفه را در بر دارد: مشخصه کارت بانکی، ارزش ریالی تراکنش، شناسه پایانه پذیرنده، زمان وقوع و رسته فعالیت صنف اقتصادی (مانند طلافروشی، سوپرمارکت، آهن‌آلات، خدمات مسافرتی و پزشکی). در سامانه‌های متداول گزارش‌گیری بانکی، این سوابق بیشتر برای تسویه مالی و گزارش‌های آماری جمع‌بندی می‌شوند و از ساختار ارتباطی میان آن‌ها استفاده محدودی صورت می‌گیرد.</w:t>
      </w:r>
    </w:p>
    <w:p>
      <w:pPr>
        <w:pStyle w:val="Text"/>
      </w:pPr>
      <w:r>
        <w:rPr>
          <w:rFonts w:hint="cs"/>
          <w:rtl/>
        </w:rPr>
        <w:t>الگوی رایج بخش‌بندی مشتریان در صنعت بانکداری، مدل تازگی، تکرار و ارزش مالی (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) است </w:t>
      </w:r>
      <w:r>
        <w:rPr>
          <w:rFonts w:ascii="Times New Roman" w:hAnsi="Times New Roman" w:cs="Times New Roman"/>
        </w:rPr>
        <w:t>[5]</w:t>
      </w:r>
      <w:r>
        <w:rPr>
          <w:rFonts w:hint="cs"/>
          <w:rtl/>
        </w:rPr>
        <w:t xml:space="preserve">. این الگو با خلاصه‌سازی داده‌ها در چند متغیر اسکالر و اعمال الگوریتم‌هایی نظیر </w:t>
      </w:r>
      <w:r>
        <w:rPr>
          <w:rFonts w:ascii="Times New Roman" w:hAnsi="Times New Roman" w:cs="Times New Roman"/>
        </w:rPr>
        <w:t>K-Means</w:t>
      </w:r>
      <w:r>
        <w:rPr>
          <w:rFonts w:hint="cs"/>
          <w:rtl/>
        </w:rPr>
        <w:t xml:space="preserve"> پیاده‌سازی می‌شود. این رویکرد دارای محدودیت‌هایی است: نخست آنکه مشتریان را مستقل از یکدیگر فرض می‌کند و ساختار ارتباطات شبکه‌ای را نادیده می‌گیرد؛ دوم، با تجمیع مبالغ، تمایز کیفی میان یک تراکنش سنگین سرمایه‌ای با مجموعه‌ای از تراکنش‌های خرد روزمره از بین می‌رود؛ و سوم، شباهت‌های غیرمستقیم ناشی از الگوهای مشترک مصرف در اصناف مختلف در فضای اقلیدسی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منعکس نمی‌شود.</w:t>
      </w:r>
    </w:p>
    <w:p>
      <w:pPr>
        <w:pStyle w:val="Text"/>
      </w:pPr>
      <w:r>
        <w:rPr>
          <w:rFonts w:hint="cs"/>
          <w:rtl/>
        </w:rPr>
        <w:t>یادگیری عمیق بر روی گراف (</w:t>
      </w:r>
      <w:r>
        <w:rPr>
          <w:rFonts w:ascii="Times New Roman" w:hAnsi="Times New Roman" w:cs="Times New Roman"/>
        </w:rPr>
        <w:t>GNN</w:t>
      </w:r>
      <w:r>
        <w:rPr>
          <w:rFonts w:hint="cs"/>
          <w:rtl/>
        </w:rPr>
        <w:t xml:space="preserve">) امکان استخراج هم‌زمان الگوها از ویژگی‌های گره و ساختار توپولوژیک شبکه را فراهم می‌سازد </w:t>
      </w:r>
      <w:r>
        <w:rPr>
          <w:rFonts w:ascii="Times New Roman" w:hAnsi="Times New Roman" w:cs="Times New Roman"/>
        </w:rPr>
        <w:t>[2,10]</w:t>
      </w:r>
      <w:r>
        <w:rPr>
          <w:rFonts w:hint="cs"/>
          <w:rtl/>
        </w:rPr>
        <w:t xml:space="preserve">. با این وجود، در شبکه‌های تراکنشی پرداخت، انتشار یکنواخت پیام‌ها می‌تواند با پدیده تراکم اطلاعات در گره‌های پرتراکم و پل‌های گلوگاهی روبه‌رو شود. در این پژوهش، چارچوبی تحت عنوان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با تکیه بر انحنای گسسته فرمن-ریچی پیشنهاد می‌شود که در آن از انحنای موضعی یال‌ها برای تنظیم ضرایب توجه در شبکه عصبی گراف استفاده می‌گردد. اهداف و مشارکت‌های این مقاله به شرح زیر است:</w:t>
      </w:r>
    </w:p>
    <w:p>
      <w:pPr>
        <w:pStyle w:val="BulletedText"/>
      </w:pPr>
      <w:r>
        <w:rPr>
          <w:rFonts w:hint="cs"/>
          <w:rtl/>
        </w:rPr>
        <w:t>ارائه یک معماری چهارلایه برای تبدیل رکوردهای تراکنش به بازنمایی‌های برداری و خوشه‌های رفتاری قابل‌تفسیر؛</w:t>
      </w:r>
    </w:p>
    <w:p>
      <w:pPr>
        <w:pStyle w:val="BulletedText"/>
      </w:pPr>
      <w:r>
        <w:rPr>
          <w:rFonts w:hint="cs"/>
          <w:rtl/>
        </w:rPr>
        <w:t>استفاده از انحنای گسسته فرمن-ریچی به همراه شباهت اصناف جهت تعدیل ضرایب مکانیزم توجه چندسر در خودرمزگذار گراف؛</w:t>
      </w:r>
    </w:p>
    <w:p>
      <w:pPr>
        <w:pStyle w:val="BulletedText"/>
      </w:pPr>
      <w:r>
        <w:rPr>
          <w:rFonts w:hint="cs"/>
          <w:rtl/>
        </w:rPr>
        <w:t>به‌کارگیری تابع زیان سه‌گانه بدون نظارت شامل بازسازی پیوندها، بازسازی ویژگی‌های گره و تنظیم انحنا؛</w:t>
      </w:r>
    </w:p>
    <w:p>
      <w:pPr>
        <w:pStyle w:val="BulletedText"/>
      </w:pPr>
      <w:r>
        <w:rPr>
          <w:rFonts w:hint="cs"/>
          <w:rtl/>
        </w:rPr>
        <w:t xml:space="preserve">ارزیابی تجربی و مقایسه شفاف نتایج با مدل سنتی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و خط‌مبنای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بر روی داده‌های شبیه‌سازی‌شده.</w:t>
      </w:r>
    </w:p>
    <w:p>
      <w:pPr>
        <w:pStyle w:val="Text"/>
      </w:pPr>
      <w:r>
        <w:rPr>
          <w:rFonts w:hint="cs"/>
          <w:rtl/>
        </w:rPr>
        <w:t xml:space="preserve">ادامه مقاله بدین ترتیب تنظیم شده است: بخش 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 xml:space="preserve"> کارهای مرتبط را مرور می‌کند؛ بخش 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 xml:space="preserve"> به توصیف داده و فرمول‌بندی مسئله اختصاص دارد؛ بخش 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 xml:space="preserve"> چارچوب پیشنهادی را تشریح می‌نماید؛ بخش 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 xml:space="preserve"> ارزیابی تجربی و تحلیل نتایج را گزارش می‌کند و بخش </w:t>
      </w:r>
      <w:r>
        <w:rPr>
          <w:rFonts w:ascii="Times New Roman" w:hAnsi="Times New Roman" w:cs="Times New Roman"/>
        </w:rPr>
        <w:t>6</w:t>
      </w:r>
      <w:r>
        <w:rPr>
          <w:rFonts w:hint="cs"/>
          <w:rtl/>
        </w:rPr>
        <w:t xml:space="preserve"> به نتیجه‌گیری می‌پردازد.</w:t>
      </w:r>
    </w:p>
    <w:p>
      <w:pPr>
        <w:pStyle w:val="Heading1"/>
      </w:pPr>
      <w:r>
        <w:rPr>
          <w:rFonts w:hint="cs"/>
          <w:rtl/>
        </w:rPr>
        <w:t>کارهای مرتبط</w:t>
      </w:r>
    </w:p>
    <w:p>
      <w:pPr>
        <w:pStyle w:val="Heading2"/>
      </w:pPr>
      <w:r>
        <w:rPr>
          <w:rFonts w:hint="cs"/>
          <w:rtl/>
        </w:rPr>
        <w:t xml:space="preserve">بخش‌بندی مشتریان بر پایه </w:t>
      </w:r>
      <w:r>
        <w:rPr>
          <w:rFonts w:ascii="Times New Roman" w:hAnsi="Times New Roman" w:cs="Times New Roman"/>
        </w:rPr>
        <w:t>RFM</w:t>
      </w:r>
    </w:p>
    <w:p>
      <w:pPr>
        <w:pStyle w:val="Text1"/>
      </w:pPr>
      <w:r>
        <w:rPr>
          <w:rFonts w:hint="cs"/>
          <w:rtl/>
        </w:rPr>
        <w:t xml:space="preserve">مدل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از بازاریابی مستقیم به بانکداری راه یافته و معمولاً با الگوریتم‌هایی مانند </w:t>
      </w:r>
      <w:r>
        <w:rPr>
          <w:rFonts w:ascii="Times New Roman" w:hAnsi="Times New Roman" w:cs="Times New Roman"/>
        </w:rPr>
        <w:t>K-Means</w:t>
      </w:r>
      <w:r>
        <w:rPr>
          <w:rFonts w:hint="cs"/>
          <w:rtl/>
        </w:rPr>
        <w:t xml:space="preserve"> ترکیب می‌شود </w:t>
      </w:r>
      <w:r>
        <w:rPr>
          <w:rFonts w:ascii="Times New Roman" w:hAnsi="Times New Roman" w:cs="Times New Roman"/>
        </w:rPr>
        <w:t>[5]</w:t>
      </w:r>
      <w:r>
        <w:rPr>
          <w:rFonts w:hint="cs"/>
          <w:rtl/>
        </w:rPr>
        <w:t>. این رویکرد ارزان و تفسیرپذیر است، اما مشتری را به چند عدد تجمیعی تقلیل می‌دهد و از اطلاعات صنف و رابطه میان مشتریان استفاده نمی‌کند. تجزیه ماتریس مشتری–صنف گامی به‌سوی استفاده از این اطلاعات است، ولی بازنمایی خطی می‌سازد و ویژگی‌های رفتاری گره‌ها را مستقیماً وارد نمی‌کند.</w:t>
      </w:r>
    </w:p>
    <w:p>
      <w:pPr>
        <w:pStyle w:val="Heading2"/>
      </w:pPr>
      <w:r>
        <w:rPr>
          <w:rFonts w:hint="cs"/>
          <w:rtl/>
        </w:rPr>
        <w:t>یادگیری بازنمایی روی گراف</w:t>
      </w:r>
    </w:p>
    <w:p>
      <w:pPr>
        <w:pStyle w:val="Text1"/>
      </w:pPr>
      <w:r>
        <w:rPr>
          <w:rFonts w:hint="cs"/>
          <w:rtl/>
        </w:rPr>
        <w:t xml:space="preserve">روش‌هایی مانند </w:t>
      </w:r>
      <w:r>
        <w:rPr>
          <w:rFonts w:ascii="Times New Roman" w:hAnsi="Times New Roman" w:cs="Times New Roman"/>
        </w:rPr>
        <w:t>node2vec</w:t>
      </w:r>
      <w:r>
        <w:rPr>
          <w:rFonts w:hint="cs"/>
          <w:rtl/>
        </w:rPr>
        <w:t xml:space="preserve"> </w:t>
      </w:r>
      <w:r>
        <w:rPr>
          <w:rFonts w:ascii="Times New Roman" w:hAnsi="Times New Roman" w:cs="Times New Roman"/>
        </w:rPr>
        <w:t>[3]</w:t>
      </w:r>
      <w:r>
        <w:rPr>
          <w:rFonts w:hint="cs"/>
          <w:rtl/>
        </w:rPr>
        <w:t>، شبکه کانولوشنی گراف (</w:t>
      </w:r>
      <w:r>
        <w:rPr>
          <w:rFonts w:ascii="Times New Roman" w:hAnsi="Times New Roman" w:cs="Times New Roman"/>
        </w:rPr>
        <w:t>GCN</w:t>
      </w:r>
      <w:r>
        <w:rPr>
          <w:rFonts w:hint="cs"/>
          <w:rtl/>
        </w:rPr>
        <w:t xml:space="preserve">) </w:t>
      </w:r>
      <w:r>
        <w:rPr>
          <w:rFonts w:ascii="Times New Roman" w:hAnsi="Times New Roman" w:cs="Times New Roman"/>
        </w:rPr>
        <w:t>[7]</w:t>
      </w:r>
      <w:r>
        <w:rPr>
          <w:rFonts w:hint="cs"/>
          <w:rtl/>
        </w:rPr>
        <w:t xml:space="preserve">، </w:t>
      </w:r>
      <w:r>
        <w:rPr>
          <w:rFonts w:ascii="Times New Roman" w:hAnsi="Times New Roman" w:cs="Times New Roman"/>
        </w:rPr>
        <w:t>GraphSAGE</w:t>
      </w:r>
      <w:r>
        <w:rPr>
          <w:rFonts w:hint="cs"/>
          <w:rtl/>
        </w:rPr>
        <w:t xml:space="preserve"> </w:t>
      </w:r>
      <w:r>
        <w:rPr>
          <w:rFonts w:ascii="Times New Roman" w:hAnsi="Times New Roman" w:cs="Times New Roman"/>
        </w:rPr>
        <w:t>[4]</w:t>
      </w:r>
      <w:r>
        <w:rPr>
          <w:rFonts w:hint="cs"/>
          <w:rtl/>
        </w:rPr>
        <w:t xml:space="preserve"> و شبکه توجه گراف (</w:t>
      </w:r>
      <w:r>
        <w:rPr>
          <w:rFonts w:ascii="Times New Roman" w:hAnsi="Times New Roman" w:cs="Times New Roman"/>
        </w:rPr>
        <w:t>GAT</w:t>
      </w:r>
      <w:r>
        <w:rPr>
          <w:rFonts w:hint="cs"/>
          <w:rtl/>
        </w:rPr>
        <w:t xml:space="preserve">) </w:t>
      </w:r>
      <w:r>
        <w:rPr>
          <w:rFonts w:ascii="Times New Roman" w:hAnsi="Times New Roman" w:cs="Times New Roman"/>
        </w:rPr>
        <w:t>[8]</w:t>
      </w:r>
      <w:r>
        <w:rPr>
          <w:rFonts w:hint="cs"/>
          <w:rtl/>
        </w:rPr>
        <w:t xml:space="preserve"> بازنمایی گره‌ها را از ساختار گراف می‌آموزند. خودرمزگذار گراف تغییرگون </w:t>
      </w:r>
      <w:r>
        <w:rPr>
          <w:rFonts w:ascii="Times New Roman" w:hAnsi="Times New Roman" w:cs="Times New Roman"/>
        </w:rPr>
        <w:t>[6]</w:t>
      </w:r>
      <w:r>
        <w:rPr>
          <w:rFonts w:hint="cs"/>
          <w:rtl/>
        </w:rPr>
        <w:t xml:space="preserve"> این ایده را به یادگیری بی‌نظارت گسترش داده است. این خانواده روش‌ها در شبکه‌های مالی بیشتر برای تشخیص ناهنجاری به کار رفته‌اند </w:t>
      </w:r>
      <w:r>
        <w:rPr>
          <w:rFonts w:ascii="Times New Roman" w:hAnsi="Times New Roman" w:cs="Times New Roman"/>
        </w:rPr>
        <w:t>[9]</w:t>
      </w:r>
      <w:r>
        <w:rPr>
          <w:rFonts w:hint="cs"/>
          <w:rtl/>
        </w:rPr>
        <w:t>. آنچه این مقاله اضافه می‌کند، کاربرد آن‌ها در کشف مشتری و ترجمه خروجی به پرسونا و شاخص‌های سازمانی است.</w:t>
      </w:r>
    </w:p>
    <w:p>
      <w:pPr>
        <w:pStyle w:val="Heading1"/>
      </w:pPr>
      <w:r>
        <w:rPr>
          <w:rFonts w:hint="cs"/>
          <w:rtl/>
        </w:rPr>
        <w:t>داده و صورت‌بندی مسئله</w:t>
      </w:r>
    </w:p>
    <w:p>
      <w:pPr>
        <w:pStyle w:val="Text1"/>
      </w:pPr>
      <w:r>
        <w:rPr>
          <w:rFonts w:hint="cs"/>
          <w:rtl/>
        </w:rPr>
        <w:t xml:space="preserve">دفتر کل تراکنش‌های پرداخت الکترونیک شامل دنباله‌ای از تراکنش‌های مالی به صورت </w:t>
      </w:r>
      <w:r>
        <w:rPr>
          <w:rFonts w:ascii="Times New Roman" w:hAnsi="Times New Roman" w:cs="Times New Roman"/>
        </w:rPr>
        <w:t>T</w:t>
      </w:r>
      <w:r>
        <w:rPr>
          <w:rFonts w:hint="cs"/>
          <w:rtl/>
        </w:rPr>
        <w:t xml:space="preserve"> = {</w:t>
      </w:r>
      <w:r>
        <w:rPr>
          <w:rFonts w:ascii="Times New Roman" w:hAnsi="Times New Roman" w:cs="Times New Roman"/>
        </w:rPr>
        <w:t>t_1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t_2</w:t>
      </w:r>
      <w:r>
        <w:rPr>
          <w:rFonts w:hint="cs"/>
          <w:rtl/>
        </w:rPr>
        <w:t xml:space="preserve">, ..., </w:t>
      </w:r>
      <w:r>
        <w:rPr>
          <w:rFonts w:ascii="Times New Roman" w:hAnsi="Times New Roman" w:cs="Times New Roman"/>
        </w:rPr>
        <w:t>t_M</w:t>
      </w:r>
      <w:r>
        <w:rPr>
          <w:rFonts w:hint="cs"/>
          <w:rtl/>
        </w:rPr>
        <w:t xml:space="preserve">} است که در آن هر تراکنش </w:t>
      </w:r>
      <w:r>
        <w:rPr>
          <w:rFonts w:ascii="Times New Roman" w:hAnsi="Times New Roman" w:cs="Times New Roman"/>
        </w:rPr>
        <w:t>t_m</w:t>
      </w:r>
      <w:r>
        <w:rPr>
          <w:rFonts w:hint="cs"/>
          <w:rtl/>
        </w:rPr>
        <w:t xml:space="preserve"> با پنج فیلد استاندارد مدل‌سازی می‌شود:</w:t>
      </w:r>
    </w:p>
    <w:p>
      <w:pPr>
        <w:pStyle w:val="BulletedText"/>
      </w:pPr>
      <w:r>
        <w:rPr>
          <w:rFonts w:ascii="Times New Roman" w:hAnsi="Times New Roman" w:cs="Times New Roman"/>
        </w:rPr>
        <w:t>pan</w:t>
      </w:r>
      <w:r>
        <w:rPr>
          <w:rFonts w:hint="cs"/>
          <w:rtl/>
        </w:rPr>
        <w:t>: شماره کارت بانکی پرداخت‌کننده به صورت توکن پوشانده‌شده (</w:t>
      </w:r>
      <w:r>
        <w:rPr>
          <w:rFonts w:ascii="Times New Roman" w:hAnsi="Times New Roman" w:cs="Times New Roman"/>
        </w:rPr>
        <w:t>Masked PAN</w:t>
      </w:r>
      <w:r>
        <w:rPr>
          <w:rFonts w:hint="cs"/>
          <w:rtl/>
        </w:rPr>
        <w:t>)؛</w:t>
      </w:r>
    </w:p>
    <w:p>
      <w:pPr>
        <w:pStyle w:val="BulletedText"/>
      </w:pPr>
      <w:r>
        <w:rPr>
          <w:rFonts w:ascii="Times New Roman" w:hAnsi="Times New Roman" w:cs="Times New Roman"/>
        </w:rPr>
        <w:t>amount</w:t>
      </w:r>
      <w:r>
        <w:rPr>
          <w:rFonts w:hint="cs"/>
          <w:rtl/>
        </w:rPr>
        <w:t>: ارزش مالی تراکنش بر حسب ریال؛</w:t>
      </w:r>
    </w:p>
    <w:p>
      <w:pPr>
        <w:pStyle w:val="BulletedText"/>
      </w:pPr>
      <w:r>
        <w:rPr>
          <w:rFonts w:ascii="Times New Roman" w:hAnsi="Times New Roman" w:cs="Times New Roman"/>
        </w:rPr>
        <w:t>merchant_id</w:t>
      </w:r>
      <w:r>
        <w:rPr>
          <w:rFonts w:hint="cs"/>
          <w:rtl/>
        </w:rPr>
        <w:t>: شناسه یکتای پایانه پذیرندگی یا درگاه اینترنتی فروشنده؛</w:t>
      </w:r>
    </w:p>
    <w:p>
      <w:pPr>
        <w:pStyle w:val="BulletedText"/>
      </w:pPr>
      <w:r>
        <w:rPr>
          <w:rFonts w:ascii="Times New Roman" w:hAnsi="Times New Roman" w:cs="Times New Roman"/>
        </w:rPr>
        <w:t>create_date</w:t>
      </w:r>
      <w:r>
        <w:rPr>
          <w:rFonts w:hint="cs"/>
          <w:rtl/>
        </w:rPr>
        <w:t>: مهر زمانی دقیق ثبت تراکنش در سوییچ پرداخت؛</w:t>
      </w:r>
    </w:p>
    <w:p>
      <w:pPr>
        <w:pStyle w:val="BulletedText"/>
      </w:pPr>
      <w:r>
        <w:rPr>
          <w:rFonts w:ascii="Times New Roman" w:hAnsi="Times New Roman" w:cs="Times New Roman"/>
        </w:rPr>
        <w:t>cast_name</w:t>
      </w:r>
      <w:r>
        <w:rPr>
          <w:rFonts w:hint="cs"/>
          <w:rtl/>
        </w:rPr>
        <w:t>: رسته فعالیت یا صنف اقتصادی پذیرنده (شامل طلافروشی، سوپرمارکت و خواروبار، آهن‌آلات و مصالح، آژانس مسافرتی، خدمات پزشکی و ...).</w:t>
      </w:r>
    </w:p>
    <w:p>
      <w:pPr>
        <w:pStyle w:val="Text"/>
      </w:pPr>
      <w:r>
        <w:rPr>
          <w:rFonts w:hint="cs"/>
          <w:rtl/>
        </w:rPr>
        <w:t xml:space="preserve">مسئله کشف مشتری عبارت است از نگاشت بی‌نظارت هر کارت </w:t>
      </w:r>
      <w:r>
        <w:rPr>
          <w:rFonts w:ascii="Times New Roman" w:hAnsi="Times New Roman" w:cs="Times New Roman"/>
        </w:rPr>
        <w:t>pan_u</w:t>
      </w:r>
      <w:r>
        <w:rPr>
          <w:rFonts w:hint="cs"/>
          <w:rtl/>
        </w:rPr>
        <w:t xml:space="preserve"> به یک بردار تعبیه پیوسته </w:t>
      </w:r>
      <w:r>
        <w:rPr>
          <w:rFonts w:ascii="Times New Roman" w:hAnsi="Times New Roman" w:cs="Times New Roman"/>
        </w:rPr>
        <w:t>z_u</w:t>
      </w:r>
      <w:r>
        <w:rPr>
          <w:rFonts w:hint="cs"/>
          <w:rtl/>
        </w:rPr>
        <w:t xml:space="preserve"> ∈ </w:t>
      </w:r>
      <w:r>
        <w:rPr>
          <w:rFonts w:ascii="Times New Roman" w:hAnsi="Times New Roman" w:cs="Times New Roman"/>
        </w:rPr>
        <w:t>R</w:t>
      </w:r>
      <w:r>
        <w:rPr>
          <w:rFonts w:hint="cs"/>
          <w:rtl/>
        </w:rPr>
        <w:t>^</w:t>
      </w:r>
      <w:r>
        <w:rPr>
          <w:rFonts w:ascii="Times New Roman" w:hAnsi="Times New Roman" w:cs="Times New Roman"/>
        </w:rPr>
        <w:t>d</w:t>
      </w:r>
      <w:r>
        <w:rPr>
          <w:rFonts w:hint="cs"/>
          <w:rtl/>
        </w:rPr>
        <w:t>، به‌گونه‌ای که فاصله هندسی در فضای بازنمایی، همبستگی رفتاری و قرابت الگوی مصرف کارت‌ها را در اصناف پذیرندگی بازتاب دهد.</w:t>
      </w:r>
    </w:p>
    <w:p>
      <w:pPr>
        <w:pStyle w:val="Heading2"/>
      </w:pPr>
      <w:r>
        <w:rPr>
          <w:rFonts w:hint="cs"/>
          <w:rtl/>
        </w:rPr>
        <w:t>داده آزمایش شبیه‌سازی‌شده</w:t>
      </w:r>
    </w:p>
    <w:p>
      <w:pPr>
        <w:pStyle w:val="Text1"/>
      </w:pPr>
      <w:r>
        <w:rPr>
          <w:rFonts w:hint="cs"/>
          <w:rtl/>
        </w:rPr>
        <w:t xml:space="preserve">به دلیل الزامات صیانت از محرمانگی داده‌های بانکی، یک موتور شبیه‌سازی چندعاملی با الگوهای تجاری شبکه شتاب طراحی گردید. مجموعه داده تولیدشده شامل </w:t>
      </w:r>
      <w:r>
        <w:rPr>
          <w:rFonts w:ascii="Times New Roman" w:hAnsi="Times New Roman" w:cs="Times New Roman"/>
        </w:rPr>
        <w:t>35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000</w:t>
      </w:r>
      <w:r>
        <w:rPr>
          <w:rFonts w:hint="cs"/>
          <w:rtl/>
        </w:rPr>
        <w:t xml:space="preserve"> رکورد تراکنش، 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480</w:t>
      </w:r>
      <w:r>
        <w:rPr>
          <w:rFonts w:hint="cs"/>
          <w:rtl/>
        </w:rPr>
        <w:t xml:space="preserve"> کارت پرداخت فعال، </w:t>
      </w:r>
      <w:r>
        <w:rPr>
          <w:rFonts w:ascii="Times New Roman" w:hAnsi="Times New Roman" w:cs="Times New Roman"/>
        </w:rPr>
        <w:t>350</w:t>
      </w:r>
      <w:r>
        <w:rPr>
          <w:rFonts w:hint="cs"/>
          <w:rtl/>
        </w:rPr>
        <w:t xml:space="preserve"> پایانه پذیرندگی و </w:t>
      </w:r>
      <w:r>
        <w:rPr>
          <w:rFonts w:ascii="Times New Roman" w:hAnsi="Times New Roman" w:cs="Times New Roman"/>
        </w:rPr>
        <w:t>8</w:t>
      </w:r>
      <w:r>
        <w:rPr>
          <w:rFonts w:hint="cs"/>
          <w:rtl/>
        </w:rPr>
        <w:t xml:space="preserve"> صنف اقتصادی در یک بازه زمانی ۹۰ روزه است. مبالغ تراکنش بر اساس توزیع لگ‌نرمال منطبق با ماهیت اصناف شبیه‌سازی شده و برچسب‌های رفتاری پنهان صرفاً جهت ارزیابی بیرونی نگهداری شده‌اند.</w:t>
      </w:r>
    </w:p>
    <w:p>
      <w:pPr>
        <w:pStyle w:val="Heading1"/>
      </w:pPr>
      <w:r>
        <w:rPr>
          <w:rFonts w:hint="cs"/>
          <w:rtl/>
        </w:rPr>
        <w:t>چارچوب معماری پیشنهادی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>)</w:t>
      </w:r>
    </w:p>
    <w:p>
      <w:pPr>
        <w:pStyle w:val="Text1"/>
      </w:pPr>
      <w:r>
        <w:rPr>
          <w:rFonts w:hint="cs"/>
          <w:rtl/>
        </w:rPr>
        <w:t>چارچوب معماری پیشنهادی از چهار لایه پیوسته و مستقل عملیاتی تشکیل گردیده است (شکل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)):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3392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_f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339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 xml:space="preserve">) : معماری چهارلایه چارچوب پیشنهادی </w:t>
      </w:r>
      <w:r>
        <w:rPr>
          <w:rFonts w:ascii="Times New Roman" w:hAnsi="Times New Roman" w:cs="Times New Roman"/>
        </w:rPr>
        <w:t>HG-CAN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: دریافت و مهندسی ویژگی‌های رفتاری</w:t>
      </w:r>
    </w:p>
    <w:p>
      <w:pPr>
        <w:pStyle w:val="Text1"/>
      </w:pPr>
      <w:r>
        <w:rPr>
          <w:rFonts w:hint="cs"/>
          <w:rtl/>
        </w:rPr>
        <w:t xml:space="preserve">در این لایه، تراکنش‌ها پس از اعمال پوشش امنیتی روی کارت‌ها، تجمیع شده و یک بردار ویژگی ۱۶بعدی برای هر کارت 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 استخراج می‌گردد. این ویژگی‌ها شامل هشت آماره مالی و زمانی (مجموع مبالغ، میانگین، انحراف معیار، لگاریتم تعداد، تازگی، ضریب چولگی، شاخص تمرکز صنف و آنتروپی شانون اصناف) به همراه هشت مؤلفه نسبت توزیع تراکنش در هر یک از هشت صنف اقتصادی است.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: نگاشت ابرگراف و محاسبه انحنای فرمن-ریچی</w:t>
      </w:r>
    </w:p>
    <w:p>
      <w:pPr>
        <w:pStyle w:val="Text1"/>
      </w:pPr>
      <w:r>
        <w:rPr>
          <w:rFonts w:hint="cs"/>
          <w:rtl/>
        </w:rPr>
        <w:t xml:space="preserve">تعاملات کارت‌ها و پایانه‌های پذیرندگی در قالب یک ابرگراف دوبخشی </w:t>
      </w:r>
      <w:r>
        <w:rPr>
          <w:rFonts w:ascii="Times New Roman" w:hAnsi="Times New Roman" w:cs="Times New Roman"/>
        </w:rPr>
        <w:t>H</w:t>
      </w:r>
      <w:r>
        <w:rPr>
          <w:rFonts w:hint="cs"/>
          <w:rtl/>
        </w:rPr>
        <w:t xml:space="preserve"> = (</w:t>
      </w:r>
      <w:r>
        <w:rPr>
          <w:rFonts w:ascii="Times New Roman" w:hAnsi="Times New Roman" w:cs="Times New Roman"/>
        </w:rPr>
        <w:t>V_card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V_merch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E</w:t>
      </w:r>
      <w:r>
        <w:rPr>
          <w:rFonts w:hint="cs"/>
          <w:rtl/>
        </w:rPr>
        <w:t xml:space="preserve">) تعریف می‌شود. با اعمال تصویرسازی وزن‌دار کسینوسی بر روی ماتریس پروفایل اصناف، شبکه کارت-کارت با ماتریس مجاورت </w:t>
      </w:r>
      <w:r>
        <w:rPr>
          <w:rFonts w:ascii="Times New Roman" w:hAnsi="Times New Roman" w:cs="Times New Roman"/>
        </w:rPr>
        <w:t>A</w:t>
      </w:r>
      <w:r>
        <w:rPr>
          <w:rFonts w:hint="cs"/>
          <w:rtl/>
        </w:rPr>
        <w:t xml:space="preserve"> تشکیل می‌شود. سپس برای هر یال </w:t>
      </w:r>
      <w:r>
        <w:rPr>
          <w:rFonts w:ascii="Times New Roman" w:hAnsi="Times New Roman" w:cs="Times New Roman"/>
        </w:rPr>
        <w:t>e</w:t>
      </w:r>
      <w:r>
        <w:rPr>
          <w:rFonts w:hint="cs"/>
          <w:rtl/>
        </w:rPr>
        <w:t xml:space="preserve"> = 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 xml:space="preserve">)، انحنای گسسته فرمن-ریچی </w:t>
      </w:r>
      <w:r>
        <w:rPr>
          <w:rFonts w:ascii="Times New Roman" w:hAnsi="Times New Roman" w:cs="Times New Roman"/>
        </w:rPr>
        <w:t>F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از رابطه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محاسبه می‌گردد: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(1)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iCs/>
                <w:i/>
                <w:sz w:val="20"/>
              </w:rPr>
              <w:t>F</w:t>
            </w:r>
            <w:r>
              <w:rPr>
                <w:rFonts w:ascii="Times New Roman" w:hAnsi="Times New Roman" w:cs="Times New Roman"/>
                <w:sz w:val="20"/>
              </w:rPr>
              <w:t>(u, v) = [ 4 – d(u) – d(v) + 3 · Δ(u, v) ] / √[ d(u) · d(v) ]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d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) درجه گره 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Δ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تعداد مثلث‌های مشترک تشکیل‌شده روی یال 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 xml:space="preserve">, 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>) است. انحنای منفی بیانگر یال‌های پل‌ساز میان جوامع و انحنای مثبت نشانگر ساختارهای متراکم درون‌خوشه‌ای است.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: خودرمزگذار توجه‌محور هندسی (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>)</w:t>
      </w:r>
    </w:p>
    <w:p>
      <w:pPr>
        <w:pStyle w:val="Text1"/>
      </w:pPr>
      <w:r>
        <w:rPr>
          <w:rFonts w:hint="cs"/>
          <w:rtl/>
        </w:rPr>
        <w:t xml:space="preserve">رمزگذار شبکه از لایه‌های توجه گراف مجهز به تنظیم انحنا تشکیل شده است. در سر </w:t>
      </w:r>
      <w:r>
        <w:rPr>
          <w:rFonts w:ascii="Times New Roman" w:hAnsi="Times New Roman" w:cs="Times New Roman"/>
        </w:rPr>
        <w:t>k</w:t>
      </w:r>
      <w:r>
        <w:rPr>
          <w:rFonts w:hint="cs"/>
          <w:rtl/>
        </w:rPr>
        <w:t>ام توجه، ضریب اهمیت یال از رابطه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به دست می‌آید: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(2)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sz w:val="20"/>
              </w:rPr>
              <w:t>α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uv</w:t>
            </w:r>
            <w:r>
              <w:rPr>
                <w:rFonts w:ascii="Times New Roman" w:hAnsi="Times New Roman" w:cs="Times New Roman"/>
                <w:sz w:val="20"/>
              </w:rPr>
              <w:t>^(k) = softmax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hAnsi="Times New Roman" w:cs="Times New Roman"/>
                <w:sz w:val="20"/>
              </w:rPr>
              <w:t>( LeakyReLU( a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>^T [W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h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</w:t>
            </w:r>
            <w:r>
              <w:rPr>
                <w:rFonts w:ascii="Times New Roman" w:hAnsi="Times New Roman" w:cs="Times New Roman"/>
                <w:sz w:val="20"/>
              </w:rPr>
              <w:t xml:space="preserve"> ‖ 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h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hAnsi="Times New Roman" w:cs="Times New Roman"/>
                <w:sz w:val="20"/>
              </w:rPr>
              <w:t>] + γ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· tanh(F(u, v)) + β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hAnsi="Times New Roman" w:cs="Times New Roman"/>
                <w:sz w:val="20"/>
              </w:rPr>
              <w:t xml:space="preserve"> · ln(1 + w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uv</w:t>
            </w:r>
            <w:r>
              <w:rPr>
                <w:rFonts w:ascii="Times New Roman" w:hAnsi="Times New Roman" w:cs="Times New Roman"/>
                <w:sz w:val="20"/>
              </w:rPr>
              <w:t>) ) )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W_k</w:t>
      </w:r>
      <w:r>
        <w:rPr>
          <w:rFonts w:hint="cs"/>
          <w:rtl/>
        </w:rPr>
        <w:t xml:space="preserve"> ماتریس نگاشت، </w:t>
      </w:r>
      <w:r>
        <w:rPr>
          <w:rFonts w:ascii="Times New Roman" w:hAnsi="Times New Roman" w:cs="Times New Roman"/>
        </w:rPr>
        <w:t>a_k</w:t>
      </w:r>
      <w:r>
        <w:rPr>
          <w:rFonts w:hint="cs"/>
          <w:rtl/>
        </w:rPr>
        <w:t xml:space="preserve"> بردار توجه، </w:t>
      </w:r>
      <w:r>
        <w:rPr>
          <w:rFonts w:ascii="Times New Roman" w:hAnsi="Times New Roman" w:cs="Times New Roman"/>
        </w:rPr>
        <w:t>F</w:t>
      </w:r>
      <w:r>
        <w:rPr>
          <w:rFonts w:hint="cs"/>
          <w:rtl/>
        </w:rPr>
        <w:t>(</w:t>
      </w:r>
      <w:r>
        <w:rPr>
          <w:rFonts w:ascii="Times New Roman" w:hAnsi="Times New Roman" w:cs="Times New Roman"/>
        </w:rPr>
        <w:t>u</w:t>
      </w:r>
      <w:r>
        <w:rPr>
          <w:rFonts w:hint="cs"/>
          <w:rtl/>
        </w:rPr>
        <w:t>,</w:t>
      </w:r>
      <w:r>
        <w:rPr>
          <w:rFonts w:ascii="Times New Roman" w:hAnsi="Times New Roman" w:cs="Times New Roman"/>
        </w:rPr>
        <w:t>v</w:t>
      </w:r>
      <w:r>
        <w:rPr>
          <w:rFonts w:hint="cs"/>
          <w:rtl/>
        </w:rPr>
        <w:t xml:space="preserve">) انحنای فرمن-ریچی، </w:t>
      </w:r>
      <w:r>
        <w:rPr>
          <w:rFonts w:ascii="Times New Roman" w:hAnsi="Times New Roman" w:cs="Times New Roman"/>
        </w:rPr>
        <w:t>w_uv</w:t>
      </w:r>
      <w:r>
        <w:rPr>
          <w:rFonts w:hint="cs"/>
          <w:rtl/>
        </w:rPr>
        <w:t xml:space="preserve"> شباهت کسینوسی اصناف، و </w:t>
      </w:r>
      <w:r>
        <w:rPr>
          <w:rFonts w:ascii="Times New Roman" w:hAnsi="Times New Roman" w:cs="Times New Roman"/>
        </w:rPr>
        <w:t>γ_k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β_k</w:t>
      </w:r>
      <w:r>
        <w:rPr>
          <w:rFonts w:hint="cs"/>
          <w:rtl/>
        </w:rPr>
        <w:t xml:space="preserve"> پارامترهای یادگرفتنی تنظیم هندسی هستند. آموزش شبکه با تابع زیان سه‌گانه خودنظارتی (رابطه (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)) به صورت انتها-به-انتها انجام می‌پذیرد: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</w:tblPr>
      <w:tblGrid>
        <w:gridCol w:w="550"/>
        <w:gridCol w:w="4100"/>
      </w:tblGrid>
      <w:tr>
        <w:tc>
          <w:tcPr>
            <w:tcW w:w="5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sz w:val="20"/>
              </w:rPr>
              <w:t>(3)</w:t>
            </w:r>
          </w:p>
        </w:tc>
        <w:tc>
          <w:tcPr>
            <w:tcW w:w="4100" w:type="dxa"/>
          </w:tcPr>
          <w:p>
            <w:pPr>
              <w:pStyle w:val="FigureText"/>
              <w:bidi w:val="0"/>
            </w:pPr>
            <w:r>
              <w:rPr>
                <w:rFonts w:ascii="Times New Roman" w:hAnsi="Times New Roman" w:cs="Times New Roman"/>
                <w:iCs/>
                <w:i/>
                <w:sz w:val="20"/>
              </w:rPr>
              <w:t>L</w:t>
            </w:r>
            <w:r>
              <w:rPr>
                <w:rFonts w:ascii="Times New Roman" w:hAnsi="Times New Roman" w:cs="Times New Roman"/>
                <w:sz w:val="20"/>
              </w:rPr>
              <w:t xml:space="preserve"> =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link</w:t>
            </w:r>
            <w:r>
              <w:rPr>
                <w:rFonts w:ascii="Times New Roman" w:hAnsi="Times New Roman" w:cs="Times New Roman"/>
                <w:sz w:val="20"/>
              </w:rPr>
              <w:t xml:space="preserve"> + λ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0"/>
              </w:rPr>
              <w:t xml:space="preserve"> ·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attr</w:t>
            </w:r>
            <w:r>
              <w:rPr>
                <w:rFonts w:ascii="Times New Roman" w:hAnsi="Times New Roman" w:cs="Times New Roman"/>
                <w:sz w:val="20"/>
              </w:rPr>
              <w:t xml:space="preserve"> + λ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2</w:t>
            </w:r>
            <w:r>
              <w:rPr>
                <w:rFonts w:ascii="Times New Roman" w:hAnsi="Times New Roman" w:cs="Times New Roman"/>
                <w:sz w:val="20"/>
              </w:rPr>
              <w:t xml:space="preserve"> · L</w:t>
            </w:r>
            <w:r>
              <w:rPr>
                <w:rFonts w:ascii="Times New Roman" w:hAnsi="Times New Roman" w:cs="Times New Roman"/>
                <w:sz w:val="20"/>
                <w:vertAlign w:val="subscript"/>
              </w:rPr>
              <w:t>curv</w:t>
            </w:r>
          </w:p>
        </w:tc>
      </w:tr>
    </w:tbl>
    <w:p>
      <w:pPr>
        <w:pStyle w:val="Text"/>
      </w:pPr>
      <w:r>
        <w:rPr>
          <w:rFonts w:hint="cs"/>
          <w:rtl/>
        </w:rPr>
        <w:t xml:space="preserve">که در آن </w:t>
      </w:r>
      <w:r>
        <w:rPr>
          <w:rFonts w:ascii="Times New Roman" w:hAnsi="Times New Roman" w:cs="Times New Roman"/>
        </w:rPr>
        <w:t>L_link</w:t>
      </w:r>
      <w:r>
        <w:rPr>
          <w:rFonts w:hint="cs"/>
          <w:rtl/>
        </w:rPr>
        <w:t xml:space="preserve"> خطای بازسازی پیوندهای شبکه، </w:t>
      </w:r>
      <w:r>
        <w:rPr>
          <w:rFonts w:ascii="Times New Roman" w:hAnsi="Times New Roman" w:cs="Times New Roman"/>
        </w:rPr>
        <w:t>L_attr</w:t>
      </w:r>
      <w:r>
        <w:rPr>
          <w:rFonts w:hint="cs"/>
          <w:rtl/>
        </w:rPr>
        <w:t xml:space="preserve"> خطای بازسازی مشخصه‌های رفتاری و </w:t>
      </w:r>
      <w:r>
        <w:rPr>
          <w:rFonts w:ascii="Times New Roman" w:hAnsi="Times New Roman" w:cs="Times New Roman"/>
        </w:rPr>
        <w:t>L_curv</w:t>
      </w:r>
      <w:r>
        <w:rPr>
          <w:rFonts w:hint="cs"/>
          <w:rtl/>
        </w:rPr>
        <w:t xml:space="preserve"> خطای پیش‌بینی انحنای موضعی یال‌هاست.</w:t>
      </w:r>
    </w:p>
    <w:p>
      <w:pPr>
        <w:pStyle w:val="Heading2"/>
      </w:pPr>
      <w:r>
        <w:rPr>
          <w:rFonts w:hint="cs"/>
          <w:rtl/>
        </w:rPr>
        <w:t xml:space="preserve">لایه 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>: موتور استخراج پرسونای سازمانی</w:t>
      </w:r>
    </w:p>
    <w:p>
      <w:pPr>
        <w:pStyle w:val="Text1"/>
      </w:pPr>
      <w:r>
        <w:rPr>
          <w:rFonts w:hint="cs"/>
          <w:rtl/>
        </w:rPr>
        <w:t xml:space="preserve">بردارهای تعبیه ۳۲بعدی </w:t>
      </w:r>
      <w:r>
        <w:rPr>
          <w:rFonts w:ascii="Times New Roman" w:hAnsi="Times New Roman" w:cs="Times New Roman"/>
        </w:rPr>
        <w:t>z_u</w:t>
      </w:r>
      <w:r>
        <w:rPr>
          <w:rFonts w:hint="cs"/>
          <w:rtl/>
        </w:rPr>
        <w:t xml:space="preserve"> با خوشه‌بندی تفکیک شده و هم‌زمان شاخص‌های تمول بانکی (</w:t>
      </w:r>
      <w:r>
        <w:rPr>
          <w:rFonts w:ascii="Times New Roman" w:hAnsi="Times New Roman" w:cs="Times New Roman"/>
        </w:rPr>
        <w:t>Affluence Centrality</w:t>
      </w:r>
      <w:r>
        <w:rPr>
          <w:rFonts w:hint="cs"/>
          <w:rtl/>
        </w:rPr>
        <w:t>)، آنتروپی شانون تنوع سبد خرید و ضریب چسبندگی شبکه (</w:t>
      </w:r>
      <w:r>
        <w:rPr>
          <w:rFonts w:ascii="Times New Roman" w:hAnsi="Times New Roman" w:cs="Times New Roman"/>
        </w:rPr>
        <w:t>Network Stickiness</w:t>
      </w:r>
      <w:r>
        <w:rPr>
          <w:rFonts w:hint="cs"/>
          <w:rtl/>
        </w:rPr>
        <w:t>) جهت تصمیم‌گیری استراتژیک سازمانی استخراج می‌گردند.</w:t>
      </w:r>
    </w:p>
    <w:p>
      <w:pPr>
        <w:pStyle w:val="Heading1"/>
      </w:pPr>
      <w:r>
        <w:rPr>
          <w:rFonts w:hint="cs"/>
          <w:rtl/>
        </w:rPr>
        <w:t>ارزیابی تجربی و نتایج</w:t>
      </w:r>
    </w:p>
    <w:p>
      <w:pPr>
        <w:pStyle w:val="Heading2"/>
      </w:pPr>
      <w:r>
        <w:rPr>
          <w:rFonts w:hint="cs"/>
          <w:rtl/>
        </w:rPr>
        <w:t>مقایسه با روش‌های خط‌مبنا</w:t>
      </w:r>
    </w:p>
    <w:p>
      <w:pPr>
        <w:pStyle w:val="Text1"/>
      </w:pPr>
      <w:r>
        <w:rPr>
          <w:rFonts w:hint="cs"/>
          <w:rtl/>
        </w:rPr>
        <w:t xml:space="preserve">عملکرد روش پیشنهادی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با مدل متداول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و تجزیه ماتریسی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مقایسه گردید. نتایج در 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خلاصه شده است.</w:t>
      </w:r>
    </w:p>
    <w:p>
      <w:pPr>
        <w:pStyle w:val="FigureCaption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>) : مقایسه نتایج خوشه‌بندی روش‌ها بر روی داده‌های شبیه‌سازی‌شده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  <w:tblBorders>
          <w:top w:val="single" w:sz="8" w:space="0" w:color="000000"/>
          <w:bottom w:val="single" w:sz="8" w:space="0" w:color="000000"/>
          <w:insideH w:val="single" w:sz="4" w:space="0" w:color="808080"/>
        </w:tblBorders>
      </w:tblPr>
      <w:tblGrid>
        <w:gridCol w:w="1800"/>
        <w:gridCol w:w="650"/>
        <w:gridCol w:w="650"/>
        <w:gridCol w:w="750"/>
        <w:gridCol w:w="800"/>
      </w:tblGrid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روش / معماری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NMI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ARI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Silhouette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Davies-Bouldin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Classical Tabular RFM</w:t>
            </w:r>
            <w:r>
              <w:rPr>
                <w:rFonts w:hint="cs"/>
                <w:rtl/>
              </w:rPr>
              <w:t xml:space="preserve"> + </w:t>
            </w:r>
            <w:r>
              <w:rPr>
                <w:rFonts w:ascii="Times New Roman" w:hAnsi="Times New Roman" w:cs="Times New Roman"/>
              </w:rPr>
              <w:t>K-Means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0.175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0.048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0.410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0.824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Bipartite Matrix Factorization</w:t>
            </w:r>
            <w:r>
              <w:rPr>
                <w:rFonts w:hint="cs"/>
                <w:rtl/>
              </w:rPr>
              <w:t xml:space="preserve"> (</w:t>
            </w:r>
            <w:r>
              <w:rPr>
                <w:rFonts w:ascii="Times New Roman" w:hAnsi="Times New Roman" w:cs="Times New Roman"/>
              </w:rPr>
              <w:t>SVD</w:t>
            </w:r>
            <w:r>
              <w:rPr>
                <w:rFonts w:hint="cs"/>
                <w:rtl/>
              </w:rPr>
              <w:t>)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0.867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0.885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0.286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1.332</w:t>
            </w:r>
          </w:p>
        </w:tc>
      </w:tr>
      <w:tr>
        <w:tc>
          <w:tcPr>
            <w:tcW w:w="1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Proposed HG-CAN</w:t>
            </w:r>
            <w:r>
              <w:rPr>
                <w:rFonts w:hint="cs"/>
                <w:bCs/>
                <w:b/>
                <w:rtl/>
              </w:rPr>
              <w:t xml:space="preserve"> (روش پیشنهادی)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0.867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0.885</w:t>
            </w:r>
          </w:p>
        </w:tc>
        <w:tc>
          <w:tcPr>
            <w:tcW w:w="7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0.192</w:t>
            </w:r>
          </w:p>
        </w:tc>
        <w:tc>
          <w:tcPr>
            <w:tcW w:w="8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  <w:bCs/>
                <w:b/>
              </w:rPr>
              <w:t>1.906</w:t>
            </w:r>
          </w:p>
        </w:tc>
      </w:tr>
    </w:tbl>
    <w:p>
      <w:pPr>
        <w:pStyle w:val="Text1"/>
      </w:pPr>
      <w:r>
        <w:rPr>
          <w:rFonts w:hint="cs"/>
          <w:rtl/>
        </w:rPr>
        <w:t>تحلیل داده‌های جدول (</w:t>
      </w:r>
      <w:r>
        <w:rPr>
          <w:rFonts w:ascii="Times New Roman" w:hAnsi="Times New Roman" w:cs="Times New Roman"/>
        </w:rPr>
        <w:t>1</w:t>
      </w:r>
      <w:r>
        <w:rPr>
          <w:rFonts w:hint="cs"/>
          <w:rtl/>
        </w:rPr>
        <w:t xml:space="preserve">) نشان می‌دهد که روش سنتی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به دلیل فقدان اطلاعات رابطه‌ای اصناف، به شاخص‌های نازل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= </w:t>
      </w:r>
      <w:r>
        <w:rPr>
          <w:rFonts w:ascii="Times New Roman" w:hAnsi="Times New Roman" w:cs="Times New Roman"/>
        </w:rPr>
        <w:t>0.175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= </w:t>
      </w:r>
      <w:r>
        <w:rPr>
          <w:rFonts w:ascii="Times New Roman" w:hAnsi="Times New Roman" w:cs="Times New Roman"/>
        </w:rPr>
        <w:t>0.048</w:t>
      </w:r>
      <w:r>
        <w:rPr>
          <w:rFonts w:hint="cs"/>
          <w:rtl/>
        </w:rPr>
        <w:t xml:space="preserve"> دست یافته است؛ روش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نسبت به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بهبود چشمگیری را ثبت می‌کند. با این حال، مقایسه روش پیشنهادی با خط‌مبنای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نشان می‌دهد که هر دو روش در شاخص‌های 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عملکردی بسیار نزدیک به هم دارند (</w:t>
      </w:r>
      <w:r>
        <w:rPr>
          <w:rFonts w:ascii="Times New Roman" w:hAnsi="Times New Roman" w:cs="Times New Roman"/>
        </w:rPr>
        <w:t>NMI</w:t>
      </w:r>
      <w:r>
        <w:rPr>
          <w:rFonts w:hint="cs"/>
          <w:rtl/>
        </w:rPr>
        <w:t xml:space="preserve"> حدود ۰.۸۶۷ و </w:t>
      </w:r>
      <w:r>
        <w:rPr>
          <w:rFonts w:ascii="Times New Roman" w:hAnsi="Times New Roman" w:cs="Times New Roman"/>
        </w:rPr>
        <w:t>ARI</w:t>
      </w:r>
      <w:r>
        <w:rPr>
          <w:rFonts w:hint="cs"/>
          <w:rtl/>
        </w:rPr>
        <w:t xml:space="preserve"> حدود ۰.۸۸۵). این تشابه نشان می‌دهد که بخش عمده‌ای از تفکیک‌پذیری در این مجموعه داده ناشی از اطلاعات موجود در ماتریس تعاملات دوبخشی کارت-صنف است. مزیت روش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در انعطاف‌پذیری آن برای گنجاندن هم‌زمان ویژگی‌های آماری غیرخطی گره‌ها (مانند آنتروپی شانون و چولگی مبالغ) و تحلیل ساختار شبکه‌ای نهفته است، هرچند که شاخص‌های </w:t>
      </w:r>
      <w:r>
        <w:rPr>
          <w:rFonts w:ascii="Times New Roman" w:hAnsi="Times New Roman" w:cs="Times New Roman"/>
        </w:rPr>
        <w:t>Silhouette</w:t>
      </w:r>
      <w:r>
        <w:rPr>
          <w:rFonts w:hint="cs"/>
          <w:rtl/>
        </w:rPr>
        <w:t xml:space="preserve"> و </w:t>
      </w:r>
      <w:r>
        <w:rPr>
          <w:rFonts w:ascii="Times New Roman" w:hAnsi="Times New Roman" w:cs="Times New Roman"/>
        </w:rPr>
        <w:t>Davies-Bouldin</w:t>
      </w:r>
      <w:r>
        <w:rPr>
          <w:rFonts w:hint="cs"/>
          <w:rtl/>
        </w:rPr>
        <w:t xml:space="preserve"> برای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فشردگی هندسی بیشتری را نشان می‌دهند (شکل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)).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22049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benchmark_f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2204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: نمودار مقایسه معیارهای ارزیابی خوشه‌بندی</w:t>
      </w:r>
    </w:p>
    <w:p>
      <w:pPr>
        <w:pStyle w:val="Heading2"/>
      </w:pPr>
      <w:r>
        <w:rPr>
          <w:rFonts w:hint="cs"/>
          <w:rtl/>
        </w:rPr>
        <w:t>ویژگی‌های خوشه‌های کشف‌شده</w:t>
      </w:r>
    </w:p>
    <w:p>
      <w:pPr>
        <w:pStyle w:val="Text1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>) مشخصات پنج خوشه استخراج‌شده را با صنف غالب و میانگین مبلغ تراکنش گزارش می‌کند.</w:t>
      </w:r>
    </w:p>
    <w:p>
      <w:pPr>
        <w:pStyle w:val="FigureCaption"/>
      </w:pPr>
      <w:r>
        <w:rPr>
          <w:rFonts w:hint="cs"/>
          <w:rtl/>
        </w:rPr>
        <w:t>جدول (</w:t>
      </w:r>
      <w:r>
        <w:rPr>
          <w:rFonts w:ascii="Times New Roman" w:hAnsi="Times New Roman" w:cs="Times New Roman"/>
        </w:rPr>
        <w:t>2</w:t>
      </w:r>
      <w:r>
        <w:rPr>
          <w:rFonts w:hint="cs"/>
          <w:rtl/>
        </w:rPr>
        <w:t xml:space="preserve">) : مشخصات خوشه‌های رفتاری استخراج‌شده توسط چارچوب </w:t>
      </w:r>
      <w:r>
        <w:rPr>
          <w:rFonts w:ascii="Times New Roman" w:hAnsi="Times New Roman" w:cs="Times New Roman"/>
        </w:rPr>
        <w:t>HG-CAN</w:t>
      </w:r>
    </w:p>
    <w:tbl>
      <w:tblPr>
        <w:tblLook w:firstColumn="1" w:firstRow="1" w:lastColumn="0" w:lastRow="0" w:noHBand="0" w:noVBand="1" w:val="04A0"/>
        <w:bidiVisual/>
        <w:tblW w:w="4650" w:type="dxa"/>
        <w:tblLayout w:type="fixed"/>
        <w:tblBorders>
          <w:top w:val="single" w:sz="8" w:space="0" w:color="000000"/>
          <w:bottom w:val="single" w:sz="8" w:space="0" w:color="000000"/>
          <w:insideH w:val="single" w:sz="4" w:space="0" w:color="808080"/>
        </w:tblBorders>
      </w:tblPr>
      <w:tblGrid>
        <w:gridCol w:w="400"/>
        <w:gridCol w:w="1500"/>
        <w:gridCol w:w="650"/>
        <w:gridCol w:w="850"/>
        <w:gridCol w:w="1250"/>
      </w:tblGrid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کد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عنوان پرسونا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تعداد کارت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میانگین مبلغ (ریال)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bCs/>
                <w:b/>
                <w:rtl/>
              </w:rPr>
              <w:t>صنف غالب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تجار و عمده‌فروشان آهن و مصالح صنعتی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289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36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829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280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آهن‌آلات و مصالح صنعتی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مایحتاج روزمره و مصرف خانوار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295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804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442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سوپرمارکت و خواروبار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سرمایه‌گذاران طلا و کالای لوکس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17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385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031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طلافروشی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مسافران و گردشگران پریمیوم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299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10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432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221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آژانس مسافرتی و گردشگری</w:t>
            </w:r>
          </w:p>
        </w:tc>
      </w:tr>
      <w:tr>
        <w:tc>
          <w:tcPr>
            <w:tcW w:w="40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50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مصرف‌کنندگان خدمات پزشکی و سلامت</w:t>
            </w:r>
          </w:p>
        </w:tc>
        <w:tc>
          <w:tcPr>
            <w:tcW w:w="6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298</w:t>
            </w:r>
          </w:p>
        </w:tc>
        <w:tc>
          <w:tcPr>
            <w:tcW w:w="850" w:type="dxa"/>
          </w:tcPr>
          <w:p>
            <w:pPr>
              <w:pStyle w:val="FigureText"/>
            </w:pPr>
            <w:r>
              <w:rPr>
                <w:rFonts w:ascii="Times New Roman" w:hAnsi="Times New Roman" w:cs="Times New Roman"/>
              </w:rPr>
              <w:t>4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051</w:t>
            </w:r>
            <w:r>
              <w:rPr>
                <w:rFonts w:hint="cs"/>
                <w:rtl/>
              </w:rPr>
              <w:t>,</w:t>
            </w:r>
            <w:r>
              <w:rPr>
                <w:rFonts w:ascii="Times New Roman" w:hAnsi="Times New Roman" w:cs="Times New Roman"/>
              </w:rPr>
              <w:t>956</w:t>
            </w:r>
          </w:p>
        </w:tc>
        <w:tc>
          <w:tcPr>
            <w:tcW w:w="1250" w:type="dxa"/>
          </w:tcPr>
          <w:p>
            <w:pPr>
              <w:pStyle w:val="FigureText"/>
            </w:pPr>
            <w:r>
              <w:rPr>
                <w:rFonts w:hint="cs"/>
                <w:rtl/>
              </w:rPr>
              <w:t>خدمات پزشکی و داروخانه</w:t>
            </w:r>
          </w:p>
        </w:tc>
      </w:tr>
    </w:tbl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664000" cy="2425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opology_f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242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3</w:t>
      </w:r>
      <w:r>
        <w:rPr>
          <w:rFonts w:hint="cs"/>
          <w:rtl/>
        </w:rPr>
        <w:t>) : گراف هم‌رخدادی و بازنمایی دوبعدی کارت‌های بانکی با تفکیک پرسونا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736000" cy="23802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guild_heatmap_f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2380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4</w:t>
      </w:r>
      <w:r>
        <w:rPr>
          <w:rFonts w:hint="cs"/>
          <w:rtl/>
        </w:rPr>
        <w:t>) : نقشه حرارتی توزیع تراکنش‌های هر پرسونا در اصناف تجاری (درصد)</w:t>
      </w:r>
    </w:p>
    <w:p>
      <w:pPr>
        <w:pStyle w:val="Text1"/>
      </w:pPr>
      <w:r>
        <w:rPr>
          <w:rFonts w:hint="cs"/>
          <w:rtl/>
        </w:rPr>
        <w:t>بررسی خوشه‌ها نشان می‌دهد که خوشه تجار آهن و مصالح با میانگین تراکنش ۳۶.۸ میلیون ریال بیشترین ارزش ریالی را دارد و خوشه طلا با میانگین ۱۷.۴ میلیون ریال در رتبه بعدی قرار دارد. خوشه‌های گردشگری، خدمات سلامت و خواروبار نیز بر اساس مبالغ و بسامد خرید تفکیک شده‌اند. شکل (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>) تفاوت ابعاد رفتاری این خوشه‌ها را در نمودار راداری مصورسازی می‌نماید.</w:t>
      </w:r>
    </w:p>
    <w:p>
      <w:pPr>
        <w:pStyle w:val="FigureText"/>
        <w:keepNext/>
      </w:pPr>
      <w:r>
        <w:drawing>
          <wp:inline xmlns:a="http://schemas.openxmlformats.org/drawingml/2006/main" xmlns:pic="http://schemas.openxmlformats.org/drawingml/2006/picture">
            <wp:extent cx="2592000" cy="27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adar_f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rFonts w:hint="cs"/>
          <w:rtl/>
        </w:rPr>
        <w:t>شکل (</w:t>
      </w:r>
      <w:r>
        <w:rPr>
          <w:rFonts w:ascii="Times New Roman" w:hAnsi="Times New Roman" w:cs="Times New Roman"/>
        </w:rPr>
        <w:t>5</w:t>
      </w:r>
      <w:r>
        <w:rPr>
          <w:rFonts w:hint="cs"/>
          <w:rtl/>
        </w:rPr>
        <w:t>) : پروفایل ویژگی‌های چندگانه پرسوناهای سازمانی کشف‌شده</w:t>
      </w:r>
    </w:p>
    <w:p>
      <w:pPr>
        <w:pStyle w:val="Heading1"/>
      </w:pPr>
      <w:r>
        <w:rPr>
          <w:rFonts w:hint="cs"/>
          <w:rtl/>
        </w:rPr>
        <w:t>نتیجه‌گیری</w:t>
      </w:r>
    </w:p>
    <w:p>
      <w:pPr>
        <w:pStyle w:val="Text1"/>
      </w:pPr>
      <w:r>
        <w:rPr>
          <w:rFonts w:hint="cs"/>
          <w:rtl/>
        </w:rPr>
        <w:t xml:space="preserve">در این پژوهش چارچوب </w:t>
      </w:r>
      <w:r>
        <w:rPr>
          <w:rFonts w:ascii="Times New Roman" w:hAnsi="Times New Roman" w:cs="Times New Roman"/>
        </w:rPr>
        <w:t>HG-CAN</w:t>
      </w:r>
      <w:r>
        <w:rPr>
          <w:rFonts w:hint="cs"/>
          <w:rtl/>
        </w:rPr>
        <w:t xml:space="preserve"> برای استخراج بازنمایی رفتار تراکنشی از سوابق پرداخت مبتنی بر شبکه عصبی گراف و انحنای فرمن-ریچی مورد ارزیابی قرار گرفت. نتایج بر روی داده‌های شبیه‌سازی‌شده حاکی از برتری قاطع مدل‌های رابطه‌ای نسبت به مدل سنتی </w:t>
      </w:r>
      <w:r>
        <w:rPr>
          <w:rFonts w:ascii="Times New Roman" w:hAnsi="Times New Roman" w:cs="Times New Roman"/>
        </w:rPr>
        <w:t>RFM</w:t>
      </w:r>
      <w:r>
        <w:rPr>
          <w:rFonts w:hint="cs"/>
          <w:rtl/>
        </w:rPr>
        <w:t xml:space="preserve"> است. همچنین مقایسه نشان داد که عملکرد تفکیک مدل پیشنهادی با روش خطی </w:t>
      </w:r>
      <w:r>
        <w:rPr>
          <w:rFonts w:ascii="Times New Roman" w:hAnsi="Times New Roman" w:cs="Times New Roman"/>
        </w:rPr>
        <w:t>SVD</w:t>
      </w:r>
      <w:r>
        <w:rPr>
          <w:rFonts w:hint="cs"/>
          <w:rtl/>
        </w:rPr>
        <w:t xml:space="preserve"> بر روی این داده‌ها در یک سطح قرار دارد. از محدودیت‌های این مطالعه می‌توان به اتکا به داده‌های شبیه‌سازی‌شده و عدم آزمون بر روی تنوع رفتاری داده‌های واقعی شبکه پرداخت اشاره کرد. تحقیقات آتی باید اعتبارسنجی مدل را بر روی مجموعه‌های داده واقعی و در شرایط توزیع‌های نامتعادل رفتاری دنبال نمایند.</w:t>
      </w:r>
    </w:p>
    <w:p>
      <w:pPr>
        <w:pStyle w:val="Heading0"/>
      </w:pPr>
      <w:r>
        <w:rPr>
          <w:rFonts w:hint="cs"/>
          <w:rtl/>
        </w:rPr>
        <w:t>مراجع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V. D. Blondel, J.-L. Guillaume, R. Lambiotte, E. Lefebvre, "Fast unfolding of communities in large networks", </w:t>
      </w:r>
      <w:r>
        <w:rPr>
          <w:rFonts w:ascii="Times New Roman" w:hAnsi="Times New Roman" w:cs="Times New Roman"/>
          <w:iCs/>
          <w:i/>
        </w:rPr>
        <w:t>Journal of Statistical Mechanics: Theory and Experiment</w:t>
      </w:r>
      <w:r>
        <w:rPr>
          <w:rFonts w:ascii="Times New Roman" w:hAnsi="Times New Roman" w:cs="Times New Roman"/>
        </w:rPr>
        <w:t>, Vol. 2008, No. 10, P10008, 2008.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M. M. Bronstein, J. Bruna, Y. LeCun, A. Szlam, P. Vandergheynst, "Geometric deep learning: Going beyond Euclidean data", </w:t>
      </w:r>
      <w:r>
        <w:rPr>
          <w:rFonts w:ascii="Times New Roman" w:hAnsi="Times New Roman" w:cs="Times New Roman"/>
          <w:iCs/>
          <w:i/>
        </w:rPr>
        <w:t>IEEE Signal Processing Magazine</w:t>
      </w:r>
      <w:r>
        <w:rPr>
          <w:rFonts w:ascii="Times New Roman" w:hAnsi="Times New Roman" w:cs="Times New Roman"/>
        </w:rPr>
        <w:t>, Vol. 34, No. 4, pp. 18-42,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A. Grover, J. Leskovec, "node2vec: Scalable feature learning for networks", </w:t>
      </w:r>
      <w:r>
        <w:rPr>
          <w:rFonts w:ascii="Times New Roman" w:hAnsi="Times New Roman" w:cs="Times New Roman"/>
          <w:iCs/>
          <w:i/>
        </w:rPr>
        <w:t>Proc. 22nd ACM SIGKDD Int. Conf. on Knowledge Discovery and Data Mining</w:t>
      </w:r>
      <w:r>
        <w:rPr>
          <w:rFonts w:ascii="Times New Roman" w:hAnsi="Times New Roman" w:cs="Times New Roman"/>
        </w:rPr>
        <w:t>, pp. 855-864, 2016.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W. L. Hamilton, R. Ying, J. Leskovec, "Inductive representation learning on large graphs", </w:t>
      </w:r>
      <w:r>
        <w:rPr>
          <w:rFonts w:ascii="Times New Roman" w:hAnsi="Times New Roman" w:cs="Times New Roman"/>
          <w:iCs/>
          <w:i/>
        </w:rPr>
        <w:t>Advances in Neural Information Processing Systems 30 (NeurIPS)</w:t>
      </w:r>
      <w:r>
        <w:rPr>
          <w:rFonts w:ascii="Times New Roman" w:hAnsi="Times New Roman" w:cs="Times New Roman"/>
        </w:rPr>
        <w:t>, pp. 1024-1034,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A. M. Hughes, </w:t>
      </w:r>
      <w:r>
        <w:rPr>
          <w:rFonts w:ascii="Times New Roman" w:hAnsi="Times New Roman" w:cs="Times New Roman"/>
          <w:iCs/>
          <w:i/>
        </w:rPr>
        <w:t>Strategic Database Marketing</w:t>
      </w:r>
      <w:r>
        <w:rPr>
          <w:rFonts w:ascii="Times New Roman" w:hAnsi="Times New Roman" w:cs="Times New Roman"/>
        </w:rPr>
        <w:t>, 3rd ed., McGraw-Hill, 2005.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T. N. Kipf, M. Welling, "Variational graph auto-encoders", </w:t>
      </w:r>
      <w:r>
        <w:rPr>
          <w:rFonts w:ascii="Times New Roman" w:hAnsi="Times New Roman" w:cs="Times New Roman"/>
          <w:iCs/>
          <w:i/>
        </w:rPr>
        <w:t>NIPS Workshop on Bayesian Deep Learning</w:t>
      </w:r>
      <w:r>
        <w:rPr>
          <w:rFonts w:ascii="Times New Roman" w:hAnsi="Times New Roman" w:cs="Times New Roman"/>
        </w:rPr>
        <w:t>, 2016.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T. N. Kipf, M. Welling, "Semi-supervised classification with graph convolutional networks", </w:t>
      </w:r>
      <w:r>
        <w:rPr>
          <w:rFonts w:ascii="Times New Roman" w:hAnsi="Times New Roman" w:cs="Times New Roman"/>
          <w:iCs/>
          <w:i/>
        </w:rPr>
        <w:t>Proc. 5th Int. Conf. on Learning Representations (ICLR)</w:t>
      </w:r>
      <w:r>
        <w:rPr>
          <w:rFonts w:ascii="Times New Roman" w:hAnsi="Times New Roman" w:cs="Times New Roman"/>
        </w:rPr>
        <w:t>, 2017.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P. Veličković, G. Cucurull, A. Casanova, A. Romero, P. Liò, Y. Bengio, "Graph attention networks", </w:t>
      </w:r>
      <w:r>
        <w:rPr>
          <w:rFonts w:ascii="Times New Roman" w:hAnsi="Times New Roman" w:cs="Times New Roman"/>
          <w:iCs/>
          <w:i/>
        </w:rPr>
        <w:t>Proc. 6th Int. Conf. on Learning Representations (ICLR)</w:t>
      </w:r>
      <w:r>
        <w:rPr>
          <w:rFonts w:ascii="Times New Roman" w:hAnsi="Times New Roman" w:cs="Times New Roman"/>
        </w:rPr>
        <w:t>, 2018.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M. Weber, G. Domeniconi, J. Chen, D. K. I. Weidele, C. Bellei, T. Robinson, C. E. Leiserson, "Anti-money laundering in Bitcoin: Experimenting with graph convolutional networks for financial forensics", </w:t>
      </w:r>
      <w:r>
        <w:rPr>
          <w:rFonts w:ascii="Times New Roman" w:hAnsi="Times New Roman" w:cs="Times New Roman"/>
          <w:iCs/>
          <w:i/>
        </w:rPr>
        <w:t>KDD Workshop on Anomaly Detection in Finance</w:t>
      </w:r>
      <w:r>
        <w:rPr>
          <w:rFonts w:ascii="Times New Roman" w:hAnsi="Times New Roman" w:cs="Times New Roman"/>
        </w:rPr>
        <w:t>, 2019.</w:t>
      </w:r>
    </w:p>
    <w:p>
      <w:pPr>
        <w:pStyle w:val="ENREF"/>
      </w:pPr>
      <w:r>
        <w:rPr>
          <w:rFonts w:ascii="Times New Roman" w:hAnsi="Times New Roman" w:cs="Times New Roman"/>
        </w:rPr>
        <w:t xml:space="preserve">Z. Wu, S. Pan, F. Chen, G. Long, C. Zhang, P. S. Yu, "A comprehensive survey on graph neural networks", </w:t>
      </w:r>
      <w:r>
        <w:rPr>
          <w:rFonts w:ascii="Times New Roman" w:hAnsi="Times New Roman" w:cs="Times New Roman"/>
          <w:iCs/>
          <w:i/>
        </w:rPr>
        <w:t>IEEE Transactions on Neural Networks and Learning Systems</w:t>
      </w:r>
      <w:r>
        <w:rPr>
          <w:rFonts w:ascii="Times New Roman" w:hAnsi="Times New Roman" w:cs="Times New Roman"/>
        </w:rPr>
        <w:t>, Vol. 32, No. 1, pp. 4-24, 2021.</w:t>
      </w:r>
    </w:p>
    <w:sectPr w:rsidR="005F7947" w:rsidRPr="00A5429D" w:rsidSect="00A3697A">
      <w:headerReference w:type="default" r:id="rId17"/>
      <w:footerReference w:type="default" r:id="rId18"/>
      <w:footnotePr>
        <w:numFmt w:val="chicago"/>
      </w:footnotePr>
      <w:endnotePr>
        <w:numFmt w:val="decimal"/>
      </w:endnotePr>
      <w:type w:val="continuous"/>
      <w:pgSz w:w="11907" w:h="16840" w:code="9"/>
      <w:pgMar w:top="2977" w:right="1134" w:bottom="1418" w:left="1134" w:header="91" w:footer="720" w:gutter="0"/>
      <w:cols w:num="2"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9AD4D" w14:textId="77777777" w:rsidR="007A3633" w:rsidRDefault="007A3633">
      <w:r>
        <w:separator/>
      </w:r>
    </w:p>
  </w:endnote>
  <w:endnote w:type="continuationSeparator" w:id="0">
    <w:p w14:paraId="5581217A" w14:textId="77777777" w:rsidR="007A3633" w:rsidRDefault="007A3633">
      <w:r>
        <w:continuationSeparator/>
      </w:r>
    </w:p>
  </w:endnote>
  <w:endnote w:id="1">
    <w:p w14:paraId="6A3CDE3C" w14:textId="77777777" w:rsidR="007927D8" w:rsidRPr="0091025C" w:rsidRDefault="007927D8" w:rsidP="007927D8">
      <w:pPr>
        <w:pStyle w:val="EndnoteText"/>
        <w:bidi w:val="0"/>
        <w:rPr>
          <w:sz w:val="18"/>
          <w:szCs w:val="20"/>
          <w:lang w:bidi="fa-IR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  <w:lang w:bidi="fa-IR"/>
        </w:rPr>
        <w:t>Header</w:t>
      </w:r>
    </w:p>
  </w:endnote>
  <w:endnote w:id="2">
    <w:p w14:paraId="3C268654" w14:textId="77777777" w:rsidR="007927D8" w:rsidRPr="0091025C" w:rsidRDefault="007927D8" w:rsidP="007927D8">
      <w:pPr>
        <w:pStyle w:val="EndnoteText"/>
        <w:bidi w:val="0"/>
        <w:rPr>
          <w:sz w:val="18"/>
          <w:szCs w:val="20"/>
          <w:lang w:bidi="fa-IR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="00E74B92" w:rsidRPr="0091025C">
        <w:rPr>
          <w:sz w:val="18"/>
          <w:szCs w:val="20"/>
          <w:lang w:bidi="fa-IR"/>
        </w:rPr>
        <w:t>Footer</w:t>
      </w:r>
    </w:p>
  </w:endnote>
  <w:endnote w:id="3">
    <w:p w14:paraId="2CFC18E3" w14:textId="77777777" w:rsidR="007956E6" w:rsidRPr="0091025C" w:rsidRDefault="007956E6" w:rsidP="007956E6">
      <w:pPr>
        <w:pStyle w:val="EndnoteText"/>
        <w:bidi w:val="0"/>
        <w:rPr>
          <w:sz w:val="18"/>
          <w:szCs w:val="20"/>
        </w:rPr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</w:rPr>
        <w:t>Superscript</w:t>
      </w:r>
    </w:p>
  </w:endnote>
  <w:endnote w:id="4">
    <w:p w14:paraId="5E53842B" w14:textId="77777777" w:rsidR="007956E6" w:rsidRDefault="007956E6" w:rsidP="007956E6">
      <w:pPr>
        <w:pStyle w:val="EndnoteText"/>
        <w:bidi w:val="0"/>
      </w:pPr>
      <w:r w:rsidRPr="0091025C">
        <w:rPr>
          <w:rStyle w:val="EndnoteReference"/>
          <w:sz w:val="18"/>
          <w:szCs w:val="16"/>
        </w:rPr>
        <w:endnoteRef/>
      </w:r>
      <w:r w:rsidRPr="0091025C">
        <w:rPr>
          <w:sz w:val="18"/>
          <w:szCs w:val="20"/>
          <w:rtl/>
        </w:rPr>
        <w:t xml:space="preserve"> </w:t>
      </w:r>
      <w:r w:rsidRPr="0091025C">
        <w:rPr>
          <w:sz w:val="18"/>
          <w:szCs w:val="20"/>
        </w:rPr>
        <w:t>Subscript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azanin">
    <w:altName w:val="Arial"/>
    <w:charset w:val="B2"/>
    <w:family w:val="auto"/>
    <w:pitch w:val="variable"/>
    <w:sig w:usb0="00002001" w:usb1="00000000" w:usb2="00000000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 Mitra">
    <w:altName w:val="Arial"/>
    <w:charset w:val="B2"/>
    <w:family w:val="auto"/>
    <w:pitch w:val="variable"/>
    <w:sig w:usb0="00002001" w:usb1="80000000" w:usb2="00000008" w:usb3="00000000" w:csb0="00000040" w:csb1="00000000"/>
  </w:font>
  <w:font w:name="Yagut">
    <w:altName w:val="Arial"/>
    <w:charset w:val="B2"/>
    <w:family w:val="auto"/>
    <w:pitch w:val="variable"/>
    <w:sig w:usb0="00002001" w:usb1="00000000" w:usb2="00000000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X Mitra">
    <w:altName w:val="Courier New"/>
    <w:charset w:val="00"/>
    <w:family w:val="auto"/>
    <w:pitch w:val="variable"/>
    <w:sig w:usb0="00000000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BD884" w14:textId="77777777" w:rsidR="002D1D23" w:rsidRDefault="002D1D23">
    <w:pPr>
      <w:pStyle w:val="Footer"/>
    </w:pPr>
    <w:r>
      <w:rPr>
        <w:noProof/>
      </w:rPr>
      <w:pict w14:anchorId="7112C3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3" type="#_x0000_t75" style="position:absolute;left:0;text-align:left;margin-left:222pt;margin-top:-68.05pt;width:23.25pt;height:81pt;z-index:-251660288">
          <v:imagedata r:id="rId1" o:title="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A8B92" w14:textId="77777777" w:rsidR="00CF38B6" w:rsidRDefault="00CF38B6">
    <w:pPr>
      <w:pStyle w:val="Footer"/>
    </w:pPr>
    <w:r>
      <w:rPr>
        <w:noProof/>
      </w:rPr>
      <w:pict w14:anchorId="3842E9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6" type="#_x0000_t75" style="position:absolute;left:0;text-align:left;margin-left:220.45pt;margin-top:-32pt;width:23.25pt;height:81pt;z-index:-251659264">
          <v:imagedata r:id="rId1" o:title="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3148F" w14:textId="77777777" w:rsidR="007A3633" w:rsidRDefault="007A3633">
      <w:r>
        <w:separator/>
      </w:r>
    </w:p>
  </w:footnote>
  <w:footnote w:type="continuationSeparator" w:id="0">
    <w:p w14:paraId="27BC1AE6" w14:textId="77777777" w:rsidR="007A3633" w:rsidRDefault="007A36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DA8D5" w14:textId="77777777" w:rsidR="00996B30" w:rsidRPr="006832B4" w:rsidRDefault="00A37AEF" w:rsidP="00795E10">
    <w:pPr>
      <w:pStyle w:val="Header"/>
      <w:rPr>
        <w:rFonts w:hint="cs"/>
        <w:rtl/>
      </w:rPr>
    </w:pPr>
    <w:r>
      <w:rPr>
        <w:noProof/>
      </w:rPr>
      <w:pict w14:anchorId="6641457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6" type="#_x0000_t75" style="position:absolute;left:0;text-align:left;margin-left:-56.65pt;margin-top:-.75pt;width:595.3pt;height:140.95pt;z-index:251658240">
          <v:imagedata r:id="rId1" o:title="سربرگ مقاله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580FA" w14:textId="77777777" w:rsidR="0000628F" w:rsidRPr="006832B4" w:rsidRDefault="00A37AEF" w:rsidP="00A3697A">
    <w:pPr>
      <w:pStyle w:val="Header"/>
      <w:ind w:hanging="1134"/>
      <w:rPr>
        <w:rFonts w:hint="cs"/>
        <w:rtl/>
      </w:rPr>
    </w:pPr>
    <w:r>
      <w:rPr>
        <w:rFonts w:hint="cs"/>
        <w:noProof/>
        <w:rtl/>
        <w:lang w:val="fa-IR"/>
      </w:rPr>
      <w:pict w14:anchorId="77EC1DD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7" type="#_x0000_t75" style="position:absolute;left:0;text-align:left;margin-left:-56.15pt;margin-top:-4.2pt;width:595.3pt;height:140.95pt;z-index:251659264">
          <v:imagedata r:id="rId1" o:title="سربرگ مقاله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952E8FA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B666F5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F0412F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67E6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95427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6E83A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5602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4900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5AC90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B7CA9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3435A"/>
    <w:multiLevelType w:val="multilevel"/>
    <w:tmpl w:val="CAB4EEE0"/>
    <w:lvl w:ilvl="0">
      <w:start w:val="1"/>
      <w:numFmt w:val="decimal"/>
      <w:lvlText w:val="[%1]"/>
      <w:lvlJc w:val="left"/>
      <w:pPr>
        <w:tabs>
          <w:tab w:val="num" w:pos="284"/>
        </w:tabs>
        <w:ind w:left="397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6B87F2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0ABD1F88"/>
    <w:multiLevelType w:val="multilevel"/>
    <w:tmpl w:val="1CBA7A96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701"/>
        </w:tabs>
        <w:ind w:left="1701" w:hanging="1134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3" w15:restartNumberingAfterBreak="0">
    <w:nsid w:val="0C2C1E0C"/>
    <w:multiLevelType w:val="hybridMultilevel"/>
    <w:tmpl w:val="896A2F70"/>
    <w:lvl w:ilvl="0" w:tplc="2AE860A8">
      <w:start w:val="1"/>
      <w:numFmt w:val="bullet"/>
      <w:pStyle w:val="FootnoteReference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FD356C5"/>
    <w:multiLevelType w:val="multilevel"/>
    <w:tmpl w:val="CB94608C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5" w15:restartNumberingAfterBreak="0">
    <w:nsid w:val="179E2E10"/>
    <w:multiLevelType w:val="multilevel"/>
    <w:tmpl w:val="CB5E6D22"/>
    <w:lvl w:ilvl="0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D462DBA"/>
    <w:multiLevelType w:val="multilevel"/>
    <w:tmpl w:val="D4E85162"/>
    <w:lvl w:ilvl="0">
      <w:start w:val="1"/>
      <w:numFmt w:val="decimal"/>
      <w:pStyle w:val="Heading1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-%2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7" w15:restartNumberingAfterBreak="0">
    <w:nsid w:val="1E305EDC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8" w15:restartNumberingAfterBreak="0">
    <w:nsid w:val="1E707592"/>
    <w:multiLevelType w:val="multilevel"/>
    <w:tmpl w:val="0F2E93A8"/>
    <w:lvl w:ilvl="0">
      <w:start w:val="1"/>
      <w:numFmt w:val="decimal"/>
      <w:lvlText w:val="[%1]"/>
      <w:lvlJc w:val="righ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2017583E"/>
    <w:multiLevelType w:val="multilevel"/>
    <w:tmpl w:val="67546A06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0" w15:restartNumberingAfterBreak="0">
    <w:nsid w:val="224F73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25282669"/>
    <w:multiLevelType w:val="multilevel"/>
    <w:tmpl w:val="386C0874"/>
    <w:lvl w:ilvl="0">
      <w:start w:val="1"/>
      <w:numFmt w:val="decimal"/>
      <w:lvlText w:val="[%1]"/>
      <w:lvlJc w:val="right"/>
      <w:pPr>
        <w:tabs>
          <w:tab w:val="num" w:pos="284"/>
        </w:tabs>
        <w:ind w:left="284" w:firstLine="0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2C4A3EC0"/>
    <w:multiLevelType w:val="multilevel"/>
    <w:tmpl w:val="77F0C102"/>
    <w:lvl w:ilvl="0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29E2484"/>
    <w:multiLevelType w:val="multilevel"/>
    <w:tmpl w:val="CA74760C"/>
    <w:lvl w:ilvl="0">
      <w:start w:val="1"/>
      <w:numFmt w:val="decimal"/>
      <w:lvlText w:val="[%1]"/>
      <w:lvlJc w:val="right"/>
      <w:pPr>
        <w:tabs>
          <w:tab w:val="num" w:pos="567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60E7CD0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5" w15:restartNumberingAfterBreak="0">
    <w:nsid w:val="38997E52"/>
    <w:multiLevelType w:val="hybridMultilevel"/>
    <w:tmpl w:val="F014BC98"/>
    <w:lvl w:ilvl="0" w:tplc="D1006F58">
      <w:start w:val="1"/>
      <w:numFmt w:val="decimal"/>
      <w:pStyle w:val="REF"/>
      <w:lvlText w:val="[%1]"/>
      <w:lvlJc w:val="right"/>
      <w:pPr>
        <w:tabs>
          <w:tab w:val="num" w:pos="454"/>
        </w:tabs>
        <w:ind w:left="454" w:hanging="170"/>
      </w:pPr>
      <w:rPr>
        <w:rFonts w:ascii="Times New Roman" w:hAnsi="Times New Roman" w:cs="Nazanin" w:hint="default"/>
        <w:sz w:val="18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3B975E6B"/>
    <w:multiLevelType w:val="multilevel"/>
    <w:tmpl w:val="6DE8C004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-%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7" w15:restartNumberingAfterBreak="0">
    <w:nsid w:val="3D5F31B7"/>
    <w:multiLevelType w:val="multilevel"/>
    <w:tmpl w:val="BE242532"/>
    <w:lvl w:ilvl="0">
      <w:start w:val="1"/>
      <w:numFmt w:val="decimal"/>
      <w:lvlText w:val="[%1]"/>
      <w:lvlJc w:val="lef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45010D72"/>
    <w:multiLevelType w:val="multilevel"/>
    <w:tmpl w:val="20CEF820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9" w15:restartNumberingAfterBreak="0">
    <w:nsid w:val="49917267"/>
    <w:multiLevelType w:val="multilevel"/>
    <w:tmpl w:val="B7CC80C0"/>
    <w:lvl w:ilvl="0">
      <w:start w:val="1"/>
      <w:numFmt w:val="none"/>
      <w:isLgl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701"/>
        </w:tabs>
        <w:ind w:left="1701" w:hanging="1134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0" w15:restartNumberingAfterBreak="0">
    <w:nsid w:val="4A5D1547"/>
    <w:multiLevelType w:val="multilevel"/>
    <w:tmpl w:val="19DA09BA"/>
    <w:lvl w:ilvl="0">
      <w:start w:val="1"/>
      <w:numFmt w:val="decimal"/>
      <w:lvlText w:val="[%1]"/>
      <w:lvlJc w:val="right"/>
      <w:pPr>
        <w:tabs>
          <w:tab w:val="num" w:pos="397"/>
        </w:tabs>
        <w:ind w:left="397" w:hanging="11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30A5E7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2" w15:restartNumberingAfterBreak="0">
    <w:nsid w:val="5782640D"/>
    <w:multiLevelType w:val="multilevel"/>
    <w:tmpl w:val="142C2302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3" w15:restartNumberingAfterBreak="0">
    <w:nsid w:val="58016DD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58D11A4F"/>
    <w:multiLevelType w:val="multilevel"/>
    <w:tmpl w:val="A8D22A82"/>
    <w:lvl w:ilvl="0">
      <w:start w:val="1"/>
      <w:numFmt w:val="decimal"/>
      <w:lvlText w:val="[%1]"/>
      <w:lvlJc w:val="left"/>
      <w:pPr>
        <w:tabs>
          <w:tab w:val="num" w:pos="284"/>
        </w:tabs>
        <w:ind w:left="454" w:hanging="28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9C70027"/>
    <w:multiLevelType w:val="multilevel"/>
    <w:tmpl w:val="1BF837E0"/>
    <w:lvl w:ilvl="0">
      <w:start w:val="1"/>
      <w:numFmt w:val="none"/>
      <w:suff w:val="space"/>
      <w:lvlText w:val="1-"/>
      <w:lvlJc w:val="left"/>
      <w:pPr>
        <w:ind w:left="0" w:firstLine="0"/>
      </w:pPr>
      <w:rPr>
        <w:rFonts w:hint="default"/>
      </w:rPr>
    </w:lvl>
    <w:lvl w:ilvl="1">
      <w:start w:val="1"/>
      <w:numFmt w:val="none"/>
      <w:isLgl/>
      <w:suff w:val="space"/>
      <w:lvlText w:val="1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6" w15:restartNumberingAfterBreak="0">
    <w:nsid w:val="5AEE19EA"/>
    <w:multiLevelType w:val="multilevel"/>
    <w:tmpl w:val="E5E623C6"/>
    <w:lvl w:ilvl="0">
      <w:start w:val="1"/>
      <w:numFmt w:val="decimal"/>
      <w:lvlText w:val="[%1]"/>
      <w:lvlJc w:val="righ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5EAD68CC"/>
    <w:multiLevelType w:val="multilevel"/>
    <w:tmpl w:val="F6164E28"/>
    <w:lvl w:ilvl="0">
      <w:start w:val="1"/>
      <w:numFmt w:val="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F10A2B"/>
    <w:multiLevelType w:val="multilevel"/>
    <w:tmpl w:val="01D832BA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39" w15:restartNumberingAfterBreak="0">
    <w:nsid w:val="662E45A1"/>
    <w:multiLevelType w:val="multilevel"/>
    <w:tmpl w:val="0676196E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-%2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1-1-%3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40" w15:restartNumberingAfterBreak="0">
    <w:nsid w:val="6DDD18AF"/>
    <w:multiLevelType w:val="multilevel"/>
    <w:tmpl w:val="092E942C"/>
    <w:lvl w:ilvl="0">
      <w:start w:val="1"/>
      <w:numFmt w:val="decimal"/>
      <w:suff w:val="space"/>
      <w:lvlText w:val="%1-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2-1-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suff w:val="space"/>
      <w:lvlText w:val="%11-1-1-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41" w15:restartNumberingAfterBreak="0">
    <w:nsid w:val="726560CF"/>
    <w:multiLevelType w:val="multilevel"/>
    <w:tmpl w:val="061E2894"/>
    <w:lvl w:ilvl="0">
      <w:start w:val="1"/>
      <w:numFmt w:val="decimal"/>
      <w:lvlText w:val="[%1]"/>
      <w:lvlJc w:val="left"/>
      <w:pPr>
        <w:tabs>
          <w:tab w:val="num" w:pos="284"/>
        </w:tabs>
        <w:ind w:left="567" w:hanging="283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727B20C4"/>
    <w:multiLevelType w:val="multilevel"/>
    <w:tmpl w:val="BC3E1EAE"/>
    <w:lvl w:ilvl="0">
      <w:start w:val="1"/>
      <w:numFmt w:val="decimal"/>
      <w:lvlText w:val="[%1]"/>
      <w:lvlJc w:val="right"/>
      <w:pPr>
        <w:tabs>
          <w:tab w:val="num" w:pos="284"/>
        </w:tabs>
        <w:ind w:left="284" w:firstLine="4"/>
      </w:pPr>
      <w:rPr>
        <w:rFonts w:ascii="Times New Roman" w:hAnsi="Times New Roman" w:cs="Nazanin" w:hint="default"/>
        <w:sz w:val="18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58666183">
    <w:abstractNumId w:val="29"/>
  </w:num>
  <w:num w:numId="2" w16cid:durableId="2020696213">
    <w:abstractNumId w:val="11"/>
  </w:num>
  <w:num w:numId="3" w16cid:durableId="1933082081">
    <w:abstractNumId w:val="33"/>
  </w:num>
  <w:num w:numId="4" w16cid:durableId="1861353735">
    <w:abstractNumId w:val="12"/>
  </w:num>
  <w:num w:numId="5" w16cid:durableId="718019566">
    <w:abstractNumId w:val="31"/>
  </w:num>
  <w:num w:numId="6" w16cid:durableId="578639781">
    <w:abstractNumId w:val="16"/>
  </w:num>
  <w:num w:numId="7" w16cid:durableId="568804155">
    <w:abstractNumId w:val="9"/>
  </w:num>
  <w:num w:numId="8" w16cid:durableId="2060786707">
    <w:abstractNumId w:val="7"/>
  </w:num>
  <w:num w:numId="9" w16cid:durableId="742412240">
    <w:abstractNumId w:val="6"/>
  </w:num>
  <w:num w:numId="10" w16cid:durableId="325209851">
    <w:abstractNumId w:val="5"/>
  </w:num>
  <w:num w:numId="11" w16cid:durableId="658507543">
    <w:abstractNumId w:val="4"/>
  </w:num>
  <w:num w:numId="12" w16cid:durableId="1026373516">
    <w:abstractNumId w:val="8"/>
  </w:num>
  <w:num w:numId="13" w16cid:durableId="719860139">
    <w:abstractNumId w:val="3"/>
  </w:num>
  <w:num w:numId="14" w16cid:durableId="1024552147">
    <w:abstractNumId w:val="2"/>
  </w:num>
  <w:num w:numId="15" w16cid:durableId="711225499">
    <w:abstractNumId w:val="1"/>
  </w:num>
  <w:num w:numId="16" w16cid:durableId="1276130898">
    <w:abstractNumId w:val="0"/>
  </w:num>
  <w:num w:numId="17" w16cid:durableId="419525954">
    <w:abstractNumId w:val="20"/>
  </w:num>
  <w:num w:numId="18" w16cid:durableId="677924698">
    <w:abstractNumId w:val="13"/>
  </w:num>
  <w:num w:numId="19" w16cid:durableId="1808089928">
    <w:abstractNumId w:val="37"/>
  </w:num>
  <w:num w:numId="20" w16cid:durableId="1414938407">
    <w:abstractNumId w:val="14"/>
  </w:num>
  <w:num w:numId="21" w16cid:durableId="1865824689">
    <w:abstractNumId w:val="35"/>
  </w:num>
  <w:num w:numId="22" w16cid:durableId="172762197">
    <w:abstractNumId w:val="28"/>
  </w:num>
  <w:num w:numId="23" w16cid:durableId="89275385">
    <w:abstractNumId w:val="40"/>
  </w:num>
  <w:num w:numId="24" w16cid:durableId="1915702752">
    <w:abstractNumId w:val="19"/>
  </w:num>
  <w:num w:numId="25" w16cid:durableId="1642729156">
    <w:abstractNumId w:val="32"/>
  </w:num>
  <w:num w:numId="26" w16cid:durableId="516507748">
    <w:abstractNumId w:val="24"/>
  </w:num>
  <w:num w:numId="27" w16cid:durableId="1929579627">
    <w:abstractNumId w:val="16"/>
  </w:num>
  <w:num w:numId="28" w16cid:durableId="59055320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42544819">
    <w:abstractNumId w:val="17"/>
  </w:num>
  <w:num w:numId="30" w16cid:durableId="1983580934">
    <w:abstractNumId w:val="38"/>
  </w:num>
  <w:num w:numId="31" w16cid:durableId="535972808">
    <w:abstractNumId w:val="26"/>
  </w:num>
  <w:num w:numId="32" w16cid:durableId="1950967572">
    <w:abstractNumId w:val="39"/>
  </w:num>
  <w:num w:numId="33" w16cid:durableId="1189414431">
    <w:abstractNumId w:val="25"/>
  </w:num>
  <w:num w:numId="34" w16cid:durableId="108211448">
    <w:abstractNumId w:val="15"/>
  </w:num>
  <w:num w:numId="35" w16cid:durableId="1499467555">
    <w:abstractNumId w:val="18"/>
  </w:num>
  <w:num w:numId="36" w16cid:durableId="1966736334">
    <w:abstractNumId w:val="22"/>
  </w:num>
  <w:num w:numId="37" w16cid:durableId="632826884">
    <w:abstractNumId w:val="42"/>
  </w:num>
  <w:num w:numId="38" w16cid:durableId="1643539175">
    <w:abstractNumId w:val="41"/>
  </w:num>
  <w:num w:numId="39" w16cid:durableId="1716352160">
    <w:abstractNumId w:val="10"/>
  </w:num>
  <w:num w:numId="40" w16cid:durableId="2050373467">
    <w:abstractNumId w:val="25"/>
    <w:lvlOverride w:ilvl="0">
      <w:startOverride w:val="1"/>
    </w:lvlOverride>
  </w:num>
  <w:num w:numId="41" w16cid:durableId="1512794436">
    <w:abstractNumId w:val="34"/>
  </w:num>
  <w:num w:numId="42" w16cid:durableId="772633303">
    <w:abstractNumId w:val="27"/>
  </w:num>
  <w:num w:numId="43" w16cid:durableId="1622414809">
    <w:abstractNumId w:val="36"/>
  </w:num>
  <w:num w:numId="44" w16cid:durableId="1766028281">
    <w:abstractNumId w:val="21"/>
  </w:num>
  <w:num w:numId="45" w16cid:durableId="1975746490">
    <w:abstractNumId w:val="23"/>
  </w:num>
  <w:num w:numId="46" w16cid:durableId="152609284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239"/>
    <o:shapelayout v:ext="edit">
      <o:idmap v:ext="edit" data="1"/>
    </o:shapelayout>
  </w:hdrShapeDefaults>
  <w:footnotePr>
    <w:numFmt w:val="chicago"/>
    <w:footnote w:id="-1"/>
    <w:footnote w:id="0"/>
  </w:footnotePr>
  <w:endnotePr>
    <w:numFmt w:val="decimal"/>
    <w:endnote w:id="-1"/>
    <w:endnote w:id="0"/>
  </w:endnotePr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LE0MDG1MDE2NTU1MzBR0lEKTi0uzszPAykwrAUAJ0rPaywAAAA="/>
  </w:docVars>
  <w:rsids>
    <w:rsidRoot w:val="007E1AD2"/>
    <w:rsid w:val="00005ACE"/>
    <w:rsid w:val="0000628F"/>
    <w:rsid w:val="00013429"/>
    <w:rsid w:val="00017A43"/>
    <w:rsid w:val="000218ED"/>
    <w:rsid w:val="00021AAE"/>
    <w:rsid w:val="0002670B"/>
    <w:rsid w:val="00035BAD"/>
    <w:rsid w:val="0004145E"/>
    <w:rsid w:val="00041479"/>
    <w:rsid w:val="000475A9"/>
    <w:rsid w:val="00050470"/>
    <w:rsid w:val="00071620"/>
    <w:rsid w:val="00077260"/>
    <w:rsid w:val="0008093A"/>
    <w:rsid w:val="000854FD"/>
    <w:rsid w:val="00086C0F"/>
    <w:rsid w:val="00087E0E"/>
    <w:rsid w:val="0009025C"/>
    <w:rsid w:val="000941FB"/>
    <w:rsid w:val="000954E1"/>
    <w:rsid w:val="00096B6B"/>
    <w:rsid w:val="000970C8"/>
    <w:rsid w:val="000A6451"/>
    <w:rsid w:val="000A7FC6"/>
    <w:rsid w:val="000B3ADE"/>
    <w:rsid w:val="000B50EF"/>
    <w:rsid w:val="000C25AA"/>
    <w:rsid w:val="000D2AD6"/>
    <w:rsid w:val="000D2E8F"/>
    <w:rsid w:val="000D769A"/>
    <w:rsid w:val="000F28CF"/>
    <w:rsid w:val="000F5FD1"/>
    <w:rsid w:val="000F6F95"/>
    <w:rsid w:val="00100137"/>
    <w:rsid w:val="00106A09"/>
    <w:rsid w:val="001152D9"/>
    <w:rsid w:val="00121B62"/>
    <w:rsid w:val="00121C9F"/>
    <w:rsid w:val="001220E5"/>
    <w:rsid w:val="0012425D"/>
    <w:rsid w:val="001248F9"/>
    <w:rsid w:val="001263AA"/>
    <w:rsid w:val="00126CBA"/>
    <w:rsid w:val="00134DD0"/>
    <w:rsid w:val="001364D1"/>
    <w:rsid w:val="001421E2"/>
    <w:rsid w:val="00151C99"/>
    <w:rsid w:val="001525BD"/>
    <w:rsid w:val="00156544"/>
    <w:rsid w:val="001614DB"/>
    <w:rsid w:val="00162B48"/>
    <w:rsid w:val="0016459D"/>
    <w:rsid w:val="00183513"/>
    <w:rsid w:val="00184DD8"/>
    <w:rsid w:val="00195D0F"/>
    <w:rsid w:val="001A2963"/>
    <w:rsid w:val="001A3807"/>
    <w:rsid w:val="001A5996"/>
    <w:rsid w:val="001B4C3C"/>
    <w:rsid w:val="001B4CBF"/>
    <w:rsid w:val="001C16D7"/>
    <w:rsid w:val="001C2741"/>
    <w:rsid w:val="001D2420"/>
    <w:rsid w:val="001D269F"/>
    <w:rsid w:val="001F47F6"/>
    <w:rsid w:val="001F7948"/>
    <w:rsid w:val="00206375"/>
    <w:rsid w:val="00210D18"/>
    <w:rsid w:val="002110D2"/>
    <w:rsid w:val="00215A6B"/>
    <w:rsid w:val="002233B1"/>
    <w:rsid w:val="00227FDC"/>
    <w:rsid w:val="00231F55"/>
    <w:rsid w:val="002541CC"/>
    <w:rsid w:val="002551F3"/>
    <w:rsid w:val="00256573"/>
    <w:rsid w:val="002635E5"/>
    <w:rsid w:val="00266048"/>
    <w:rsid w:val="00272834"/>
    <w:rsid w:val="0027390A"/>
    <w:rsid w:val="002802C0"/>
    <w:rsid w:val="002823BC"/>
    <w:rsid w:val="00282EB2"/>
    <w:rsid w:val="002925CE"/>
    <w:rsid w:val="0029327B"/>
    <w:rsid w:val="002A02F9"/>
    <w:rsid w:val="002A55D4"/>
    <w:rsid w:val="002B1B2A"/>
    <w:rsid w:val="002B6694"/>
    <w:rsid w:val="002C1186"/>
    <w:rsid w:val="002C23C8"/>
    <w:rsid w:val="002C4D04"/>
    <w:rsid w:val="002C708C"/>
    <w:rsid w:val="002D1D23"/>
    <w:rsid w:val="002E01CD"/>
    <w:rsid w:val="002E33A7"/>
    <w:rsid w:val="002F08CD"/>
    <w:rsid w:val="002F6468"/>
    <w:rsid w:val="002F7128"/>
    <w:rsid w:val="0030182E"/>
    <w:rsid w:val="00302FC9"/>
    <w:rsid w:val="003305D1"/>
    <w:rsid w:val="0033460A"/>
    <w:rsid w:val="00334783"/>
    <w:rsid w:val="003355B7"/>
    <w:rsid w:val="0033591B"/>
    <w:rsid w:val="00340C64"/>
    <w:rsid w:val="00346F4E"/>
    <w:rsid w:val="00350988"/>
    <w:rsid w:val="00351F91"/>
    <w:rsid w:val="00356008"/>
    <w:rsid w:val="0035675D"/>
    <w:rsid w:val="00362163"/>
    <w:rsid w:val="0036470F"/>
    <w:rsid w:val="00374B7B"/>
    <w:rsid w:val="003756E6"/>
    <w:rsid w:val="0037684C"/>
    <w:rsid w:val="00382679"/>
    <w:rsid w:val="003843D5"/>
    <w:rsid w:val="00387BAB"/>
    <w:rsid w:val="003921A9"/>
    <w:rsid w:val="0039231B"/>
    <w:rsid w:val="00395861"/>
    <w:rsid w:val="003A0FFF"/>
    <w:rsid w:val="003B0853"/>
    <w:rsid w:val="003B22AB"/>
    <w:rsid w:val="003B3772"/>
    <w:rsid w:val="003B6431"/>
    <w:rsid w:val="003B6A06"/>
    <w:rsid w:val="003C3877"/>
    <w:rsid w:val="003D220B"/>
    <w:rsid w:val="003D45B4"/>
    <w:rsid w:val="003D5DDE"/>
    <w:rsid w:val="003D6861"/>
    <w:rsid w:val="003D6D5B"/>
    <w:rsid w:val="003E0F56"/>
    <w:rsid w:val="003F080A"/>
    <w:rsid w:val="003F6ADB"/>
    <w:rsid w:val="003F6CE7"/>
    <w:rsid w:val="003F73EB"/>
    <w:rsid w:val="00401960"/>
    <w:rsid w:val="00403A93"/>
    <w:rsid w:val="00403B1A"/>
    <w:rsid w:val="00405D5F"/>
    <w:rsid w:val="0041547D"/>
    <w:rsid w:val="00425D92"/>
    <w:rsid w:val="004278C8"/>
    <w:rsid w:val="004360CD"/>
    <w:rsid w:val="00437515"/>
    <w:rsid w:val="00461857"/>
    <w:rsid w:val="00477A93"/>
    <w:rsid w:val="004B1E1A"/>
    <w:rsid w:val="004B6AA3"/>
    <w:rsid w:val="004C4E32"/>
    <w:rsid w:val="004D2148"/>
    <w:rsid w:val="004D5D1E"/>
    <w:rsid w:val="004E461B"/>
    <w:rsid w:val="004E5A6E"/>
    <w:rsid w:val="004F0E73"/>
    <w:rsid w:val="004F7CC9"/>
    <w:rsid w:val="00501BE5"/>
    <w:rsid w:val="0050412B"/>
    <w:rsid w:val="00504FAC"/>
    <w:rsid w:val="005152E7"/>
    <w:rsid w:val="0052150B"/>
    <w:rsid w:val="00524D9E"/>
    <w:rsid w:val="00527F23"/>
    <w:rsid w:val="005459AD"/>
    <w:rsid w:val="005463B5"/>
    <w:rsid w:val="00546846"/>
    <w:rsid w:val="00546958"/>
    <w:rsid w:val="00561BC5"/>
    <w:rsid w:val="00566578"/>
    <w:rsid w:val="00567632"/>
    <w:rsid w:val="00570C92"/>
    <w:rsid w:val="0057148F"/>
    <w:rsid w:val="00582782"/>
    <w:rsid w:val="00590430"/>
    <w:rsid w:val="005A39B9"/>
    <w:rsid w:val="005B0244"/>
    <w:rsid w:val="005B2448"/>
    <w:rsid w:val="005C1E50"/>
    <w:rsid w:val="005C209E"/>
    <w:rsid w:val="005C589F"/>
    <w:rsid w:val="005D003D"/>
    <w:rsid w:val="005D45D2"/>
    <w:rsid w:val="005D481C"/>
    <w:rsid w:val="005F24E9"/>
    <w:rsid w:val="005F31A0"/>
    <w:rsid w:val="005F49FC"/>
    <w:rsid w:val="005F550D"/>
    <w:rsid w:val="005F7947"/>
    <w:rsid w:val="00602BDE"/>
    <w:rsid w:val="006107FE"/>
    <w:rsid w:val="006137C5"/>
    <w:rsid w:val="00613983"/>
    <w:rsid w:val="00621934"/>
    <w:rsid w:val="0063167C"/>
    <w:rsid w:val="00635422"/>
    <w:rsid w:val="00642236"/>
    <w:rsid w:val="00651FD8"/>
    <w:rsid w:val="00653BDD"/>
    <w:rsid w:val="00657EE4"/>
    <w:rsid w:val="00665017"/>
    <w:rsid w:val="006703D0"/>
    <w:rsid w:val="00671B56"/>
    <w:rsid w:val="0067216F"/>
    <w:rsid w:val="006832B4"/>
    <w:rsid w:val="00684C77"/>
    <w:rsid w:val="00696951"/>
    <w:rsid w:val="006975B4"/>
    <w:rsid w:val="006C0FBA"/>
    <w:rsid w:val="006C147A"/>
    <w:rsid w:val="006D370C"/>
    <w:rsid w:val="006E0E21"/>
    <w:rsid w:val="006E19D4"/>
    <w:rsid w:val="006E6722"/>
    <w:rsid w:val="006F1334"/>
    <w:rsid w:val="006F22DD"/>
    <w:rsid w:val="006F3A82"/>
    <w:rsid w:val="006F5372"/>
    <w:rsid w:val="006F61CF"/>
    <w:rsid w:val="007037F7"/>
    <w:rsid w:val="00704B1B"/>
    <w:rsid w:val="007124FE"/>
    <w:rsid w:val="00713E14"/>
    <w:rsid w:val="00715A66"/>
    <w:rsid w:val="00724316"/>
    <w:rsid w:val="007305B4"/>
    <w:rsid w:val="007355B0"/>
    <w:rsid w:val="0075263F"/>
    <w:rsid w:val="00753ED3"/>
    <w:rsid w:val="0075460C"/>
    <w:rsid w:val="007619C5"/>
    <w:rsid w:val="00763082"/>
    <w:rsid w:val="007651D7"/>
    <w:rsid w:val="00766D02"/>
    <w:rsid w:val="0077072E"/>
    <w:rsid w:val="00773FA9"/>
    <w:rsid w:val="00774E20"/>
    <w:rsid w:val="0077551B"/>
    <w:rsid w:val="007768B5"/>
    <w:rsid w:val="00784B3C"/>
    <w:rsid w:val="00785E53"/>
    <w:rsid w:val="007865B9"/>
    <w:rsid w:val="00787385"/>
    <w:rsid w:val="007906B4"/>
    <w:rsid w:val="0079196C"/>
    <w:rsid w:val="007927D8"/>
    <w:rsid w:val="00793DCA"/>
    <w:rsid w:val="00794407"/>
    <w:rsid w:val="007956E6"/>
    <w:rsid w:val="00795E10"/>
    <w:rsid w:val="007A3633"/>
    <w:rsid w:val="007A4D32"/>
    <w:rsid w:val="007B0498"/>
    <w:rsid w:val="007C0E41"/>
    <w:rsid w:val="007C1770"/>
    <w:rsid w:val="007C1DA2"/>
    <w:rsid w:val="007C60CA"/>
    <w:rsid w:val="007C71DE"/>
    <w:rsid w:val="007D084A"/>
    <w:rsid w:val="007D2952"/>
    <w:rsid w:val="007E1AD2"/>
    <w:rsid w:val="007E2482"/>
    <w:rsid w:val="007F0D3D"/>
    <w:rsid w:val="007F5853"/>
    <w:rsid w:val="008048E3"/>
    <w:rsid w:val="00812D31"/>
    <w:rsid w:val="00820500"/>
    <w:rsid w:val="0082080B"/>
    <w:rsid w:val="0082293D"/>
    <w:rsid w:val="008232E8"/>
    <w:rsid w:val="00826DE4"/>
    <w:rsid w:val="00833F00"/>
    <w:rsid w:val="008374C9"/>
    <w:rsid w:val="00837E6B"/>
    <w:rsid w:val="008472EB"/>
    <w:rsid w:val="00852692"/>
    <w:rsid w:val="00853B55"/>
    <w:rsid w:val="008672B8"/>
    <w:rsid w:val="008711FB"/>
    <w:rsid w:val="00880DCD"/>
    <w:rsid w:val="00881BD2"/>
    <w:rsid w:val="0088547F"/>
    <w:rsid w:val="00887D8D"/>
    <w:rsid w:val="0089175C"/>
    <w:rsid w:val="008A39BA"/>
    <w:rsid w:val="008A63C8"/>
    <w:rsid w:val="008B0713"/>
    <w:rsid w:val="008B6F04"/>
    <w:rsid w:val="008C051D"/>
    <w:rsid w:val="008C2824"/>
    <w:rsid w:val="008C2B1F"/>
    <w:rsid w:val="008C4A4C"/>
    <w:rsid w:val="008C76BF"/>
    <w:rsid w:val="008D12C0"/>
    <w:rsid w:val="008E7497"/>
    <w:rsid w:val="008E7599"/>
    <w:rsid w:val="0090245F"/>
    <w:rsid w:val="009038BE"/>
    <w:rsid w:val="00907EAA"/>
    <w:rsid w:val="0091025C"/>
    <w:rsid w:val="0091137E"/>
    <w:rsid w:val="00914C1D"/>
    <w:rsid w:val="00915FFD"/>
    <w:rsid w:val="00920A8F"/>
    <w:rsid w:val="009252F8"/>
    <w:rsid w:val="0092687E"/>
    <w:rsid w:val="009318A0"/>
    <w:rsid w:val="00941CA4"/>
    <w:rsid w:val="0094367F"/>
    <w:rsid w:val="0094591D"/>
    <w:rsid w:val="009475FF"/>
    <w:rsid w:val="00963C79"/>
    <w:rsid w:val="00964DC9"/>
    <w:rsid w:val="00965205"/>
    <w:rsid w:val="00996B30"/>
    <w:rsid w:val="00996D08"/>
    <w:rsid w:val="009A1238"/>
    <w:rsid w:val="009A51C9"/>
    <w:rsid w:val="009A7807"/>
    <w:rsid w:val="009B07C7"/>
    <w:rsid w:val="009B517D"/>
    <w:rsid w:val="009C042E"/>
    <w:rsid w:val="009C2E34"/>
    <w:rsid w:val="009C6B74"/>
    <w:rsid w:val="009D4481"/>
    <w:rsid w:val="009D516C"/>
    <w:rsid w:val="009D5508"/>
    <w:rsid w:val="009E3361"/>
    <w:rsid w:val="009E47C4"/>
    <w:rsid w:val="009E5CA0"/>
    <w:rsid w:val="009E650C"/>
    <w:rsid w:val="00A03568"/>
    <w:rsid w:val="00A0460D"/>
    <w:rsid w:val="00A06BE7"/>
    <w:rsid w:val="00A13344"/>
    <w:rsid w:val="00A1397B"/>
    <w:rsid w:val="00A16ABA"/>
    <w:rsid w:val="00A20963"/>
    <w:rsid w:val="00A2441C"/>
    <w:rsid w:val="00A31F87"/>
    <w:rsid w:val="00A35632"/>
    <w:rsid w:val="00A3697A"/>
    <w:rsid w:val="00A37AEF"/>
    <w:rsid w:val="00A508D3"/>
    <w:rsid w:val="00A50B61"/>
    <w:rsid w:val="00A5429D"/>
    <w:rsid w:val="00A54D25"/>
    <w:rsid w:val="00A56198"/>
    <w:rsid w:val="00A6470E"/>
    <w:rsid w:val="00A64E7E"/>
    <w:rsid w:val="00A80BA9"/>
    <w:rsid w:val="00A90B2C"/>
    <w:rsid w:val="00A9100E"/>
    <w:rsid w:val="00A917D7"/>
    <w:rsid w:val="00AA7C3A"/>
    <w:rsid w:val="00AB2781"/>
    <w:rsid w:val="00AB51BE"/>
    <w:rsid w:val="00AC114A"/>
    <w:rsid w:val="00AC1958"/>
    <w:rsid w:val="00AC2940"/>
    <w:rsid w:val="00AD46EA"/>
    <w:rsid w:val="00AD66D2"/>
    <w:rsid w:val="00AE004D"/>
    <w:rsid w:val="00AE48BC"/>
    <w:rsid w:val="00AE523A"/>
    <w:rsid w:val="00AF2405"/>
    <w:rsid w:val="00AF4847"/>
    <w:rsid w:val="00AF5054"/>
    <w:rsid w:val="00B03FC1"/>
    <w:rsid w:val="00B06C37"/>
    <w:rsid w:val="00B1210F"/>
    <w:rsid w:val="00B14482"/>
    <w:rsid w:val="00B3107F"/>
    <w:rsid w:val="00B31A22"/>
    <w:rsid w:val="00B354C9"/>
    <w:rsid w:val="00B42D6F"/>
    <w:rsid w:val="00B43E72"/>
    <w:rsid w:val="00B43F1B"/>
    <w:rsid w:val="00B46954"/>
    <w:rsid w:val="00B47EF5"/>
    <w:rsid w:val="00B5006B"/>
    <w:rsid w:val="00B52D74"/>
    <w:rsid w:val="00B619B3"/>
    <w:rsid w:val="00B61FB7"/>
    <w:rsid w:val="00B66DC8"/>
    <w:rsid w:val="00B86BC8"/>
    <w:rsid w:val="00B9006F"/>
    <w:rsid w:val="00B91943"/>
    <w:rsid w:val="00B96167"/>
    <w:rsid w:val="00BA12DD"/>
    <w:rsid w:val="00BA3DB6"/>
    <w:rsid w:val="00BB44C2"/>
    <w:rsid w:val="00BB5C4B"/>
    <w:rsid w:val="00BC243A"/>
    <w:rsid w:val="00BC349E"/>
    <w:rsid w:val="00BC624D"/>
    <w:rsid w:val="00BD01BB"/>
    <w:rsid w:val="00BD28DF"/>
    <w:rsid w:val="00BD4CD0"/>
    <w:rsid w:val="00BD5D20"/>
    <w:rsid w:val="00BD606A"/>
    <w:rsid w:val="00BE3985"/>
    <w:rsid w:val="00BE548F"/>
    <w:rsid w:val="00BF3AF3"/>
    <w:rsid w:val="00C010E4"/>
    <w:rsid w:val="00C01DC9"/>
    <w:rsid w:val="00C03F8E"/>
    <w:rsid w:val="00C11396"/>
    <w:rsid w:val="00C144B3"/>
    <w:rsid w:val="00C15B73"/>
    <w:rsid w:val="00C3147B"/>
    <w:rsid w:val="00C329DA"/>
    <w:rsid w:val="00C37ACB"/>
    <w:rsid w:val="00C414A6"/>
    <w:rsid w:val="00C55C31"/>
    <w:rsid w:val="00C56C00"/>
    <w:rsid w:val="00C624A6"/>
    <w:rsid w:val="00C64CE4"/>
    <w:rsid w:val="00C75E3B"/>
    <w:rsid w:val="00C80DB5"/>
    <w:rsid w:val="00C8285E"/>
    <w:rsid w:val="00C831CE"/>
    <w:rsid w:val="00C9315B"/>
    <w:rsid w:val="00CA1AEE"/>
    <w:rsid w:val="00CA420A"/>
    <w:rsid w:val="00CB01B4"/>
    <w:rsid w:val="00CB166B"/>
    <w:rsid w:val="00CC110C"/>
    <w:rsid w:val="00CC2473"/>
    <w:rsid w:val="00CE34D0"/>
    <w:rsid w:val="00CE7A1C"/>
    <w:rsid w:val="00CE7A37"/>
    <w:rsid w:val="00CF0DD6"/>
    <w:rsid w:val="00CF177C"/>
    <w:rsid w:val="00CF1AA1"/>
    <w:rsid w:val="00CF1DAD"/>
    <w:rsid w:val="00CF38B6"/>
    <w:rsid w:val="00CF656C"/>
    <w:rsid w:val="00D01A17"/>
    <w:rsid w:val="00D023DA"/>
    <w:rsid w:val="00D13B79"/>
    <w:rsid w:val="00D21696"/>
    <w:rsid w:val="00D31244"/>
    <w:rsid w:val="00D314E5"/>
    <w:rsid w:val="00D31C0B"/>
    <w:rsid w:val="00D31CF1"/>
    <w:rsid w:val="00D346F1"/>
    <w:rsid w:val="00D3602B"/>
    <w:rsid w:val="00D437B9"/>
    <w:rsid w:val="00D44715"/>
    <w:rsid w:val="00D57B8C"/>
    <w:rsid w:val="00D66F6E"/>
    <w:rsid w:val="00D67AD0"/>
    <w:rsid w:val="00D82710"/>
    <w:rsid w:val="00D842A4"/>
    <w:rsid w:val="00D84732"/>
    <w:rsid w:val="00D90291"/>
    <w:rsid w:val="00D926CA"/>
    <w:rsid w:val="00DA2463"/>
    <w:rsid w:val="00DA28D2"/>
    <w:rsid w:val="00DA2FE9"/>
    <w:rsid w:val="00DB64D6"/>
    <w:rsid w:val="00DB7FCE"/>
    <w:rsid w:val="00DC0674"/>
    <w:rsid w:val="00DD5614"/>
    <w:rsid w:val="00DD66F4"/>
    <w:rsid w:val="00DF5B82"/>
    <w:rsid w:val="00E0122E"/>
    <w:rsid w:val="00E01398"/>
    <w:rsid w:val="00E02620"/>
    <w:rsid w:val="00E02BAD"/>
    <w:rsid w:val="00E10486"/>
    <w:rsid w:val="00E118FE"/>
    <w:rsid w:val="00E22311"/>
    <w:rsid w:val="00E274A2"/>
    <w:rsid w:val="00E30E01"/>
    <w:rsid w:val="00E31013"/>
    <w:rsid w:val="00E444E5"/>
    <w:rsid w:val="00E46687"/>
    <w:rsid w:val="00E51E56"/>
    <w:rsid w:val="00E52A52"/>
    <w:rsid w:val="00E544AB"/>
    <w:rsid w:val="00E5517D"/>
    <w:rsid w:val="00E5736E"/>
    <w:rsid w:val="00E627B2"/>
    <w:rsid w:val="00E7220F"/>
    <w:rsid w:val="00E74B92"/>
    <w:rsid w:val="00E9046E"/>
    <w:rsid w:val="00E90A18"/>
    <w:rsid w:val="00E95CCB"/>
    <w:rsid w:val="00E97859"/>
    <w:rsid w:val="00EA2EFC"/>
    <w:rsid w:val="00EA3874"/>
    <w:rsid w:val="00EA4A06"/>
    <w:rsid w:val="00EB4442"/>
    <w:rsid w:val="00EB637A"/>
    <w:rsid w:val="00EB789B"/>
    <w:rsid w:val="00EC4503"/>
    <w:rsid w:val="00EE38B8"/>
    <w:rsid w:val="00EE3A33"/>
    <w:rsid w:val="00EE49A8"/>
    <w:rsid w:val="00EF3144"/>
    <w:rsid w:val="00EF76BF"/>
    <w:rsid w:val="00F05286"/>
    <w:rsid w:val="00F059E2"/>
    <w:rsid w:val="00F05ACE"/>
    <w:rsid w:val="00F1535A"/>
    <w:rsid w:val="00F212E1"/>
    <w:rsid w:val="00F24046"/>
    <w:rsid w:val="00F27B8A"/>
    <w:rsid w:val="00F33B76"/>
    <w:rsid w:val="00F35F8C"/>
    <w:rsid w:val="00F40EC7"/>
    <w:rsid w:val="00F41D2B"/>
    <w:rsid w:val="00F420C7"/>
    <w:rsid w:val="00F50A2E"/>
    <w:rsid w:val="00F513A8"/>
    <w:rsid w:val="00F63D2B"/>
    <w:rsid w:val="00F64ADD"/>
    <w:rsid w:val="00F66502"/>
    <w:rsid w:val="00F67E14"/>
    <w:rsid w:val="00F926FC"/>
    <w:rsid w:val="00F9501E"/>
    <w:rsid w:val="00F96B32"/>
    <w:rsid w:val="00FA34EF"/>
    <w:rsid w:val="00FB285D"/>
    <w:rsid w:val="00FB5807"/>
    <w:rsid w:val="00FC409C"/>
    <w:rsid w:val="00FD01E3"/>
    <w:rsid w:val="00FD0485"/>
    <w:rsid w:val="00FE0FD4"/>
    <w:rsid w:val="00FE1940"/>
    <w:rsid w:val="00FE1B06"/>
    <w:rsid w:val="00FE5454"/>
    <w:rsid w:val="00FE7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39"/>
    <o:shapelayout v:ext="edit">
      <o:idmap v:ext="edit" data="2"/>
      <o:rules v:ext="edit">
        <o:r id="V:Rule1" type="connector" idref="#_x0000_s2227"/>
        <o:r id="V:Rule2" type="connector" idref="#_x0000_s2228">
          <o:proxy start="" idref="#_x0000_s2224" connectloc="2"/>
        </o:r>
        <o:r id="V:Rule3" type="connector" idref="#_x0000_s2229">
          <o:proxy start="" idref="#_x0000_s2215" connectloc="2"/>
        </o:r>
        <o:r id="V:Rule4" type="connector" idref="#_x0000_s2230">
          <o:proxy start="" idref="#_x0000_s2225" connectloc="2"/>
        </o:r>
        <o:r id="V:Rule5" type="connector" idref="#_x0000_s2231">
          <o:proxy start="" idref="#_x0000_s2218" connectloc="2"/>
        </o:r>
        <o:r id="V:Rule6" type="connector" idref="#_x0000_s2232">
          <o:proxy start="" idref="#_x0000_s2226" connectloc="2"/>
        </o:r>
      </o:rules>
    </o:shapelayout>
  </w:shapeDefaults>
  <w:decimalSymbol w:val="."/>
  <w:listSeparator w:val=","/>
  <w14:docId w14:val="26199FC8"/>
  <w15:chartTrackingRefBased/>
  <w15:docId w15:val="{CDAA2B5C-47AE-4EC5-B153-675DBDDEB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D66D2"/>
    <w:pPr>
      <w:bidi/>
    </w:pPr>
    <w:rPr>
      <w:rFonts w:cs="Nazanin"/>
      <w:sz w:val="24"/>
      <w:szCs w:val="24"/>
      <w:lang w:bidi="fa-IR"/>
    </w:rPr>
  </w:style>
  <w:style w:type="paragraph" w:styleId="Heading1">
    <w:name w:val="heading 1"/>
    <w:basedOn w:val="Normal"/>
    <w:next w:val="Normal"/>
    <w:qFormat/>
    <w:rsid w:val="002C23C8"/>
    <w:pPr>
      <w:keepNext/>
      <w:numPr>
        <w:numId w:val="27"/>
      </w:numPr>
      <w:spacing w:before="240" w:after="60"/>
      <w:outlineLvl w:val="0"/>
    </w:pPr>
    <w:rPr>
      <w:rFonts w:cs="B Mitra"/>
      <w:b/>
      <w:bCs/>
      <w:kern w:val="32"/>
      <w:sz w:val="26"/>
      <w:szCs w:val="28"/>
    </w:rPr>
  </w:style>
  <w:style w:type="paragraph" w:styleId="Heading2">
    <w:name w:val="heading 2"/>
    <w:basedOn w:val="Normal"/>
    <w:next w:val="Normal"/>
    <w:qFormat/>
    <w:rsid w:val="002C23C8"/>
    <w:pPr>
      <w:keepNext/>
      <w:numPr>
        <w:ilvl w:val="1"/>
        <w:numId w:val="27"/>
      </w:numPr>
      <w:spacing w:before="240" w:after="60"/>
      <w:outlineLvl w:val="1"/>
    </w:pPr>
    <w:rPr>
      <w:rFonts w:cs="B Mitra"/>
      <w:b/>
      <w:bCs/>
      <w:szCs w:val="26"/>
    </w:rPr>
  </w:style>
  <w:style w:type="paragraph" w:styleId="Heading3">
    <w:name w:val="heading 3"/>
    <w:basedOn w:val="Normal"/>
    <w:next w:val="Normal"/>
    <w:qFormat/>
    <w:rsid w:val="0029327B"/>
    <w:pPr>
      <w:keepNext/>
      <w:numPr>
        <w:ilvl w:val="2"/>
        <w:numId w:val="27"/>
      </w:numPr>
      <w:spacing w:before="240" w:after="60"/>
      <w:outlineLvl w:val="2"/>
    </w:pPr>
    <w:rPr>
      <w:b/>
      <w:bCs/>
      <w:sz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customStyle="1" w:styleId="Text">
    <w:name w:val="Text"/>
    <w:basedOn w:val="Normal"/>
    <w:link w:val="TextChar"/>
    <w:rsid w:val="00401960"/>
    <w:pPr>
      <w:ind w:firstLine="340"/>
      <w:jc w:val="lowKashida"/>
    </w:pPr>
    <w:rPr>
      <w:rFonts w:cs="B Mitra"/>
      <w:sz w:val="20"/>
      <w:szCs w:val="22"/>
    </w:rPr>
  </w:style>
  <w:style w:type="character" w:customStyle="1" w:styleId="TextChar">
    <w:name w:val="Text Char"/>
    <w:link w:val="Text"/>
    <w:rsid w:val="00401960"/>
    <w:rPr>
      <w:rFonts w:cs="B Mitra"/>
      <w:szCs w:val="22"/>
      <w:lang w:bidi="fa-IR"/>
    </w:rPr>
  </w:style>
  <w:style w:type="paragraph" w:customStyle="1" w:styleId="Text1">
    <w:name w:val="Text1"/>
    <w:basedOn w:val="Text"/>
    <w:rsid w:val="002C23C8"/>
    <w:pPr>
      <w:ind w:firstLine="0"/>
    </w:pPr>
  </w:style>
  <w:style w:type="paragraph" w:customStyle="1" w:styleId="Heading0">
    <w:name w:val="Heading 0"/>
    <w:basedOn w:val="Heading1"/>
    <w:rsid w:val="002C23C8"/>
    <w:pPr>
      <w:numPr>
        <w:numId w:val="0"/>
      </w:numPr>
    </w:pPr>
  </w:style>
  <w:style w:type="paragraph" w:customStyle="1" w:styleId="Author">
    <w:name w:val="Author"/>
    <w:basedOn w:val="Normal"/>
    <w:rsid w:val="002C23C8"/>
    <w:pPr>
      <w:jc w:val="center"/>
    </w:pPr>
    <w:rPr>
      <w:rFonts w:cs="B Mitra"/>
      <w:sz w:val="22"/>
    </w:rPr>
  </w:style>
  <w:style w:type="paragraph" w:customStyle="1" w:styleId="Abstract2">
    <w:name w:val="Abstract2"/>
    <w:basedOn w:val="Text"/>
    <w:rsid w:val="002C23C8"/>
    <w:rPr>
      <w:bCs/>
    </w:rPr>
  </w:style>
  <w:style w:type="paragraph" w:customStyle="1" w:styleId="Abstract">
    <w:name w:val="Abstract"/>
    <w:basedOn w:val="Text1"/>
    <w:rsid w:val="002C23C8"/>
    <w:rPr>
      <w:bCs/>
    </w:rPr>
  </w:style>
  <w:style w:type="paragraph" w:styleId="Title">
    <w:name w:val="Title"/>
    <w:basedOn w:val="Normal"/>
    <w:qFormat/>
    <w:rsid w:val="002551F3"/>
    <w:pPr>
      <w:spacing w:before="480" w:after="60"/>
      <w:ind w:left="567" w:right="567"/>
      <w:jc w:val="center"/>
      <w:outlineLvl w:val="0"/>
    </w:pPr>
    <w:rPr>
      <w:rFonts w:cs="B Mitra"/>
      <w:b/>
      <w:bCs/>
      <w:kern w:val="28"/>
      <w:sz w:val="34"/>
      <w:szCs w:val="36"/>
    </w:rPr>
  </w:style>
  <w:style w:type="paragraph" w:customStyle="1" w:styleId="ENauthor">
    <w:name w:val="ENauthor"/>
    <w:basedOn w:val="Author"/>
    <w:rsid w:val="007355B0"/>
    <w:pPr>
      <w:bidi w:val="0"/>
    </w:pPr>
  </w:style>
  <w:style w:type="paragraph" w:customStyle="1" w:styleId="ENtitle">
    <w:name w:val="ENtitle"/>
    <w:basedOn w:val="Title"/>
    <w:rsid w:val="00477A93"/>
    <w:pPr>
      <w:bidi w:val="0"/>
    </w:pPr>
  </w:style>
  <w:style w:type="paragraph" w:customStyle="1" w:styleId="ENheading0">
    <w:name w:val="ENheading 0"/>
    <w:basedOn w:val="Heading0"/>
    <w:rsid w:val="00134DD0"/>
    <w:pPr>
      <w:bidi w:val="0"/>
    </w:pPr>
  </w:style>
  <w:style w:type="paragraph" w:customStyle="1" w:styleId="ENabstract">
    <w:name w:val="ENabstract"/>
    <w:basedOn w:val="Abstract"/>
    <w:rsid w:val="00134DD0"/>
    <w:pPr>
      <w:bidi w:val="0"/>
    </w:pPr>
  </w:style>
  <w:style w:type="paragraph" w:customStyle="1" w:styleId="ENabrstract2">
    <w:name w:val="ENabrstract2"/>
    <w:basedOn w:val="Abstract2"/>
    <w:rsid w:val="004360CD"/>
    <w:pPr>
      <w:bidi w:val="0"/>
    </w:pPr>
  </w:style>
  <w:style w:type="paragraph" w:styleId="FootnoteText">
    <w:name w:val="footnote text"/>
    <w:basedOn w:val="Normal"/>
    <w:semiHidden/>
    <w:rsid w:val="00F66502"/>
    <w:pPr>
      <w:jc w:val="both"/>
    </w:pPr>
    <w:rPr>
      <w:sz w:val="18"/>
      <w:szCs w:val="20"/>
    </w:rPr>
  </w:style>
  <w:style w:type="character" w:styleId="FootnoteReference">
    <w:name w:val="footnote reference"/>
    <w:semiHidden/>
    <w:rsid w:val="00395861"/>
    <w:rPr>
      <w:rFonts w:cs="Nazanin"/>
      <w:vertAlign w:val="superscript"/>
      <w:lang w:bidi="fa-IR"/>
    </w:rPr>
  </w:style>
  <w:style w:type="paragraph" w:customStyle="1" w:styleId="BulletedText">
    <w:name w:val="Bulleted Text"/>
    <w:basedOn w:val="Text1"/>
    <w:rsid w:val="002C23C8"/>
    <w:pPr>
      <w:numPr>
        <w:numId w:val="18"/>
      </w:numPr>
    </w:pPr>
  </w:style>
  <w:style w:type="paragraph" w:customStyle="1" w:styleId="FigureCaption">
    <w:name w:val="Figure Caption"/>
    <w:basedOn w:val="Normal"/>
    <w:rsid w:val="002C23C8"/>
    <w:pPr>
      <w:jc w:val="center"/>
    </w:pPr>
    <w:rPr>
      <w:rFonts w:cs="B Mitra"/>
      <w:b/>
      <w:bCs/>
      <w:sz w:val="18"/>
      <w:szCs w:val="20"/>
    </w:rPr>
  </w:style>
  <w:style w:type="paragraph" w:styleId="Caption">
    <w:name w:val="caption"/>
    <w:basedOn w:val="Normal"/>
    <w:next w:val="Normal"/>
    <w:qFormat/>
    <w:rsid w:val="00382679"/>
    <w:pPr>
      <w:keepLines/>
      <w:widowControl w:val="0"/>
      <w:spacing w:before="60" w:after="60" w:line="228" w:lineRule="auto"/>
      <w:jc w:val="center"/>
    </w:pPr>
    <w:rPr>
      <w:rFonts w:cs="Yagut"/>
      <w:bCs/>
      <w:sz w:val="17"/>
      <w:szCs w:val="20"/>
      <w:lang w:bidi="ar-SA"/>
    </w:rPr>
  </w:style>
  <w:style w:type="paragraph" w:customStyle="1" w:styleId="Equation">
    <w:name w:val="Equation"/>
    <w:next w:val="Normal"/>
    <w:rsid w:val="006E0E21"/>
    <w:pPr>
      <w:spacing w:before="60" w:after="60"/>
      <w:ind w:left="170" w:hanging="170"/>
    </w:pPr>
    <w:rPr>
      <w:rFonts w:cs="Nazanin"/>
      <w:szCs w:val="22"/>
    </w:rPr>
  </w:style>
  <w:style w:type="paragraph" w:customStyle="1" w:styleId="REF">
    <w:name w:val="REF"/>
    <w:basedOn w:val="Normal"/>
    <w:rsid w:val="002C23C8"/>
    <w:pPr>
      <w:numPr>
        <w:numId w:val="33"/>
      </w:numPr>
      <w:jc w:val="both"/>
    </w:pPr>
    <w:rPr>
      <w:rFonts w:cs="B Mitra"/>
      <w:sz w:val="18"/>
      <w:szCs w:val="20"/>
    </w:rPr>
  </w:style>
  <w:style w:type="paragraph" w:customStyle="1" w:styleId="ENREF">
    <w:name w:val="EN_REF"/>
    <w:basedOn w:val="REF"/>
    <w:rsid w:val="002C23C8"/>
    <w:pPr>
      <w:bidi w:val="0"/>
    </w:pPr>
  </w:style>
  <w:style w:type="paragraph" w:customStyle="1" w:styleId="FigureText">
    <w:name w:val="Figure Text"/>
    <w:basedOn w:val="Normal"/>
    <w:rsid w:val="002C23C8"/>
    <w:pPr>
      <w:jc w:val="center"/>
    </w:pPr>
    <w:rPr>
      <w:rFonts w:cs="B Mitra"/>
      <w:sz w:val="16"/>
      <w:szCs w:val="18"/>
    </w:rPr>
  </w:style>
  <w:style w:type="paragraph" w:styleId="EndnoteText">
    <w:name w:val="endnote text"/>
    <w:basedOn w:val="Normal"/>
    <w:semiHidden/>
    <w:rsid w:val="007B0498"/>
    <w:pPr>
      <w:widowControl w:val="0"/>
      <w:spacing w:line="240" w:lineRule="exact"/>
      <w:ind w:firstLine="284"/>
      <w:jc w:val="both"/>
    </w:pPr>
    <w:rPr>
      <w:rFonts w:cs="Yagut"/>
      <w:sz w:val="20"/>
      <w:szCs w:val="22"/>
      <w:lang w:bidi="ar-SA"/>
    </w:rPr>
  </w:style>
  <w:style w:type="character" w:styleId="EndnoteReference">
    <w:name w:val="endnote reference"/>
    <w:semiHidden/>
    <w:rsid w:val="007B0498"/>
    <w:rPr>
      <w:szCs w:val="18"/>
      <w:vertAlign w:val="superscript"/>
    </w:rPr>
  </w:style>
  <w:style w:type="character" w:styleId="Hyperlink">
    <w:name w:val="Hyperlink"/>
    <w:rsid w:val="00D21696"/>
    <w:rPr>
      <w:color w:val="0000FF"/>
      <w:u w:val="single"/>
    </w:rPr>
  </w:style>
  <w:style w:type="paragraph" w:styleId="Date">
    <w:name w:val="Date"/>
    <w:basedOn w:val="Normal"/>
    <w:next w:val="Normal"/>
    <w:link w:val="DateChar"/>
    <w:rsid w:val="00B96167"/>
    <w:pPr>
      <w:bidi w:val="0"/>
    </w:pPr>
    <w:rPr>
      <w:rFonts w:eastAsia="Times New Roman" w:cs="Times New Roman"/>
      <w:lang w:bidi="ar-SA"/>
    </w:rPr>
  </w:style>
  <w:style w:type="character" w:customStyle="1" w:styleId="DateChar">
    <w:name w:val="Date Char"/>
    <w:link w:val="Date"/>
    <w:rsid w:val="00B96167"/>
    <w:rPr>
      <w:rFonts w:eastAsia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A90B2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90B2C"/>
    <w:rPr>
      <w:rFonts w:ascii="Tahoma" w:hAnsi="Tahoma" w:cs="Tahoma"/>
      <w:sz w:val="16"/>
      <w:szCs w:val="16"/>
      <w:lang w:bidi="fa-IR"/>
    </w:rPr>
  </w:style>
  <w:style w:type="paragraph" w:styleId="Header">
    <w:name w:val="header"/>
    <w:basedOn w:val="Normal"/>
    <w:link w:val="HeaderChar"/>
    <w:rsid w:val="00E118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E118FE"/>
    <w:rPr>
      <w:rFonts w:cs="Nazanin"/>
      <w:sz w:val="24"/>
      <w:szCs w:val="24"/>
      <w:lang w:bidi="fa-IR"/>
    </w:rPr>
  </w:style>
  <w:style w:type="paragraph" w:styleId="Footer">
    <w:name w:val="footer"/>
    <w:basedOn w:val="Normal"/>
    <w:link w:val="FooterChar"/>
    <w:rsid w:val="00E118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E118FE"/>
    <w:rPr>
      <w:rFonts w:cs="Nazanin"/>
      <w:sz w:val="24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wmf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://www.omg.org/cgi-bin/doc?ptc/2003-08-02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3.w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wmf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F3FB93D6-1A32-407D-91CD-BA57B5C219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2664</Words>
  <Characters>15190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الگوي تهيه مقالات</vt:lpstr>
    </vt:vector>
  </TitlesOfParts>
  <Company>دبیرخانه هشتمین کنفرانس بین‌المللی انجمن رمز ایران</Company>
  <LinksUpToDate>false</LinksUpToDate>
  <CharactersWithSpaces>17819</CharactersWithSpaces>
  <SharedDoc>false</SharedDoc>
  <HLinks>
    <vt:vector size="6" baseType="variant">
      <vt:variant>
        <vt:i4>1966167</vt:i4>
      </vt:variant>
      <vt:variant>
        <vt:i4>15</vt:i4>
      </vt:variant>
      <vt:variant>
        <vt:i4>0</vt:i4>
      </vt:variant>
      <vt:variant>
        <vt:i4>5</vt:i4>
      </vt:variant>
      <vt:variant>
        <vt:lpwstr>http://www.omg.org/cgi-bin/doc?ptc/2003-08-02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الگوي تهيه مقالات</dc:title>
  <dc:subject/>
  <dc:creator>CSICC 2015</dc:creator>
  <cp:keywords/>
  <cp:lastModifiedBy>saeed aliakbari</cp:lastModifiedBy>
  <cp:revision>2</cp:revision>
  <cp:lastPrinted>2026-07-18T18:46:00Z</cp:lastPrinted>
  <dcterms:created xsi:type="dcterms:W3CDTF">2026-10-04T06:03:00Z</dcterms:created>
  <dcterms:modified xsi:type="dcterms:W3CDTF">2026-10-04T06:03:00Z</dcterms:modified>
</cp:coreProperties>
</file>