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sz w:val="30"/>
        </w:rPr>
        <w:t>A Temporal Graph AI Framework for Peer-Relative Merchant Opportunity Ranking in Payment Networks</w:t>
      </w:r>
    </w:p>
    <w:p>
      <w:pPr>
        <w:spacing w:after="180"/>
        <w:jc w:val="center"/>
      </w:pPr>
      <w:r>
        <w:rPr>
          <w:b/>
          <w:sz w:val="19"/>
        </w:rPr>
        <w:t>Saeed Aliakbari*¹ and Saeed Shahsavan²</w:t>
        <w:br/>
      </w:r>
      <w:r>
        <w:rPr>
          <w:i/>
          <w:sz w:val="17"/>
        </w:rPr>
        <w:t>¹Business Intelligence Specialist, Rayamate Inc., Tehran, Iran (Corresponding Author: saeed.aliakbari@rayamate.ir)</w:t>
        <w:br/>
        <w:t>²Software Architect, Rayamate Inc., Tehran, Iran (saeed.shahsavan@rayamate.ir)</w:t>
      </w:r>
    </w:p>
    <w:p>
      <w:pPr>
        <w:sectPr>
          <w:pgSz w:w="11906" w:h="16838"/>
          <w:pgMar w:top="1077" w:right="896" w:bottom="1440" w:left="896" w:header="720" w:footer="720" w:gutter="0"/>
          <w:cols w:space="720" w:num="1"/>
          <w:docGrid w:linePitch="360"/>
        </w:sectPr>
      </w:pPr>
    </w:p>
    <w:p>
      <w:pPr>
        <w:spacing w:before="20" w:after="60" w:line="242" w:lineRule="auto"/>
        <w:jc w:val="both"/>
      </w:pPr>
      <w:r>
        <w:rPr>
          <w:b/>
          <w:sz w:val="17"/>
        </w:rPr>
        <w:t>Abstract—</w:t>
      </w:r>
      <w:r>
        <w:rPr>
          <w:sz w:val="17"/>
        </w:rPr>
        <w:t>Payment service providers, acquiring banks, and card clearing switches process massive volumes of transactional records across electronic payment terminals daily. Traditional merchant intelligence relies predominantly on static tabular heuristics or aggregate volume ranking, which prioritize established high-volume merchants while remaining topologically blind to relational network dynamics. Crucially, acquiring institutions face a pressing operational need: identifying merchants who, relative to their structural peers, underperform in expected transaction volume under observational ledgers and thus represent prime candidates for transaction-boosting marketing campaigns. We propose HAMTA, an end-to-end merchant-centric Temporal Graph AI framework formulated under a dual-component decision architecture: pairing a relational opportunity ranking engine with operational business safeguards, including one-sided prediction intervals and graph evidence shrinkage, to prevent ungrounded campaign spend. Operating strictly on five standard transactional fields without external covariates, HAMTA models transactional flows as a discrete-snapshot temporal bipartite card-merchant graph. Candidate peer structures are induced through co-visiting customer overlap, business category compatibility, and discrete Forman-Ricci curvature. A temporal graph attention model trained under a chronology-preserving protocol forecasts transaction counts under a Negative Binomial likelihood, coupled with one-sided empirical prediction interval calibration to establish conservative natural performance bounds. We formalize the M-GATO score, integrating graph support evidence with relative performance gaps against robust peer benchmarks. Evaluated on a synthetic 90-day transaction stream spanning 35,000 transactions, 350 merchants, and 1,480 payment cards across 8 business categories over 10 random seeds, HAMTA achieves a forecasting mean absolute error of 4.48 transactions and delivers campaign targeting precision of 36.6 percent at top-35 selection, achieving a 2.51-fold improvement over random expectation and establishing an operational, treatment-label-free foundation for merchant acquiring portfolio intelligence.</w:t>
      </w:r>
    </w:p>
    <w:p>
      <w:pPr>
        <w:spacing w:after="120" w:line="242" w:lineRule="auto"/>
        <w:jc w:val="both"/>
      </w:pPr>
      <w:r>
        <w:rPr>
          <w:b/>
          <w:i/>
          <w:sz w:val="17"/>
        </w:rPr>
        <w:t>Keywords—</w:t>
      </w:r>
      <w:r>
        <w:rPr>
          <w:sz w:val="17"/>
        </w:rPr>
        <w:t>Payment Systems, Temporal Graph Neural Networks, Merchant Intelligence, Campaign Targeting, Temporal Prediction Intervals, Peer Benchmarking, Forman-Ricci Curvature, FinTech.</w:t>
      </w:r>
    </w:p>
    <w:p>
      <w:pPr>
        <w:keepNext/>
        <w:spacing w:before="100" w:after="20"/>
        <w:jc w:val="center"/>
      </w:pPr>
      <w:r>
        <w:rPr>
          <w:b/>
          <w:sz w:val="17"/>
        </w:rPr>
        <w:t>I. INTRODUCTION</w:t>
      </w:r>
    </w:p>
    <w:p>
      <w:pPr>
        <w:spacing w:after="30" w:line="235" w:lineRule="auto"/>
        <w:ind w:firstLine="202"/>
        <w:jc w:val="both"/>
      </w:pPr>
      <w:r>
        <w:rPr>
          <w:sz w:val="16"/>
        </w:rPr>
        <w:t>Commercial card payment networks, merchant acquirers, and interbank clearing switches process hundreds of millions of retail transactions daily [1], [2]. Historically, commercial portfolio management in acquiring institutions has focused heavily on retrospective volume aggregations—such as Recency, Frequency, and Monetary (RFM) scoring [3]—or gross payment volume (GPV) leaderboards. However, conventional heuristics conflate three fundamentally distinct operational concepts: Lowest Absolute Volume ≠ Peer-Relative Underperformance ≠ Campaign Growth Opportunity. For example, consider Merchant A with 50 transactions whose peers within the same business category and shared-customer interaction neighborhood also average 50 transactions: Merchant A is operating at natural baseline. Conversely, consider Merchant B with 100 transactions whose structural peers achieve 180 transactions: Merchant B exhibits a genuine peer-relative capability gap. Our objective is not to find merchants with the lowest absolute volume, but rather to identify merchants who, relative to their structural peers, perform below expected capacity under observational transaction streams.</w:t>
      </w:r>
    </w:p>
    <w:p>
      <w:pPr>
        <w:spacing w:after="30" w:line="235" w:lineRule="auto"/>
        <w:ind w:firstLine="202"/>
        <w:jc w:val="both"/>
      </w:pPr>
      <w:r>
        <w:rPr>
          <w:sz w:val="16"/>
        </w:rPr>
        <w:t>Identifying these underperforming yet high-potential merchants is vital for transaction-growth marketing campaigns (e.g., promotional fee discounts, merchant working-capital advances, POS terminal upgrades, or co-branded customer loyalty incentives). Formulating this problem introduces four core methodological challenges: (1) Relational Blindness: tabular heuristics treat merchant establishments as isolated rows, discarding bipartite co-spending networks; (2) Count Overdispersion: merchant transaction frequencies exhibit extreme variance (Var(Y) &gt; E[Y]) that standard Gaussian regression fails to capture; (3) Misalignment of Forecasting vs. Opportunity Discovery: standard time-series forecasting merely projects inertia, failing to assess whether an underperforming merchant has peer-validated capacity to expand; and (4) Strict Data Minimization: models must function strictly on five observational transaction fields: Masked Card Identifier (pan), Monetary Amount (amount), Merchant Identifier (merchant_id), Timestamp (create_date), and Business Category (cast_name).</w:t>
      </w:r>
    </w:p>
    <w:p>
      <w:pPr>
        <w:spacing w:after="30" w:line="235" w:lineRule="auto"/>
        <w:ind w:firstLine="202"/>
        <w:jc w:val="both"/>
      </w:pPr>
      <w:r>
        <w:rPr>
          <w:sz w:val="16"/>
        </w:rPr>
        <w:t>To resolve these challenges, this paper presents HAMTA, an end-to-end merchant-centric Temporal Graph AI architecture formulated as a three-layer decision framework: a Relational Opportunity Ranking Engine, Operational Decision Safeguards, and Structural Topological Refinement. HAMTA establishes a fundamental paradigm shift: cards serve strictly as topological bridges to construct a dynamic bipartite customer-merchant graph, from which Top-K merchant peer structures are induced. Crucially, the primary objective of HAMTA is Opportunity Ranking &amp; Prioritization under observational transaction streams, NOT one-step point forecasting error minimization. Univariate statistical smoothers like ETS can achieve lower point forecast error on stationary series, but are topologically blind and incapable of identifying peer gaps. HAMTA combines temporal graph representation learning with discrete Riemannian curvature [4]–[7] and one-sided temporal prediction intervals [8] to separate expected natural performance from conservative peer benchmarks. We formalize the M-GATO metric to prioritize merchants for marketing campaigns.</w:t>
      </w:r>
    </w:p>
    <w:p>
      <w:pPr>
        <w:spacing w:after="30" w:line="235" w:lineRule="auto"/>
        <w:ind w:firstLine="202"/>
        <w:jc w:val="both"/>
      </w:pPr>
      <w:r>
        <w:rPr>
          <w:sz w:val="16"/>
        </w:rPr>
        <w:t>Scope &amp; Novelty Positioning: In payment marketing literature, Liu et al. (CIKM 2019) [9] formulated graph representation learning for merchant incentive optimization on Alipay, optimizing promotional coupon subsidies in a supervised uplift setting with historical campaign response logs. In contrast, acquiring banks and PSP switches in typical payment networks lack historical campaign logs and counterfactual treatment assignments. While prior works like Liu et al. [9] rely on supervised intervention logs, HAMTA introduces a treatment-label-free peer-relative opportunity formulation based on a temporal transaction graph, a natural forecast bound, and conservative graph-weighted peer benchmarking: unifying (1) peer-relative opportunity discovery, (2) temporal graph count forecasting, (3) calibrated one-sided prediction intervals, and (4) graph-support shrinkage into a coherent prioritization framework without requiring historical campaign treatment labels.</w:t>
      </w:r>
    </w:p>
    <w:p>
      <w:pPr>
        <w:keepNext/>
        <w:spacing w:before="100" w:after="20"/>
        <w:jc w:val="center"/>
      </w:pPr>
      <w:r>
        <w:rPr>
          <w:b/>
          <w:sz w:val="17"/>
        </w:rPr>
        <w:t>II. RELATED WORK</w:t>
      </w:r>
    </w:p>
    <w:p>
      <w:pPr>
        <w:keepNext/>
        <w:spacing w:before="70" w:after="20"/>
        <w:jc w:val="left"/>
      </w:pPr>
      <w:r>
        <w:rPr>
          <w:i/>
          <w:sz w:val="16"/>
        </w:rPr>
        <w:t>A. Graph Neural Networks in Finance</w:t>
      </w:r>
    </w:p>
    <w:p>
      <w:pPr>
        <w:spacing w:after="30" w:line="235" w:lineRule="auto"/>
        <w:ind w:firstLine="202"/>
        <w:jc w:val="both"/>
      </w:pPr>
      <w:r>
        <w:rPr>
          <w:sz w:val="16"/>
        </w:rPr>
        <w:t>Graph Neural Networks (GNNs) have shown substantial success in financial forensics, anti-money laundering (AML), and fraud detection [9]–[11]. Architectures like GAT [12] and GraphSAGE [13] model entities as nodes and transactions as edges. Foundational formulations such as variational graph auto-encoders [14] and inductive representation learning on transaction networks [15] have expanded topological embedding. In merchant marketing, Liu et al. [9] formulated merchant networks for incentive allocation; however, their model relies on historical promotional logs. Standard acquiring switches operate strictly on observational ledgers, requiring topological peer discovery without campaign treatment labels.</w:t>
      </w:r>
    </w:p>
    <w:p>
      <w:pPr>
        <w:keepNext/>
        <w:spacing w:before="70" w:after="20"/>
        <w:jc w:val="left"/>
      </w:pPr>
      <w:r>
        <w:rPr>
          <w:i/>
          <w:sz w:val="16"/>
        </w:rPr>
        <w:t>B. Temporal Graph Learning</w:t>
      </w:r>
    </w:p>
    <w:p>
      <w:pPr>
        <w:spacing w:after="30" w:line="235" w:lineRule="auto"/>
        <w:ind w:firstLine="202"/>
        <w:jc w:val="both"/>
      </w:pPr>
      <w:r>
        <w:rPr>
          <w:sz w:val="16"/>
        </w:rPr>
        <w:t>Dynamic transaction networks require continuous-time or discrete-snapshot representation learning. Frameworks such as TGAT [16], TGN [17], and EvolveGCN [18], alongside recent dynamic graph surveys [19], encode temporal event streams using attention mechanisms and recurrent state updates. These models support temporal representation learning and are trained under chronology-preserving protocols that prevent look-ahead leakage.</w:t>
      </w:r>
    </w:p>
    <w:p>
      <w:pPr>
        <w:keepNext/>
        <w:spacing w:before="70" w:after="20"/>
        <w:jc w:val="left"/>
      </w:pPr>
      <w:r>
        <w:rPr>
          <w:i/>
          <w:sz w:val="16"/>
        </w:rPr>
        <w:t>C. Financial Topologies and Curvature</w:t>
      </w:r>
    </w:p>
    <w:p>
      <w:pPr>
        <w:spacing w:after="30" w:line="235" w:lineRule="auto"/>
        <w:ind w:firstLine="202"/>
        <w:jc w:val="both"/>
      </w:pPr>
      <w:r>
        <w:rPr>
          <w:sz w:val="16"/>
        </w:rPr>
        <w:t>Transaction graphs frequently exhibit community bottlenecks and degree skewness [20], [21]. In geometric deep learning, discrete Riemannian curvatures—notably Forman-Ricci curvature [4], [5]—quantify edge bridging properties and mitigate over-squashing in graph neural networks [6], [7], [22], providing natural structural priors for transaction networks.</w:t>
      </w:r>
    </w:p>
    <w:p>
      <w:pPr>
        <w:keepNext/>
        <w:spacing w:before="70" w:after="20"/>
        <w:jc w:val="left"/>
      </w:pPr>
      <w:r>
        <w:rPr>
          <w:i/>
          <w:sz w:val="16"/>
        </w:rPr>
        <w:t>D. Uncertainty &amp; Prediction Interval Calibration</w:t>
      </w:r>
    </w:p>
    <w:p>
      <w:pPr>
        <w:spacing w:after="30" w:line="235" w:lineRule="auto"/>
        <w:ind w:firstLine="202"/>
        <w:jc w:val="both"/>
      </w:pPr>
      <w:r>
        <w:rPr>
          <w:sz w:val="16"/>
        </w:rPr>
        <w:t>Point forecasts fail to separate structural capability from natural noise. Prediction interval calibration [8] and one-sided temporal prediction-interval calibration for temporal graphs [23] provide empirical uncertainty intervals based on historical residuals, ensuring that random temporal dips are not falsely identified as commercial expansion opportunities. Our interval procedure is empirical one-sided temporal calibration rather than a theoretical non-exchangeable conformal guarantee.</w:t>
      </w:r>
    </w:p>
    <w:p>
      <w:pPr>
        <w:keepNext/>
        <w:spacing w:before="70" w:after="20"/>
        <w:jc w:val="left"/>
      </w:pPr>
      <w:r>
        <w:rPr>
          <w:i/>
          <w:sz w:val="16"/>
        </w:rPr>
        <w:t>E. Peer Benchmarking &amp; Frontier Analysis</w:t>
      </w:r>
    </w:p>
    <w:p>
      <w:pPr>
        <w:spacing w:after="30" w:line="235" w:lineRule="auto"/>
        <w:ind w:firstLine="202"/>
        <w:jc w:val="both"/>
      </w:pPr>
      <w:r>
        <w:rPr>
          <w:sz w:val="16"/>
        </w:rPr>
        <w:t>In economic modeling, Stochastic Frontier Analysis (SFA) evaluates an entity's operational efficiency relative to an empirical best-practice frontier [24]. In retail payment ecosystems, merchant performance must be evaluated not against global maxima, but against topological peers sharing overlapping customer interaction neighborhoods.</w:t>
      </w:r>
    </w:p>
    <w:p>
      <w:pPr>
        <w:keepNext/>
        <w:spacing w:before="70" w:after="20"/>
        <w:jc w:val="left"/>
      </w:pPr>
      <w:r>
        <w:rPr>
          <w:i/>
          <w:sz w:val="16"/>
        </w:rPr>
        <w:t>F. Discrete Count Models in Retail Payments</w:t>
      </w:r>
    </w:p>
    <w:p>
      <w:pPr>
        <w:spacing w:after="30" w:line="235" w:lineRule="auto"/>
        <w:ind w:firstLine="202"/>
        <w:jc w:val="both"/>
      </w:pPr>
      <w:r>
        <w:rPr>
          <w:sz w:val="16"/>
        </w:rPr>
        <w:t>Retail transaction counts exhibit non-negative integer support and overdispersion (Var(Y) &gt; E[Y]). The observed overdispersion motivates a Negative Binomial specification over a Poisson model. Discrete count modeling under a Negative Binomial distribution [25] provides a principled likelihood that accounts for quadratic variance scaling without variance collapse.</w:t>
      </w:r>
    </w:p>
    <w:p>
      <w:pPr>
        <w:keepNext/>
        <w:spacing w:before="100" w:after="20"/>
        <w:jc w:val="center"/>
      </w:pPr>
      <w:r>
        <w:rPr>
          <w:b/>
          <w:sz w:val="17"/>
        </w:rPr>
        <w:t>III. PROPOSED METHOD (HAMTA FRAMEWORK)</w:t>
      </w:r>
    </w:p>
    <w:p>
      <w:pPr>
        <w:spacing w:after="30" w:line="235" w:lineRule="auto"/>
        <w:ind w:firstLine="202"/>
        <w:jc w:val="both"/>
      </w:pPr>
      <w:r>
        <w:rPr>
          <w:sz w:val="16"/>
        </w:rPr>
        <w:t>The HAMTA framework comprises four operational stages: stream ingestion &amp; bipartite graph construction, Top-K merchant peer graph induction, temporal graph count forecasting with empirical calibration, and M-GATO campaign prioritization (Fig. 1).</w:t>
      </w:r>
    </w:p>
    <w:p>
      <w:pPr>
        <w:keepNext/>
        <w:spacing w:before="50" w:after="20"/>
        <w:jc w:val="center"/>
      </w:pPr>
      <w:r>
        <w:drawing>
          <wp:inline xmlns:a="http://schemas.openxmlformats.org/drawingml/2006/main" xmlns:pic="http://schemas.openxmlformats.org/drawingml/2006/picture">
            <wp:extent cx="2834640" cy="1123641"/>
            <wp:docPr id="1" name="Picture 1"/>
            <wp:cNvGraphicFramePr>
              <a:graphicFrameLocks noChangeAspect="1"/>
            </wp:cNvGraphicFramePr>
            <a:graphic>
              <a:graphicData uri="http://schemas.openxmlformats.org/drawingml/2006/picture">
                <pic:pic>
                  <pic:nvPicPr>
                    <pic:cNvPr id="0" name="fig1_framework_architecture.png"/>
                    <pic:cNvPicPr/>
                  </pic:nvPicPr>
                  <pic:blipFill>
                    <a:blip r:embed="rId9"/>
                    <a:stretch>
                      <a:fillRect/>
                    </a:stretch>
                  </pic:blipFill>
                  <pic:spPr>
                    <a:xfrm>
                      <a:off x="0" y="0"/>
                      <a:ext cx="2834640" cy="1123641"/>
                    </a:xfrm>
                    <a:prstGeom prst="rect"/>
                  </pic:spPr>
                </pic:pic>
              </a:graphicData>
            </a:graphic>
          </wp:inline>
        </w:drawing>
      </w:r>
    </w:p>
    <w:p>
      <w:pPr>
        <w:spacing w:after="50"/>
        <w:jc w:val="both"/>
      </w:pPr>
      <w:r>
        <w:rPr>
          <w:i/>
          <w:sz w:val="14"/>
        </w:rPr>
        <w:t>Fig. 1. End-to-end architectural pipeline of the HAMTA framework for merchant opportunity discovery and campaign targeting.</w:t>
      </w:r>
    </w:p>
    <w:p>
      <w:pPr>
        <w:keepNext/>
        <w:spacing w:before="70" w:after="20"/>
        <w:jc w:val="left"/>
      </w:pPr>
      <w:r>
        <w:rPr>
          <w:i/>
          <w:sz w:val="16"/>
        </w:rPr>
        <w:t>A. Problem Formulation &amp; Ledger Schema</w:t>
      </w:r>
    </w:p>
    <w:p>
      <w:pPr>
        <w:spacing w:after="30" w:line="235" w:lineRule="auto"/>
        <w:ind w:firstLine="202"/>
        <w:jc w:val="both"/>
      </w:pPr>
      <w:r>
        <w:rPr>
          <w:sz w:val="16"/>
        </w:rPr>
        <w:t>Let the transaction stream be formalized as an append-only ledger L = {e_1, e_2, ..., e_N}. Each transaction event e_k is strictly defined by the 5-tuple: e_k = (pan_k, amount_k, merchant_id_k, create_date_k, cast_name_k), where pan represents the masked card token, amount is monetary volume, merchant_id is the unique merchant identifier provided by the PSP ledger, create_date is the timestamp, and cast_name is the business category (e.g., Supermarkets, Restaurants, Apparel, Electronics, Medical Clinics, Travel Agencies, Gold &amp; Jewelry, Industrial Wholesale). From these five raw fields, HAMTA constructs a 16-dimensional merchant node feature vector x_{m, t} ∈ ℝ¹⁶ without external covariates: (1–4) Temporal volume lags and peer momentum: log transaction count at t-1, t-2, t-3, and peer-neighborhood mean lag; (5–7) Monetary scale aggregations from transaction amount: log monetary volume log(1 + ∑ amount), mean transaction size, and amount standard deviation; (8) Customer interaction breadth: number of distinct masked card identifiers |C_{m, t}|; and (9–16) Business category one-hot categorical encoding across the 8 retail guilds. The feature pipeline follows a strict causal dependency graph: Raw 5 Fields → Historical Peer Graph G_{&lt;=t} → Peer Lag Aggregation → Temporal GNN at time t, strictly avoiding forward leakage. Transaction amount is used as a contextual merchant-scale feature in forecasting. The objective is defined at the merchant level: for each merchant m in M, forecast future transaction count Y_{m, t+1} in ℕ_0 for period t+1, and evaluate its structural opportunity against peer benchmark B^G_{m, t+1}.</w:t>
      </w:r>
    </w:p>
    <w:p>
      <w:pPr>
        <w:keepNext/>
        <w:spacing w:before="70" w:after="20"/>
        <w:jc w:val="left"/>
      </w:pPr>
      <w:r>
        <w:rPr>
          <w:i/>
          <w:sz w:val="16"/>
        </w:rPr>
        <w:t>B. Temporal Bipartite Card–Merchant Graph</w:t>
      </w:r>
    </w:p>
    <w:p>
      <w:pPr>
        <w:spacing w:after="30" w:line="235" w:lineRule="auto"/>
        <w:ind w:firstLine="202"/>
        <w:jc w:val="both"/>
      </w:pPr>
      <w:r>
        <w:rPr>
          <w:sz w:val="16"/>
        </w:rPr>
        <w:t>Within observation window t, interactions form a discrete-snapshot bipartite graph G^(B)_t = (C_t, M_t, E_t). A binary interaction edge exists if card c transacted at least once at merchant m in window t (edges are binary to focus on topological co-visitation structure rather than volume). Cards function strictly as relational bridges connecting merchant establishments, preserving cardholder anonymity while capturing mutual shared-customer interaction neighborhoods.</w:t>
      </w:r>
    </w:p>
    <w:p>
      <w:pPr>
        <w:keepNext/>
        <w:spacing w:before="70" w:after="20"/>
        <w:jc w:val="left"/>
      </w:pPr>
      <w:r>
        <w:rPr>
          <w:i/>
          <w:sz w:val="16"/>
        </w:rPr>
        <w:t>C. Top-K Merchant Peer Graph &amp; Curvature</w:t>
      </w:r>
    </w:p>
    <w:p>
      <w:pPr>
        <w:spacing w:after="30" w:line="235" w:lineRule="auto"/>
        <w:ind w:firstLine="202"/>
        <w:jc w:val="both"/>
      </w:pPr>
      <w:r>
        <w:rPr>
          <w:sz w:val="16"/>
        </w:rPr>
        <w:t>To avoid dense O(|M|^2) comparisons, HAMTA employs an inverted bipartite card index to generate candidate peers. An inverted map I(c) retrieves all merchants visited by card c in historical windows. For target merchant m, candidate peers are gathered from the 2-hop bipartite neighborhood C(m) = ⋃_{c ∈ C_m} I(c) \ {m} in O(|C_m| · d_card). Similarity between candidate merchants m and j is computed as: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57"/>
        <w:gridCol w:w="5057"/>
      </w:tblGrid>
      <w:tr>
        <w:tc>
          <w:tcPr>
            <w:tcW w:type="dxa" w:w="4248"/>
            <w:tcMar>
              <w:top w:w="6" w:type="dxa"/>
              <w:bottom w:w="6" w:type="dxa"/>
              <w:left w:w="0" w:type="dxa"/>
              <w:right w:w="0" w:type="dxa"/>
            </w:tcMar>
          </w:tcPr>
          <w:p>
            <w:pPr>
              <w:spacing w:before="10" w:after="10"/>
              <w:jc w:val="center"/>
            </w:pPr>
            <w:r>
              <w:rPr>
                <w:rFonts w:ascii="Times New Roman" w:hAnsi="Times New Roman"/>
                <w:i/>
                <w:sz w:val="15"/>
              </w:rPr>
              <w:t>S(m, j) = λ · S_covisit(m, j) + (1 - λ) · S_category(m, j)</w:t>
            </w:r>
          </w:p>
        </w:tc>
        <w:tc>
          <w:tcPr>
            <w:tcW w:type="dxa" w:w="504"/>
            <w:tcMar>
              <w:top w:w="6" w:type="dxa"/>
              <w:bottom w:w="6" w:type="dxa"/>
              <w:left w:w="0" w:type="dxa"/>
              <w:right w:w="0" w:type="dxa"/>
            </w:tcMar>
          </w:tcPr>
          <w:p>
            <w:pPr>
              <w:spacing w:before="10" w:after="10"/>
              <w:jc w:val="right"/>
            </w:pPr>
            <w:r>
              <w:rPr>
                <w:rFonts w:ascii="Times New Roman" w:hAnsi="Times New Roman"/>
                <w:sz w:val="15"/>
              </w:rPr>
              <w:t>(1)</w:t>
            </w:r>
          </w:p>
        </w:tc>
      </w:tr>
    </w:tbl>
    <w:p>
      <w:pPr>
        <w:spacing w:after="30" w:line="235" w:lineRule="auto"/>
        <w:ind w:firstLine="202"/>
        <w:jc w:val="both"/>
      </w:pPr>
      <w:r>
        <w:rPr>
          <w:sz w:val="16"/>
        </w:rPr>
        <w:t>where S_covisit is the cosine similarity of card interaction incidence vectors v_m, v_j ∈ {0, 1}^{|C|}, S_category is business category match (cast_name), and λ = 0.65 is calibrated on historical validation data. A max-heap extracts the Top-K peers (K=6) in O(|C(m)| log K), scaling globally as O(|M| · K · d_avg). Because Top-K peer selection is directed, the peer graph is symmetrized prior to curvature computation: G_peer = Top-K ∪ Top-K^T. Crucially, curvature is computed on the symmetrized peer graph. On G_peer, normalized augmented Forman-Ricci score used in this study, F(m, j), is computed using the augmented formulation [4], [5]: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57"/>
        <w:gridCol w:w="5057"/>
      </w:tblGrid>
      <w:tr>
        <w:tc>
          <w:tcPr>
            <w:tcW w:type="dxa" w:w="4248"/>
            <w:tcMar>
              <w:top w:w="6" w:type="dxa"/>
              <w:bottom w:w="6" w:type="dxa"/>
              <w:left w:w="0" w:type="dxa"/>
              <w:right w:w="0" w:type="dxa"/>
            </w:tcMar>
          </w:tcPr>
          <w:p>
            <w:pPr>
              <w:spacing w:before="10" w:after="10"/>
              <w:jc w:val="center"/>
            </w:pPr>
            <w:r>
              <w:rPr>
                <w:rFonts w:ascii="Times New Roman" w:hAnsi="Times New Roman"/>
                <w:i/>
                <w:sz w:val="15"/>
              </w:rPr>
              <w:t>F(m, j) = (4 - d(m) - d(j) + 3 · Δ(m, j)) / √(d(m) · d(j))</w:t>
            </w:r>
          </w:p>
        </w:tc>
        <w:tc>
          <w:tcPr>
            <w:tcW w:type="dxa" w:w="504"/>
            <w:tcMar>
              <w:top w:w="6" w:type="dxa"/>
              <w:bottom w:w="6" w:type="dxa"/>
              <w:left w:w="0" w:type="dxa"/>
              <w:right w:w="0" w:type="dxa"/>
            </w:tcMar>
          </w:tcPr>
          <w:p>
            <w:pPr>
              <w:spacing w:before="10" w:after="10"/>
              <w:jc w:val="right"/>
            </w:pPr>
            <w:r>
              <w:rPr>
                <w:rFonts w:ascii="Times New Roman" w:hAnsi="Times New Roman"/>
                <w:sz w:val="15"/>
              </w:rPr>
              <w:t>(2)</w:t>
            </w:r>
          </w:p>
        </w:tc>
      </w:tr>
    </w:tbl>
    <w:p>
      <w:pPr>
        <w:spacing w:after="30" w:line="235" w:lineRule="auto"/>
        <w:ind w:firstLine="202"/>
        <w:jc w:val="both"/>
      </w:pPr>
      <w:r>
        <w:rPr>
          <w:sz w:val="16"/>
        </w:rPr>
        <w:t>where d(m) is node degree in G_peer, Δ(m, j) is the count of mutual triangles, and √(d(m) · d(j)) is a degree-balancing normalization proposed to prevent dense hubs from dominating curvature scores. Curvature modulates peer weights as a structural refinement: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57"/>
        <w:gridCol w:w="5057"/>
      </w:tblGrid>
      <w:tr>
        <w:tc>
          <w:tcPr>
            <w:tcW w:type="dxa" w:w="4248"/>
            <w:tcMar>
              <w:top w:w="6" w:type="dxa"/>
              <w:bottom w:w="6" w:type="dxa"/>
              <w:left w:w="0" w:type="dxa"/>
              <w:right w:w="0" w:type="dxa"/>
            </w:tcMar>
          </w:tcPr>
          <w:p>
            <w:pPr>
              <w:spacing w:before="10" w:after="10"/>
              <w:jc w:val="center"/>
            </w:pPr>
            <w:r>
              <w:rPr>
                <w:rFonts w:ascii="Times New Roman" w:hAnsi="Times New Roman"/>
                <w:i/>
                <w:sz w:val="15"/>
              </w:rPr>
              <w:t>w̃_{mj} ∝ w_{mj} · (1 + η · tanh(F(m, j)))</w:t>
            </w:r>
          </w:p>
        </w:tc>
        <w:tc>
          <w:tcPr>
            <w:tcW w:type="dxa" w:w="504"/>
            <w:tcMar>
              <w:top w:w="6" w:type="dxa"/>
              <w:bottom w:w="6" w:type="dxa"/>
              <w:left w:w="0" w:type="dxa"/>
              <w:right w:w="0" w:type="dxa"/>
            </w:tcMar>
          </w:tcPr>
          <w:p>
            <w:pPr>
              <w:spacing w:before="10" w:after="10"/>
              <w:jc w:val="right"/>
            </w:pPr>
            <w:r>
              <w:rPr>
                <w:rFonts w:ascii="Times New Roman" w:hAnsi="Times New Roman"/>
                <w:sz w:val="15"/>
              </w:rPr>
              <w:t>(3)</w:t>
            </w:r>
          </w:p>
        </w:tc>
      </w:tr>
    </w:tbl>
    <w:p>
      <w:pPr>
        <w:spacing w:after="30" w:line="235" w:lineRule="auto"/>
        <w:ind w:firstLine="202"/>
        <w:jc w:val="both"/>
      </w:pPr>
      <w:r>
        <w:rPr>
          <w:sz w:val="16"/>
        </w:rPr>
        <w:t>with scale parameter η = 0.25.</w:t>
      </w:r>
    </w:p>
    <w:p>
      <w:pPr>
        <w:keepNext/>
        <w:spacing w:before="50" w:after="20"/>
        <w:jc w:val="center"/>
      </w:pPr>
      <w:r>
        <w:drawing>
          <wp:inline xmlns:a="http://schemas.openxmlformats.org/drawingml/2006/main" xmlns:pic="http://schemas.openxmlformats.org/drawingml/2006/picture">
            <wp:extent cx="2834640" cy="1545231"/>
            <wp:docPr id="2" name="Picture 2"/>
            <wp:cNvGraphicFramePr>
              <a:graphicFrameLocks noChangeAspect="1"/>
            </wp:cNvGraphicFramePr>
            <a:graphic>
              <a:graphicData uri="http://schemas.openxmlformats.org/drawingml/2006/picture">
                <pic:pic>
                  <pic:nvPicPr>
                    <pic:cNvPr id="0" name="fig2_graph_topology_communities.png"/>
                    <pic:cNvPicPr/>
                  </pic:nvPicPr>
                  <pic:blipFill>
                    <a:blip r:embed="rId10"/>
                    <a:stretch>
                      <a:fillRect/>
                    </a:stretch>
                  </pic:blipFill>
                  <pic:spPr>
                    <a:xfrm>
                      <a:off x="0" y="0"/>
                      <a:ext cx="2834640" cy="1545231"/>
                    </a:xfrm>
                    <a:prstGeom prst="rect"/>
                  </pic:spPr>
                </pic:pic>
              </a:graphicData>
            </a:graphic>
          </wp:inline>
        </w:drawing>
      </w:r>
    </w:p>
    <w:p>
      <w:pPr>
        <w:spacing w:after="50"/>
        <w:jc w:val="both"/>
      </w:pPr>
      <w:r>
        <w:rPr>
          <w:i/>
          <w:sz w:val="14"/>
        </w:rPr>
        <w:t>Fig. 2. Two-dimensional projection of merchant peer embeddings across eight business categories; red node rings indicate injected opportunity target merchants.</w:t>
      </w:r>
    </w:p>
    <w:p>
      <w:pPr>
        <w:keepNext/>
        <w:spacing w:before="70" w:after="20"/>
        <w:jc w:val="left"/>
      </w:pPr>
      <w:r>
        <w:rPr>
          <w:i/>
          <w:sz w:val="16"/>
        </w:rPr>
        <w:t>D. Temporal Graph Count Forecasting Architecture</w:t>
      </w:r>
    </w:p>
    <w:p>
      <w:pPr>
        <w:spacing w:after="30" w:line="235" w:lineRule="auto"/>
        <w:ind w:firstLine="202"/>
        <w:jc w:val="both"/>
      </w:pPr>
      <w:r>
        <w:rPr>
          <w:sz w:val="16"/>
        </w:rPr>
        <w:t>The forecasting target is future transaction count Y_{m, t+1}. Because transaction counts exhibit empirical overdispersion (Var(Y)/E[Y] ≈ 3.24), HAMTA trains a temporal GNN under a Negative Binomial likelihood: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57"/>
        <w:gridCol w:w="5057"/>
      </w:tblGrid>
      <w:tr>
        <w:tc>
          <w:tcPr>
            <w:tcW w:type="dxa" w:w="4248"/>
            <w:tcMar>
              <w:top w:w="6" w:type="dxa"/>
              <w:bottom w:w="6" w:type="dxa"/>
              <w:left w:w="0" w:type="dxa"/>
              <w:right w:w="0" w:type="dxa"/>
            </w:tcMar>
          </w:tcPr>
          <w:p>
            <w:pPr>
              <w:spacing w:before="10" w:after="10"/>
              <w:jc w:val="center"/>
            </w:pPr>
            <w:r>
              <w:rPr>
                <w:rFonts w:ascii="Times New Roman" w:hAnsi="Times New Roman"/>
                <w:i/>
                <w:sz w:val="15"/>
              </w:rPr>
              <w:t>L_NB = -∑_m [ ln Γ(Y_m + φ) - ln Γ(φ) - ln Γ(Y_m + 1) + φ ln(φ / (φ + μ̂_m)) + Y_m ln(μ̂_m / (φ + μ̂_m)) ]</w:t>
            </w:r>
          </w:p>
        </w:tc>
        <w:tc>
          <w:tcPr>
            <w:tcW w:type="dxa" w:w="504"/>
            <w:tcMar>
              <w:top w:w="6" w:type="dxa"/>
              <w:bottom w:w="6" w:type="dxa"/>
              <w:left w:w="0" w:type="dxa"/>
              <w:right w:w="0" w:type="dxa"/>
            </w:tcMar>
          </w:tcPr>
          <w:p>
            <w:pPr>
              <w:spacing w:before="10" w:after="10"/>
              <w:jc w:val="right"/>
            </w:pPr>
            <w:r>
              <w:rPr>
                <w:rFonts w:ascii="Times New Roman" w:hAnsi="Times New Roman"/>
                <w:sz w:val="15"/>
              </w:rPr>
              <w:t>(4)</w:t>
            </w:r>
          </w:p>
        </w:tc>
      </w:tr>
    </w:tbl>
    <w:p>
      <w:pPr>
        <w:spacing w:after="30" w:line="235" w:lineRule="auto"/>
        <w:ind w:firstLine="202"/>
        <w:jc w:val="both"/>
      </w:pPr>
      <w:r>
        <w:rPr>
          <w:sz w:val="16"/>
        </w:rPr>
        <w:t>where μ̂_m is predicted mean count and φ is the inverse-dispersion (size) parameter. Information is restricted strictly to G_{&lt;=t}; chronology-preserving evaluation protocols prevent test-period leakage. Architecture Specifications: HAMTA utilizes a 2-layer TGAT-inspired temporal graph attention architecture with time-decay positional encoding. The model operates with input feature dimension d_in = 16, hidden embedding dimension d_h = 32, and 2 attention heads. Hidden activations utilize LeakyReLU (alpha = 0.2) with dropout rate 0.15 and layer normalization. Optimization is performed using Adam (learning rate 0.005, weight decay 1e-4) for 70 epochs with early stopping on Period 3 validation loss, followed by final fitting on Periods 0-3.</w:t>
      </w:r>
    </w:p>
    <w:p>
      <w:pPr>
        <w:keepNext/>
        <w:spacing w:before="70" w:after="20"/>
        <w:jc w:val="left"/>
      </w:pPr>
      <w:r>
        <w:rPr>
          <w:i/>
          <w:sz w:val="16"/>
        </w:rPr>
        <w:t>E. One-Sided Temporal Prediction-Interval Calibration</w:t>
      </w:r>
    </w:p>
    <w:p>
      <w:pPr>
        <w:spacing w:after="30" w:line="235" w:lineRule="auto"/>
        <w:ind w:firstLine="202"/>
        <w:jc w:val="both"/>
      </w:pPr>
      <w:r>
        <w:rPr>
          <w:sz w:val="16"/>
        </w:rPr>
        <w:t>Rather than heuristic parametric assumptions (± 1.96σ), HAMTA employs one-sided temporal prediction-interval calibration [8] strictly on clean Period 4 historical residuals prior to opportunity injection. Because empirical transaction counts exhibit skewness and heteroscedasticity, we calibrate separate one-sided tail quantiles for the upside natural ceiling and the downside conservative peer floor. Upside nonconformity residuals R_m^+ = max(0, Y_m - μ̂_m) evaluate one-sided natural upside prediction deviations. For nominal miscoverage rate α = 0.15 (targeting an 85% one-sided natural ceiling), the upside calibration quantile q_{0.85}^+ = Quantile_{1-α}({R_m^+}) is extracted. The Upper Natural Forecast Bound is formalized as: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57"/>
        <w:gridCol w:w="5057"/>
      </w:tblGrid>
      <w:tr>
        <w:tc>
          <w:tcPr>
            <w:tcW w:type="dxa" w:w="4248"/>
            <w:tcMar>
              <w:top w:w="6" w:type="dxa"/>
              <w:bottom w:w="6" w:type="dxa"/>
              <w:left w:w="0" w:type="dxa"/>
              <w:right w:w="0" w:type="dxa"/>
            </w:tcMar>
          </w:tcPr>
          <w:p>
            <w:pPr>
              <w:spacing w:before="10" w:after="10"/>
              <w:jc w:val="center"/>
            </w:pPr>
            <w:r>
              <w:rPr>
                <w:rFonts w:ascii="Times New Roman" w:hAnsi="Times New Roman"/>
                <w:i/>
                <w:sz w:val="15"/>
              </w:rPr>
              <w:t>U_{m, t+1} = μ̂_{m, t+1} + q_{0.85}^+</w:t>
            </w:r>
          </w:p>
        </w:tc>
        <w:tc>
          <w:tcPr>
            <w:tcW w:type="dxa" w:w="504"/>
            <w:tcMar>
              <w:top w:w="6" w:type="dxa"/>
              <w:bottom w:w="6" w:type="dxa"/>
              <w:left w:w="0" w:type="dxa"/>
              <w:right w:w="0" w:type="dxa"/>
            </w:tcMar>
          </w:tcPr>
          <w:p>
            <w:pPr>
              <w:spacing w:before="10" w:after="10"/>
              <w:jc w:val="right"/>
            </w:pPr>
            <w:r>
              <w:rPr>
                <w:rFonts w:ascii="Times New Roman" w:hAnsi="Times New Roman"/>
                <w:sz w:val="15"/>
              </w:rPr>
              <w:t>(5)</w:t>
            </w:r>
          </w:p>
        </w:tc>
      </w:tr>
    </w:tbl>
    <w:p>
      <w:pPr>
        <w:spacing w:after="30" w:line="235" w:lineRule="auto"/>
        <w:ind w:firstLine="202"/>
        <w:jc w:val="both"/>
      </w:pPr>
      <w:r>
        <w:rPr>
          <w:sz w:val="16"/>
        </w:rPr>
        <w:t>defining the upper performance threshold under business-as-usual conditions. Crucially, because calibration is performed strictly on unperturbed Period 4 data prior to synthetic opportunity injection in Period 5, calibration data are not affected by the synthetic treatment perturbation. Empirical evaluation across 10 random seeds demonstrates robust empirical upper coverage (Coverage = 86.2% ± 3.1% with mean interval width 4.6 ± 0.3 transactions), confirming practical one-sided temporal interval calibration.</w:t>
      </w:r>
    </w:p>
    <w:p>
      <w:pPr>
        <w:keepNext/>
        <w:spacing w:before="70" w:after="20"/>
        <w:jc w:val="left"/>
      </w:pPr>
      <w:r>
        <w:rPr>
          <w:i/>
          <w:sz w:val="16"/>
        </w:rPr>
        <w:t>F. Conservative Graph-Weighted Peer Benchmark (B^G)</w:t>
      </w:r>
    </w:p>
    <w:p>
      <w:pPr>
        <w:spacing w:after="30" w:line="235" w:lineRule="auto"/>
        <w:ind w:firstLine="202"/>
        <w:jc w:val="both"/>
      </w:pPr>
      <w:r>
        <w:rPr>
          <w:sz w:val="16"/>
        </w:rPr>
        <w:t>To avoid over-optimistic targets, the peer benchmark is constructed from conservative lower prediction bounds of peers. Symmetrically, downside nonconformity residuals R_j^- = max(0, μ̂_j - Y_j) yield an independent lower-tail quantile q_{0.85}^- = Quantile_{1-α}({R_j^-}), establishing the conservative lower prediction bound for peer j: L_{j, t+1} = max(0, μ̂_{j, t+1} - q_{0.85}^-):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57"/>
        <w:gridCol w:w="5057"/>
      </w:tblGrid>
      <w:tr>
        <w:tc>
          <w:tcPr>
            <w:tcW w:type="dxa" w:w="4248"/>
            <w:tcMar>
              <w:top w:w="6" w:type="dxa"/>
              <w:bottom w:w="6" w:type="dxa"/>
              <w:left w:w="0" w:type="dxa"/>
              <w:right w:w="0" w:type="dxa"/>
            </w:tcMar>
          </w:tcPr>
          <w:p>
            <w:pPr>
              <w:spacing w:before="10" w:after="10"/>
              <w:jc w:val="center"/>
            </w:pPr>
            <w:r>
              <w:rPr>
                <w:rFonts w:ascii="Times New Roman" w:hAnsi="Times New Roman"/>
                <w:i/>
                <w:sz w:val="15"/>
              </w:rPr>
              <w:t>B^G_{m, t+1} = [ ∑_{j ∈ N_K(m)} w̃_{mj} · L_{j, t+1} ] / [ ∑_{j ∈ N_K(m)} w̃_{mj} ]</w:t>
            </w:r>
          </w:p>
        </w:tc>
        <w:tc>
          <w:tcPr>
            <w:tcW w:type="dxa" w:w="504"/>
            <w:tcMar>
              <w:top w:w="6" w:type="dxa"/>
              <w:bottom w:w="6" w:type="dxa"/>
              <w:left w:w="0" w:type="dxa"/>
              <w:right w:w="0" w:type="dxa"/>
            </w:tcMar>
          </w:tcPr>
          <w:p>
            <w:pPr>
              <w:spacing w:before="10" w:after="10"/>
              <w:jc w:val="right"/>
            </w:pPr>
            <w:r>
              <w:rPr>
                <w:rFonts w:ascii="Times New Roman" w:hAnsi="Times New Roman"/>
                <w:sz w:val="15"/>
              </w:rPr>
              <w:t>(6)</w:t>
            </w:r>
          </w:p>
        </w:tc>
      </w:tr>
    </w:tbl>
    <w:p>
      <w:pPr>
        <w:spacing w:after="30" w:line="235" w:lineRule="auto"/>
        <w:ind w:firstLine="202"/>
        <w:jc w:val="both"/>
      </w:pPr>
      <w:r>
        <w:rPr>
          <w:sz w:val="16"/>
        </w:rPr>
        <w:t>This establishes a robust empirical capability benchmark grounded in shared-customer interaction neighborhoods and guild operations.</w:t>
      </w:r>
    </w:p>
    <w:p>
      <w:pPr>
        <w:keepNext/>
        <w:spacing w:before="70" w:after="20"/>
        <w:jc w:val="left"/>
      </w:pPr>
      <w:r>
        <w:rPr>
          <w:i/>
          <w:sz w:val="16"/>
        </w:rPr>
        <w:t>G. M-GATO Score Formulation &amp; Numerical Walkthrough</w:t>
      </w:r>
    </w:p>
    <w:p>
      <w:pPr>
        <w:spacing w:after="30" w:line="235" w:lineRule="auto"/>
        <w:ind w:firstLine="202"/>
        <w:jc w:val="both"/>
      </w:pPr>
      <w:r>
        <w:rPr>
          <w:sz w:val="16"/>
        </w:rPr>
        <w:t>The Merchant Graph-Aware Transaction Opportunity score is formulated as: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57"/>
        <w:gridCol w:w="5057"/>
      </w:tblGrid>
      <w:tr>
        <w:tc>
          <w:tcPr>
            <w:tcW w:type="dxa" w:w="4248"/>
            <w:tcMar>
              <w:top w:w="6" w:type="dxa"/>
              <w:bottom w:w="6" w:type="dxa"/>
              <w:left w:w="0" w:type="dxa"/>
              <w:right w:w="0" w:type="dxa"/>
            </w:tcMar>
          </w:tcPr>
          <w:p>
            <w:pPr>
              <w:spacing w:before="10" w:after="10"/>
              <w:jc w:val="center"/>
            </w:pPr>
            <w:r>
              <w:rPr>
                <w:rFonts w:ascii="Times New Roman" w:hAnsi="Times New Roman"/>
                <w:i/>
                <w:sz w:val="15"/>
              </w:rPr>
              <w:t>Q_{m, t} = 1 - exp(-O_{m, t} / κ)</w:t>
            </w:r>
          </w:p>
        </w:tc>
        <w:tc>
          <w:tcPr>
            <w:tcW w:type="dxa" w:w="504"/>
            <w:tcMar>
              <w:top w:w="6" w:type="dxa"/>
              <w:bottom w:w="6" w:type="dxa"/>
              <w:left w:w="0" w:type="dxa"/>
              <w:right w:w="0" w:type="dxa"/>
            </w:tcMar>
          </w:tcPr>
          <w:p>
            <w:pPr>
              <w:spacing w:before="10" w:after="10"/>
              <w:jc w:val="right"/>
            </w:pPr>
            <w:r>
              <w:rPr>
                <w:rFonts w:ascii="Times New Roman" w:hAnsi="Times New Roman"/>
                <w:sz w:val="15"/>
              </w:rPr>
              <w:t>(7)</w:t>
            </w:r>
          </w:p>
        </w:tc>
      </w:tr>
    </w:tbl>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57"/>
        <w:gridCol w:w="5057"/>
      </w:tblGrid>
      <w:tr>
        <w:tc>
          <w:tcPr>
            <w:tcW w:type="dxa" w:w="4248"/>
            <w:tcMar>
              <w:top w:w="6" w:type="dxa"/>
              <w:bottom w:w="6" w:type="dxa"/>
              <w:left w:w="0" w:type="dxa"/>
              <w:right w:w="0" w:type="dxa"/>
            </w:tcMar>
          </w:tcPr>
          <w:p>
            <w:pPr>
              <w:spacing w:before="10" w:after="10"/>
              <w:jc w:val="center"/>
            </w:pPr>
            <w:r>
              <w:rPr>
                <w:rFonts w:ascii="Times New Roman" w:hAnsi="Times New Roman"/>
                <w:i/>
                <w:sz w:val="15"/>
              </w:rPr>
              <w:t>M-GATO_{m, t} = Q_{m, t} · [ (B^G_{m, t+1} - U_{m, t+1}) / (B^G_{m, t+1} + ε) ]_+</w:t>
            </w:r>
          </w:p>
        </w:tc>
        <w:tc>
          <w:tcPr>
            <w:tcW w:type="dxa" w:w="504"/>
            <w:tcMar>
              <w:top w:w="6" w:type="dxa"/>
              <w:bottom w:w="6" w:type="dxa"/>
              <w:left w:w="0" w:type="dxa"/>
              <w:right w:w="0" w:type="dxa"/>
            </w:tcMar>
          </w:tcPr>
          <w:p>
            <w:pPr>
              <w:spacing w:before="10" w:after="10"/>
              <w:jc w:val="right"/>
            </w:pPr>
            <w:r>
              <w:rPr>
                <w:rFonts w:ascii="Times New Roman" w:hAnsi="Times New Roman"/>
                <w:sz w:val="15"/>
              </w:rPr>
              <w:t>(8)</w:t>
            </w:r>
          </w:p>
        </w:tc>
      </w:tr>
    </w:tbl>
    <w:p>
      <w:pPr>
        <w:spacing w:after="30" w:line="235" w:lineRule="auto"/>
        <w:ind w:firstLine="202"/>
        <w:jc w:val="both"/>
      </w:pPr>
      <w:r>
        <w:rPr>
          <w:sz w:val="16"/>
        </w:rPr>
        <w:t>where [x]_+ = max(0, x), O_{m, t} = ∑_{j ∈ N_K(m)} |C_m ∩ C_j| is total shared customer interactions with top-K peers, and κ = 18.0 is a saturation parameter. M-GATO formalizes a Forecast-Bound Peer Gap (B^G - U) modulated by graph support, functioning as a Peer-Relative Opportunity Score rather than a measurement of current raw underperformance (B^G - Y). Notice that actual observed count Y_{m, t} does not appear directly in the numerator of (8). Point forecast μ̂ and calibrated upper bound U already condition on historical transaction activity. Directly subtracting raw count Y would conflate short-term transient fluctuations with structural opportunity. Graph support Q_{m, t} ∈ [0, 1] acts as a conservative shrinkage penalty: if a merchant has negligible customer overlap with its peers, Q → 0, down-weighting ungrounded gaps.</w:t>
      </w:r>
    </w:p>
    <w:p>
      <w:pPr>
        <w:spacing w:after="30" w:line="235" w:lineRule="auto"/>
        <w:ind w:firstLine="202"/>
        <w:jc w:val="both"/>
      </w:pPr>
      <w:r>
        <w:rPr>
          <w:sz w:val="16"/>
        </w:rPr>
        <w:t>Numerical Walkthrough: Consider target merchant MERCH_00322 in the Travel Agency guild: Actual count = 100, Model Forecast = 105.0, Calibrated Upper Bound = 112.0. Its top peers achieve conservative lower bound benchmark B^G = 170.0. With Graph Support Q = 0.90: Forecast-bound peer gap = 170.0 - 112.0 = 58.0 (relative gap = 58.0 / 170.0 = 0.3412, or 34.1%). M-GATO = 0.90 · 0.3412 = 0.307. Interpretation: the merchant exhibits a forecast-bound peer gap of 58 transactions above its upper natural bound relative to peer benchmark (whereas the current observed gap is 170 - 100 = 70 transactions).</w:t>
      </w:r>
    </w:p>
    <w:p>
      <w:pPr>
        <w:keepNext/>
        <w:spacing w:before="50" w:after="20"/>
        <w:jc w:val="center"/>
      </w:pPr>
      <w:r>
        <w:drawing>
          <wp:inline xmlns:a="http://schemas.openxmlformats.org/drawingml/2006/main" xmlns:pic="http://schemas.openxmlformats.org/drawingml/2006/picture">
            <wp:extent cx="2834640" cy="1710798"/>
            <wp:docPr id="3" name="Picture 3"/>
            <wp:cNvGraphicFramePr>
              <a:graphicFrameLocks noChangeAspect="1"/>
            </wp:cNvGraphicFramePr>
            <a:graphic>
              <a:graphicData uri="http://schemas.openxmlformats.org/drawingml/2006/picture">
                <pic:pic>
                  <pic:nvPicPr>
                    <pic:cNvPr id="0" name="fig3_latent_tsne_comparison.png"/>
                    <pic:cNvPicPr/>
                  </pic:nvPicPr>
                  <pic:blipFill>
                    <a:blip r:embed="rId11"/>
                    <a:stretch>
                      <a:fillRect/>
                    </a:stretch>
                  </pic:blipFill>
                  <pic:spPr>
                    <a:xfrm>
                      <a:off x="0" y="0"/>
                      <a:ext cx="2834640" cy="1710798"/>
                    </a:xfrm>
                    <a:prstGeom prst="rect"/>
                  </pic:spPr>
                </pic:pic>
              </a:graphicData>
            </a:graphic>
          </wp:inline>
        </w:drawing>
      </w:r>
    </w:p>
    <w:p>
      <w:pPr>
        <w:spacing w:after="50"/>
        <w:jc w:val="both"/>
      </w:pPr>
      <w:r>
        <w:rPr>
          <w:i/>
          <w:sz w:val="14"/>
        </w:rPr>
        <w:t>Fig. 3. Pedagogical walkthrough of the M-GATO score formulation: actual transaction volume Y, model forecast μ̂, calibrated upper natural bound U, and conservative peer benchmark B^G.</w:t>
      </w:r>
    </w:p>
    <w:p>
      <w:pPr>
        <w:keepNext/>
        <w:spacing w:before="100" w:after="20"/>
        <w:jc w:val="center"/>
      </w:pPr>
      <w:r>
        <w:rPr>
          <w:b/>
          <w:sz w:val="17"/>
        </w:rPr>
        <w:t>IV. EXPERIMENTAL DESIGN</w:t>
      </w:r>
    </w:p>
    <w:p>
      <w:pPr>
        <w:spacing w:after="30" w:line="235" w:lineRule="auto"/>
        <w:ind w:firstLine="202"/>
        <w:jc w:val="both"/>
      </w:pPr>
      <w:r>
        <w:rPr>
          <w:sz w:val="16"/>
        </w:rPr>
        <w:t>To evaluate HAMTA under known ground truth without circular bias, experiments utilize a synthetic payment stream evaluated over 10 random seeds (SEEDS = [42, 101, 202, 303, 404, 505, 606, 707, 808, 909]). Each dataset comprises 35,000 transactions across 350 merchants and 1,480 unique payment cards over a 90-day observation window. Business categories follow a predefined synthetic merchant-category distribution summing to 100.0%: Supermarkets (35%), Restaurants (18%), Apparel (15%), Electronics (10%), Medical Clinics (10%), Travel Agencies (5%), Gold &amp; Jewelry (4%), and Industrial Wholesale (3%). The 90-day timeline is partitioned into 6 discrete 15-day snapshot windows (Periods 0 to 5). A chronological temporal holdout protocol is enforced: training on Periods 0-2, validation on Period 3, final fit on Periods 0-3, clean calibration strictly on unperturbed Period 4, and opportunity recovery testing on Period 5. No test-period data influences graph construction, peer similarity tuning, or temporal calibration.</w:t>
      </w:r>
    </w:p>
    <w:p>
      <w:pPr>
        <w:spacing w:after="30" w:line="235" w:lineRule="auto"/>
        <w:ind w:firstLine="202"/>
        <w:jc w:val="both"/>
      </w:pPr>
      <w:r>
        <w:rPr>
          <w:sz w:val="16"/>
        </w:rPr>
        <w:t>Opportunity Ground-Truth Formalization: In observational payments, commercial growth capacity cannot be directly measured without counterfactual marketing trials. Therefore, ground truth is formalized strictly as the mathematical recovery of synthetic structural-underperformance targets. A merchant is labeled Opportunity(m) = 1 iff an exogenous underperformance drop d &gt; 0 was synthetically injected into its transaction generation rate starting in Test Period 5. Exactly 52 out of 350 merchants (~14.6%) across all 8 business categories are selected via stratified random sampling. Target-peer overlap is low: on average only 11.8% of top-K peers are themselves targets, ensuring uncontaminated peer benchmarks. Injected drop magnitudes span Scenario A (d = 0.18, noise σ = 3.0), Scenario B (d = 0.32, noise σ = 1.8), and Scenario C (d = 0.48, noise σ = 0.9). In Scenario 0 (Negative Control), d = 0 for all merchants, establishing an empty positive set (TP = 0 by construction) to evaluate false discovery.</w:t>
      </w:r>
    </w:p>
    <w:p>
      <w:pPr>
        <w:spacing w:after="30" w:line="235" w:lineRule="auto"/>
        <w:ind w:firstLine="202"/>
        <w:jc w:val="both"/>
      </w:pPr>
      <w:r>
        <w:rPr>
          <w:sz w:val="16"/>
        </w:rPr>
        <w:t>Hyperparameter Protocol &amp; Sensitivity Grids: Hyperparameters were tuned on historical training data (Periods 0-2 train, Period 3 validation). Grid search selected similarity weight λ = 0.65 from {0.4, 0.5, 0.65, 0.8, 0.9}, curvature scale η = 0.25 from {0.0, 0.15, 0.25, 0.35, 0.5}, saturation parameter κ = 18.0 from {10, 15, 18, 25, 30}, peer neighborhood size K = 6 from {3, 5, 6, 8, 10}, and nominal calibration quantile q = 0.85 from {0.75, 0.80, 0.85, 0.90, 0.95}. Empirical sensitivity analysis across 10 random seeds demonstrates reasonable stability: NDCG@35 remains bounded across neighborhood sizes K ∈ [3, 10] (NDCG@35 ∈ [0.353, 0.397]), curvature weights η ∈ [0.0, 0.5] (NDCG ∈ [0.382, 0.409]), and saturation parameters κ ∈ [10, 30] (NDCG ∈ [0.382, 0.397]).</w:t>
      </w:r>
    </w:p>
    <w:p>
      <w:pPr>
        <w:keepNext/>
        <w:spacing w:before="100" w:after="20"/>
        <w:jc w:val="center"/>
      </w:pPr>
      <w:r>
        <w:rPr>
          <w:b/>
          <w:sz w:val="17"/>
        </w:rPr>
        <w:t>V. RESULTS AND DISCUSSION</w:t>
      </w:r>
    </w:p>
    <w:p>
      <w:pPr>
        <w:keepNext/>
        <w:spacing w:before="70" w:after="20"/>
        <w:jc w:val="left"/>
      </w:pPr>
      <w:r>
        <w:rPr>
          <w:i/>
          <w:sz w:val="16"/>
        </w:rPr>
        <w:t>A. Forecasting Accuracy Benchmark</w:t>
      </w:r>
    </w:p>
    <w:p>
      <w:pPr>
        <w:spacing w:after="30" w:line="235" w:lineRule="auto"/>
        <w:ind w:firstLine="202"/>
        <w:jc w:val="both"/>
      </w:pPr>
      <w:r>
        <w:rPr>
          <w:sz w:val="16"/>
        </w:rPr>
        <w:t>Table I reports natural forecasting metrics on unperturbed test observations across 10 random seeds (mean ± std). Deterministic point forecasters do not define a parametric count likelihood; hence Negative Binomial NLL is reported strictly for probabilistic models.</w:t>
      </w:r>
    </w:p>
    <w:p>
      <w:pPr>
        <w:keepNext/>
        <w:spacing w:before="60" w:after="40"/>
        <w:jc w:val="center"/>
      </w:pPr>
      <w:r>
        <w:rPr>
          <w:b/>
          <w:sz w:val="14"/>
        </w:rPr>
        <w:t>TABLE I. NATURAL FORECASTING ACCURACY ON UNPERTURBED DATA (10 SEEDS)</w:t>
      </w:r>
    </w:p>
    <w:tbl>
      <w:tblPr>
        <w:jc w:val="center"/>
        <w:tblLook w:firstColumn="1" w:firstRow="1" w:lastColumn="0" w:lastRow="0" w:noHBand="0" w:noVBand="1" w:val="04A0"/>
        <w:tblW w:w="4800" w:type="dxa"/>
        <w:tblLayout w:type="fixed"/>
        <w:tblBorders>
          <w:top w:val="single" w:sz="8" w:space="0" w:color="000000"/>
          <w:bottom w:val="single" w:sz="8" w:space="0" w:color="000000"/>
          <w:insideH w:val="single" w:sz="4" w:space="0" w:color="808080"/>
        </w:tblBorders>
      </w:tblPr>
      <w:tblGrid>
        <w:gridCol w:w="1700"/>
        <w:gridCol w:w="750"/>
        <w:gridCol w:w="750"/>
        <w:gridCol w:w="850"/>
        <w:gridCol w:w="750"/>
      </w:tblGrid>
      <w:tr>
        <w:trPr>
          <w:cantSplit/>
        </w:trPr>
        <w:tc>
          <w:tcPr>
            <w:tcW w:w="1700" w:type="dxa"/>
            <w:shd w:fill="E0E0E0"/>
            <w:tcMar>
              <w:top w:w="20" w:type="dxa"/>
              <w:bottom w:w="20" w:type="dxa"/>
              <w:left w:w="25" w:type="dxa"/>
              <w:right w:w="25" w:type="dxa"/>
            </w:tcMar>
          </w:tcPr>
          <w:p>
            <w:pPr>
              <w:jc w:val="center"/>
            </w:pPr>
            <w:r>
              <w:rPr>
                <w:b/>
                <w:sz w:val="13"/>
              </w:rPr>
              <w:t>Model / Architecture</w:t>
            </w:r>
          </w:p>
        </w:tc>
        <w:tc>
          <w:tcPr>
            <w:tcW w:w="750" w:type="dxa"/>
            <w:shd w:fill="E0E0E0"/>
            <w:tcMar>
              <w:top w:w="20" w:type="dxa"/>
              <w:bottom w:w="20" w:type="dxa"/>
              <w:left w:w="25" w:type="dxa"/>
              <w:right w:w="25" w:type="dxa"/>
            </w:tcMar>
          </w:tcPr>
          <w:p>
            <w:pPr>
              <w:jc w:val="center"/>
            </w:pPr>
            <w:r>
              <w:rPr>
                <w:b/>
                <w:sz w:val="13"/>
              </w:rPr>
              <w:t>MAE</w:t>
            </w:r>
          </w:p>
        </w:tc>
        <w:tc>
          <w:tcPr>
            <w:tcW w:w="750" w:type="dxa"/>
            <w:shd w:fill="E0E0E0"/>
            <w:tcMar>
              <w:top w:w="20" w:type="dxa"/>
              <w:bottom w:w="20" w:type="dxa"/>
              <w:left w:w="25" w:type="dxa"/>
              <w:right w:w="25" w:type="dxa"/>
            </w:tcMar>
          </w:tcPr>
          <w:p>
            <w:pPr>
              <w:jc w:val="center"/>
            </w:pPr>
            <w:r>
              <w:rPr>
                <w:b/>
                <w:sz w:val="13"/>
              </w:rPr>
              <w:t>RMSE</w:t>
            </w:r>
          </w:p>
        </w:tc>
        <w:tc>
          <w:tcPr>
            <w:tcW w:w="850" w:type="dxa"/>
            <w:shd w:fill="E0E0E0"/>
            <w:tcMar>
              <w:top w:w="20" w:type="dxa"/>
              <w:bottom w:w="20" w:type="dxa"/>
              <w:left w:w="25" w:type="dxa"/>
              <w:right w:w="25" w:type="dxa"/>
            </w:tcMar>
          </w:tcPr>
          <w:p>
            <w:pPr>
              <w:jc w:val="center"/>
            </w:pPr>
            <w:r>
              <w:rPr>
                <w:b/>
                <w:sz w:val="13"/>
              </w:rPr>
              <w:t>sMAPE (%)</w:t>
            </w:r>
          </w:p>
        </w:tc>
        <w:tc>
          <w:tcPr>
            <w:tcW w:w="750" w:type="dxa"/>
            <w:shd w:fill="E0E0E0"/>
            <w:tcMar>
              <w:top w:w="20" w:type="dxa"/>
              <w:bottom w:w="20" w:type="dxa"/>
              <w:left w:w="25" w:type="dxa"/>
              <w:right w:w="25" w:type="dxa"/>
            </w:tcMar>
          </w:tcPr>
          <w:p>
            <w:pPr>
              <w:jc w:val="center"/>
            </w:pPr>
            <w:r>
              <w:rPr>
                <w:b/>
                <w:sz w:val="13"/>
              </w:rPr>
              <w:t>NB NLL</w:t>
            </w:r>
          </w:p>
        </w:tc>
      </w:tr>
      <w:tr>
        <w:trPr>
          <w:cantSplit/>
        </w:trPr>
        <w:tc>
          <w:tcPr>
            <w:tcW w:w="1700" w:type="dxa"/>
            <w:tcMar>
              <w:top w:w="15" w:type="dxa"/>
              <w:bottom w:w="15" w:type="dxa"/>
              <w:left w:w="20" w:type="dxa"/>
              <w:right w:w="20" w:type="dxa"/>
            </w:tcMar>
          </w:tcPr>
          <w:p>
            <w:pPr>
              <w:jc w:val="left"/>
            </w:pPr>
            <w:r>
              <w:rPr>
                <w:sz w:val="12"/>
              </w:rPr>
              <w:t>Persistence (Last-Period)</w:t>
            </w:r>
          </w:p>
        </w:tc>
        <w:tc>
          <w:tcPr>
            <w:tcW w:w="750" w:type="dxa"/>
            <w:tcMar>
              <w:top w:w="15" w:type="dxa"/>
              <w:bottom w:w="15" w:type="dxa"/>
              <w:left w:w="20" w:type="dxa"/>
              <w:right w:w="20" w:type="dxa"/>
            </w:tcMar>
          </w:tcPr>
          <w:p>
            <w:pPr>
              <w:jc w:val="right"/>
            </w:pPr>
            <w:r>
              <w:rPr>
                <w:sz w:val="12"/>
              </w:rPr>
              <w:t>4.41 ± 0.20</w:t>
            </w:r>
          </w:p>
        </w:tc>
        <w:tc>
          <w:tcPr>
            <w:tcW w:w="750" w:type="dxa"/>
            <w:tcMar>
              <w:top w:w="15" w:type="dxa"/>
              <w:bottom w:w="15" w:type="dxa"/>
              <w:left w:w="20" w:type="dxa"/>
              <w:right w:w="20" w:type="dxa"/>
            </w:tcMar>
          </w:tcPr>
          <w:p>
            <w:pPr>
              <w:jc w:val="right"/>
            </w:pPr>
            <w:r>
              <w:rPr>
                <w:sz w:val="12"/>
              </w:rPr>
              <w:t>5.78 ± 0.37</w:t>
            </w:r>
          </w:p>
        </w:tc>
        <w:tc>
          <w:tcPr>
            <w:tcW w:w="850" w:type="dxa"/>
            <w:tcMar>
              <w:top w:w="15" w:type="dxa"/>
              <w:bottom w:w="15" w:type="dxa"/>
              <w:left w:w="20" w:type="dxa"/>
              <w:right w:w="20" w:type="dxa"/>
            </w:tcMar>
          </w:tcPr>
          <w:p>
            <w:pPr>
              <w:jc w:val="right"/>
            </w:pPr>
            <w:r>
              <w:rPr>
                <w:sz w:val="12"/>
              </w:rPr>
              <w:t>32.40 ± 1.49</w:t>
            </w:r>
          </w:p>
        </w:tc>
        <w:tc>
          <w:tcPr>
            <w:tcW w:w="750" w:type="dxa"/>
            <w:tcMar>
              <w:top w:w="15" w:type="dxa"/>
              <w:bottom w:w="15" w:type="dxa"/>
              <w:left w:w="20" w:type="dxa"/>
              <w:right w:w="20" w:type="dxa"/>
            </w:tcMar>
          </w:tcPr>
          <w:p>
            <w:pPr>
              <w:jc w:val="right"/>
            </w:pPr>
            <w:r>
              <w:rPr>
                <w:sz w:val="12"/>
              </w:rPr>
              <w:t>—</w:t>
            </w:r>
          </w:p>
        </w:tc>
      </w:tr>
      <w:tr>
        <w:trPr>
          <w:cantSplit/>
        </w:trPr>
        <w:tc>
          <w:tcPr>
            <w:tcW w:w="1700" w:type="dxa"/>
            <w:tcMar>
              <w:top w:w="15" w:type="dxa"/>
              <w:bottom w:w="15" w:type="dxa"/>
              <w:left w:w="20" w:type="dxa"/>
              <w:right w:w="20" w:type="dxa"/>
            </w:tcMar>
          </w:tcPr>
          <w:p>
            <w:pPr>
              <w:jc w:val="left"/>
            </w:pPr>
            <w:r>
              <w:rPr>
                <w:sz w:val="12"/>
              </w:rPr>
              <w:t>Moving Average (3-Period)</w:t>
            </w:r>
          </w:p>
        </w:tc>
        <w:tc>
          <w:tcPr>
            <w:tcW w:w="750" w:type="dxa"/>
            <w:tcMar>
              <w:top w:w="15" w:type="dxa"/>
              <w:bottom w:w="15" w:type="dxa"/>
              <w:left w:w="20" w:type="dxa"/>
              <w:right w:w="20" w:type="dxa"/>
            </w:tcMar>
          </w:tcPr>
          <w:p>
            <w:pPr>
              <w:jc w:val="right"/>
            </w:pPr>
            <w:r>
              <w:rPr>
                <w:sz w:val="12"/>
              </w:rPr>
              <w:t>3.51 ± 0.19</w:t>
            </w:r>
          </w:p>
        </w:tc>
        <w:tc>
          <w:tcPr>
            <w:tcW w:w="750" w:type="dxa"/>
            <w:tcMar>
              <w:top w:w="15" w:type="dxa"/>
              <w:bottom w:w="15" w:type="dxa"/>
              <w:left w:w="20" w:type="dxa"/>
              <w:right w:w="20" w:type="dxa"/>
            </w:tcMar>
          </w:tcPr>
          <w:p>
            <w:pPr>
              <w:jc w:val="right"/>
            </w:pPr>
            <w:r>
              <w:rPr>
                <w:sz w:val="12"/>
              </w:rPr>
              <w:t>4.58 ± 0.28</w:t>
            </w:r>
          </w:p>
        </w:tc>
        <w:tc>
          <w:tcPr>
            <w:tcW w:w="850" w:type="dxa"/>
            <w:tcMar>
              <w:top w:w="15" w:type="dxa"/>
              <w:bottom w:w="15" w:type="dxa"/>
              <w:left w:w="20" w:type="dxa"/>
              <w:right w:w="20" w:type="dxa"/>
            </w:tcMar>
          </w:tcPr>
          <w:p>
            <w:pPr>
              <w:jc w:val="right"/>
            </w:pPr>
            <w:r>
              <w:rPr>
                <w:sz w:val="12"/>
              </w:rPr>
              <w:t>26.05 ± 1.03</w:t>
            </w:r>
          </w:p>
        </w:tc>
        <w:tc>
          <w:tcPr>
            <w:tcW w:w="750" w:type="dxa"/>
            <w:tcMar>
              <w:top w:w="15" w:type="dxa"/>
              <w:bottom w:w="15" w:type="dxa"/>
              <w:left w:w="20" w:type="dxa"/>
              <w:right w:w="20" w:type="dxa"/>
            </w:tcMar>
          </w:tcPr>
          <w:p>
            <w:pPr>
              <w:jc w:val="right"/>
            </w:pPr>
            <w:r>
              <w:rPr>
                <w:sz w:val="12"/>
              </w:rPr>
              <w:t>—</w:t>
            </w:r>
          </w:p>
        </w:tc>
      </w:tr>
      <w:tr>
        <w:trPr>
          <w:cantSplit/>
        </w:trPr>
        <w:tc>
          <w:tcPr>
            <w:tcW w:w="1700" w:type="dxa"/>
            <w:tcMar>
              <w:top w:w="15" w:type="dxa"/>
              <w:bottom w:w="15" w:type="dxa"/>
              <w:left w:w="20" w:type="dxa"/>
              <w:right w:w="20" w:type="dxa"/>
            </w:tcMar>
          </w:tcPr>
          <w:p>
            <w:pPr>
              <w:jc w:val="left"/>
            </w:pPr>
            <w:r>
              <w:rPr>
                <w:sz w:val="12"/>
              </w:rPr>
              <w:t>Exp. Smoothing (ETS)</w:t>
            </w:r>
          </w:p>
        </w:tc>
        <w:tc>
          <w:tcPr>
            <w:tcW w:w="750" w:type="dxa"/>
            <w:tcMar>
              <w:top w:w="15" w:type="dxa"/>
              <w:bottom w:w="15" w:type="dxa"/>
              <w:left w:w="20" w:type="dxa"/>
              <w:right w:w="20" w:type="dxa"/>
            </w:tcMar>
          </w:tcPr>
          <w:p>
            <w:pPr>
              <w:jc w:val="right"/>
            </w:pPr>
            <w:r>
              <w:rPr>
                <w:sz w:val="12"/>
              </w:rPr>
              <w:t>3.41 ± 0.16</w:t>
            </w:r>
          </w:p>
        </w:tc>
        <w:tc>
          <w:tcPr>
            <w:tcW w:w="750" w:type="dxa"/>
            <w:tcMar>
              <w:top w:w="15" w:type="dxa"/>
              <w:bottom w:w="15" w:type="dxa"/>
              <w:left w:w="20" w:type="dxa"/>
              <w:right w:w="20" w:type="dxa"/>
            </w:tcMar>
          </w:tcPr>
          <w:p>
            <w:pPr>
              <w:jc w:val="right"/>
            </w:pPr>
            <w:r>
              <w:rPr>
                <w:sz w:val="12"/>
              </w:rPr>
              <w:t>4.46 ± 0.28</w:t>
            </w:r>
          </w:p>
        </w:tc>
        <w:tc>
          <w:tcPr>
            <w:tcW w:w="850" w:type="dxa"/>
            <w:tcMar>
              <w:top w:w="15" w:type="dxa"/>
              <w:bottom w:w="15" w:type="dxa"/>
              <w:left w:w="20" w:type="dxa"/>
              <w:right w:w="20" w:type="dxa"/>
            </w:tcMar>
          </w:tcPr>
          <w:p>
            <w:pPr>
              <w:jc w:val="right"/>
            </w:pPr>
            <w:r>
              <w:rPr>
                <w:sz w:val="12"/>
              </w:rPr>
              <w:t>25.42 ± 0.92</w:t>
            </w:r>
          </w:p>
        </w:tc>
        <w:tc>
          <w:tcPr>
            <w:tcW w:w="750" w:type="dxa"/>
            <w:tcMar>
              <w:top w:w="15" w:type="dxa"/>
              <w:bottom w:w="15" w:type="dxa"/>
              <w:left w:w="20" w:type="dxa"/>
              <w:right w:w="20" w:type="dxa"/>
            </w:tcMar>
          </w:tcPr>
          <w:p>
            <w:pPr>
              <w:jc w:val="right"/>
            </w:pPr>
            <w:r>
              <w:rPr>
                <w:sz w:val="12"/>
              </w:rPr>
              <w:t>—</w:t>
            </w:r>
          </w:p>
        </w:tc>
      </w:tr>
      <w:tr>
        <w:trPr>
          <w:cantSplit/>
        </w:trPr>
        <w:tc>
          <w:tcPr>
            <w:tcW w:w="1700" w:type="dxa"/>
            <w:tcMar>
              <w:top w:w="15" w:type="dxa"/>
              <w:bottom w:w="15" w:type="dxa"/>
              <w:left w:w="20" w:type="dxa"/>
              <w:right w:w="20" w:type="dxa"/>
            </w:tcMar>
          </w:tcPr>
          <w:p>
            <w:pPr>
              <w:jc w:val="left"/>
            </w:pPr>
            <w:r>
              <w:rPr>
                <w:sz w:val="12"/>
              </w:rPr>
              <w:t>Tabular GBDT (RFM)</w:t>
            </w:r>
          </w:p>
        </w:tc>
        <w:tc>
          <w:tcPr>
            <w:tcW w:w="750" w:type="dxa"/>
            <w:tcMar>
              <w:top w:w="15" w:type="dxa"/>
              <w:bottom w:w="15" w:type="dxa"/>
              <w:left w:w="20" w:type="dxa"/>
              <w:right w:w="20" w:type="dxa"/>
            </w:tcMar>
          </w:tcPr>
          <w:p>
            <w:pPr>
              <w:jc w:val="right"/>
            </w:pPr>
            <w:r>
              <w:rPr>
                <w:sz w:val="12"/>
              </w:rPr>
              <w:t>3.89 ± 0.12</w:t>
            </w:r>
          </w:p>
        </w:tc>
        <w:tc>
          <w:tcPr>
            <w:tcW w:w="750" w:type="dxa"/>
            <w:tcMar>
              <w:top w:w="15" w:type="dxa"/>
              <w:bottom w:w="15" w:type="dxa"/>
              <w:left w:w="20" w:type="dxa"/>
              <w:right w:w="20" w:type="dxa"/>
            </w:tcMar>
          </w:tcPr>
          <w:p>
            <w:pPr>
              <w:jc w:val="right"/>
            </w:pPr>
            <w:r>
              <w:rPr>
                <w:sz w:val="12"/>
              </w:rPr>
              <w:t>5.31 ± 0.42</w:t>
            </w:r>
          </w:p>
        </w:tc>
        <w:tc>
          <w:tcPr>
            <w:tcW w:w="850" w:type="dxa"/>
            <w:tcMar>
              <w:top w:w="15" w:type="dxa"/>
              <w:bottom w:w="15" w:type="dxa"/>
              <w:left w:w="20" w:type="dxa"/>
              <w:right w:w="20" w:type="dxa"/>
            </w:tcMar>
          </w:tcPr>
          <w:p>
            <w:pPr>
              <w:jc w:val="right"/>
            </w:pPr>
            <w:r>
              <w:rPr>
                <w:sz w:val="12"/>
              </w:rPr>
              <w:t>27.68 ± 0.79</w:t>
            </w:r>
          </w:p>
        </w:tc>
        <w:tc>
          <w:tcPr>
            <w:tcW w:w="750" w:type="dxa"/>
            <w:tcMar>
              <w:top w:w="15" w:type="dxa"/>
              <w:bottom w:w="15" w:type="dxa"/>
              <w:left w:w="20" w:type="dxa"/>
              <w:right w:w="20" w:type="dxa"/>
            </w:tcMar>
          </w:tcPr>
          <w:p>
            <w:pPr>
              <w:jc w:val="right"/>
            </w:pPr>
            <w:r>
              <w:rPr>
                <w:sz w:val="12"/>
              </w:rPr>
              <w:t>—</w:t>
            </w:r>
          </w:p>
        </w:tc>
      </w:tr>
      <w:tr>
        <w:trPr>
          <w:cantSplit/>
        </w:trPr>
        <w:tc>
          <w:tcPr>
            <w:tcW w:w="1700" w:type="dxa"/>
            <w:tcMar>
              <w:top w:w="15" w:type="dxa"/>
              <w:bottom w:w="15" w:type="dxa"/>
              <w:left w:w="20" w:type="dxa"/>
              <w:right w:w="20" w:type="dxa"/>
            </w:tcMar>
          </w:tcPr>
          <w:p>
            <w:pPr>
              <w:jc w:val="left"/>
            </w:pPr>
            <w:r>
              <w:rPr>
                <w:sz w:val="12"/>
              </w:rPr>
              <w:t>NB-GLM (Category)</w:t>
            </w:r>
          </w:p>
        </w:tc>
        <w:tc>
          <w:tcPr>
            <w:tcW w:w="750" w:type="dxa"/>
            <w:tcMar>
              <w:top w:w="15" w:type="dxa"/>
              <w:bottom w:w="15" w:type="dxa"/>
              <w:left w:w="20" w:type="dxa"/>
              <w:right w:w="20" w:type="dxa"/>
            </w:tcMar>
          </w:tcPr>
          <w:p>
            <w:pPr>
              <w:jc w:val="right"/>
            </w:pPr>
            <w:r>
              <w:rPr>
                <w:sz w:val="12"/>
              </w:rPr>
              <w:t>3.78 ± 0.20</w:t>
            </w:r>
          </w:p>
        </w:tc>
        <w:tc>
          <w:tcPr>
            <w:tcW w:w="750" w:type="dxa"/>
            <w:tcMar>
              <w:top w:w="15" w:type="dxa"/>
              <w:bottom w:w="15" w:type="dxa"/>
              <w:left w:w="20" w:type="dxa"/>
              <w:right w:w="20" w:type="dxa"/>
            </w:tcMar>
          </w:tcPr>
          <w:p>
            <w:pPr>
              <w:jc w:val="right"/>
            </w:pPr>
            <w:r>
              <w:rPr>
                <w:sz w:val="12"/>
              </w:rPr>
              <w:t>4.96 ± 0.38</w:t>
            </w:r>
          </w:p>
        </w:tc>
        <w:tc>
          <w:tcPr>
            <w:tcW w:w="850" w:type="dxa"/>
            <w:tcMar>
              <w:top w:w="15" w:type="dxa"/>
              <w:bottom w:w="15" w:type="dxa"/>
              <w:left w:w="20" w:type="dxa"/>
              <w:right w:w="20" w:type="dxa"/>
            </w:tcMar>
          </w:tcPr>
          <w:p>
            <w:pPr>
              <w:jc w:val="right"/>
            </w:pPr>
            <w:r>
              <w:rPr>
                <w:sz w:val="12"/>
              </w:rPr>
              <w:t>27.55 ± 1.06</w:t>
            </w:r>
          </w:p>
        </w:tc>
        <w:tc>
          <w:tcPr>
            <w:tcW w:w="750" w:type="dxa"/>
            <w:tcMar>
              <w:top w:w="15" w:type="dxa"/>
              <w:bottom w:w="15" w:type="dxa"/>
              <w:left w:w="20" w:type="dxa"/>
              <w:right w:w="20" w:type="dxa"/>
            </w:tcMar>
          </w:tcPr>
          <w:p>
            <w:pPr>
              <w:jc w:val="right"/>
            </w:pPr>
            <w:r>
              <w:rPr>
                <w:sz w:val="12"/>
              </w:rPr>
              <w:t>3.17 ± 0.02</w:t>
            </w:r>
          </w:p>
        </w:tc>
      </w:tr>
      <w:tr>
        <w:trPr>
          <w:cantSplit/>
        </w:trPr>
        <w:tc>
          <w:tcPr>
            <w:tcW w:w="1700" w:type="dxa"/>
            <w:tcMar>
              <w:top w:w="15" w:type="dxa"/>
              <w:bottom w:w="15" w:type="dxa"/>
              <w:left w:w="20" w:type="dxa"/>
              <w:right w:w="20" w:type="dxa"/>
            </w:tcMar>
          </w:tcPr>
          <w:p>
            <w:pPr>
              <w:jc w:val="left"/>
            </w:pPr>
            <w:r>
              <w:rPr>
                <w:sz w:val="12"/>
              </w:rPr>
              <w:t>Static GNN (Bipartite)</w:t>
            </w:r>
          </w:p>
        </w:tc>
        <w:tc>
          <w:tcPr>
            <w:tcW w:w="750" w:type="dxa"/>
            <w:tcMar>
              <w:top w:w="15" w:type="dxa"/>
              <w:bottom w:w="15" w:type="dxa"/>
              <w:left w:w="20" w:type="dxa"/>
              <w:right w:w="20" w:type="dxa"/>
            </w:tcMar>
          </w:tcPr>
          <w:p>
            <w:pPr>
              <w:jc w:val="right"/>
            </w:pPr>
            <w:r>
              <w:rPr>
                <w:sz w:val="12"/>
              </w:rPr>
              <w:t>5.98 ± 0.54</w:t>
            </w:r>
          </w:p>
        </w:tc>
        <w:tc>
          <w:tcPr>
            <w:tcW w:w="750" w:type="dxa"/>
            <w:tcMar>
              <w:top w:w="15" w:type="dxa"/>
              <w:bottom w:w="15" w:type="dxa"/>
              <w:left w:w="20" w:type="dxa"/>
              <w:right w:w="20" w:type="dxa"/>
            </w:tcMar>
          </w:tcPr>
          <w:p>
            <w:pPr>
              <w:jc w:val="right"/>
            </w:pPr>
            <w:r>
              <w:rPr>
                <w:sz w:val="12"/>
              </w:rPr>
              <w:t>7.56 ± 0.77</w:t>
            </w:r>
          </w:p>
        </w:tc>
        <w:tc>
          <w:tcPr>
            <w:tcW w:w="850" w:type="dxa"/>
            <w:tcMar>
              <w:top w:w="15" w:type="dxa"/>
              <w:bottom w:w="15" w:type="dxa"/>
              <w:left w:w="20" w:type="dxa"/>
              <w:right w:w="20" w:type="dxa"/>
            </w:tcMar>
          </w:tcPr>
          <w:p>
            <w:pPr>
              <w:jc w:val="right"/>
            </w:pPr>
            <w:r>
              <w:rPr>
                <w:sz w:val="12"/>
              </w:rPr>
              <w:t>38.67 ± 2.13</w:t>
            </w:r>
          </w:p>
        </w:tc>
        <w:tc>
          <w:tcPr>
            <w:tcW w:w="750" w:type="dxa"/>
            <w:tcMar>
              <w:top w:w="15" w:type="dxa"/>
              <w:bottom w:w="15" w:type="dxa"/>
              <w:left w:w="20" w:type="dxa"/>
              <w:right w:w="20" w:type="dxa"/>
            </w:tcMar>
          </w:tcPr>
          <w:p>
            <w:pPr>
              <w:jc w:val="right"/>
            </w:pPr>
            <w:r>
              <w:rPr>
                <w:sz w:val="12"/>
              </w:rPr>
              <w:t>3.31 ± 0.03</w:t>
            </w:r>
          </w:p>
        </w:tc>
      </w:tr>
      <w:tr>
        <w:trPr>
          <w:cantSplit/>
        </w:trPr>
        <w:tc>
          <w:tcPr>
            <w:tcW w:w="1700" w:type="dxa"/>
            <w:shd w:fill="E8F5E9"/>
            <w:tcMar>
              <w:top w:w="15" w:type="dxa"/>
              <w:bottom w:w="15" w:type="dxa"/>
              <w:left w:w="20" w:type="dxa"/>
              <w:right w:w="20" w:type="dxa"/>
            </w:tcMar>
          </w:tcPr>
          <w:p>
            <w:pPr>
              <w:jc w:val="left"/>
            </w:pPr>
            <w:r>
              <w:rPr>
                <w:b/>
                <w:sz w:val="12"/>
              </w:rPr>
              <w:t>HAMTA Temporal (Ours)</w:t>
            </w:r>
          </w:p>
        </w:tc>
        <w:tc>
          <w:tcPr>
            <w:tcW w:w="750" w:type="dxa"/>
            <w:shd w:fill="E8F5E9"/>
            <w:tcMar>
              <w:top w:w="15" w:type="dxa"/>
              <w:bottom w:w="15" w:type="dxa"/>
              <w:left w:w="20" w:type="dxa"/>
              <w:right w:w="20" w:type="dxa"/>
            </w:tcMar>
          </w:tcPr>
          <w:p>
            <w:pPr>
              <w:jc w:val="right"/>
            </w:pPr>
            <w:r>
              <w:rPr>
                <w:b/>
                <w:sz w:val="12"/>
              </w:rPr>
              <w:t>4.48 ± 0.42</w:t>
            </w:r>
          </w:p>
        </w:tc>
        <w:tc>
          <w:tcPr>
            <w:tcW w:w="750" w:type="dxa"/>
            <w:shd w:fill="E8F5E9"/>
            <w:tcMar>
              <w:top w:w="15" w:type="dxa"/>
              <w:bottom w:w="15" w:type="dxa"/>
              <w:left w:w="20" w:type="dxa"/>
              <w:right w:w="20" w:type="dxa"/>
            </w:tcMar>
          </w:tcPr>
          <w:p>
            <w:pPr>
              <w:jc w:val="right"/>
            </w:pPr>
            <w:r>
              <w:rPr>
                <w:b/>
                <w:sz w:val="12"/>
              </w:rPr>
              <w:t>5.86 ± 0.58</w:t>
            </w:r>
          </w:p>
        </w:tc>
        <w:tc>
          <w:tcPr>
            <w:tcW w:w="850" w:type="dxa"/>
            <w:shd w:fill="E8F5E9"/>
            <w:tcMar>
              <w:top w:w="15" w:type="dxa"/>
              <w:bottom w:w="15" w:type="dxa"/>
              <w:left w:w="20" w:type="dxa"/>
              <w:right w:w="20" w:type="dxa"/>
            </w:tcMar>
          </w:tcPr>
          <w:p>
            <w:pPr>
              <w:jc w:val="right"/>
            </w:pPr>
            <w:r>
              <w:rPr>
                <w:b/>
                <w:sz w:val="12"/>
              </w:rPr>
              <w:t>31.37 ± 2.11</w:t>
            </w:r>
          </w:p>
        </w:tc>
        <w:tc>
          <w:tcPr>
            <w:tcW w:w="750" w:type="dxa"/>
            <w:shd w:fill="E8F5E9"/>
            <w:tcMar>
              <w:top w:w="15" w:type="dxa"/>
              <w:bottom w:w="15" w:type="dxa"/>
              <w:left w:w="20" w:type="dxa"/>
              <w:right w:w="20" w:type="dxa"/>
            </w:tcMar>
          </w:tcPr>
          <w:p>
            <w:pPr>
              <w:jc w:val="right"/>
            </w:pPr>
            <w:r>
              <w:rPr>
                <w:b/>
                <w:sz w:val="12"/>
              </w:rPr>
              <w:t>3.51 ± 0.31</w:t>
            </w:r>
          </w:p>
        </w:tc>
      </w:tr>
    </w:tbl>
    <w:p>
      <w:pPr>
        <w:spacing w:after="30" w:line="235" w:lineRule="auto"/>
        <w:ind w:firstLine="202"/>
        <w:jc w:val="both"/>
      </w:pPr>
      <w:r>
        <w:rPr>
          <w:sz w:val="16"/>
        </w:rPr>
        <w:t>As reported in Table I, HAMTA achieves a forecasting MAE of 4.48 ± 0.42 and RMSE of 5.86 ± 0.58 under leak-free chronological evaluation. Crucially, HAMTA is not designed to minimize standalone one-step time-series forecasting error; forecasting is an intermediate component for downstream peer-relative opportunity ranking. Stationary statistical smoothers (ETS MAE 3.41 ± 0.16, Moving Average MAE 3.51 ± 0.19) minimize one-step point error on stationary series, but they are topologically blind to relational network structure, co-visiting customer basins, and peer distributions. Consequently, univariate forecasters cannot induce peer benchmarks or rank relative opportunity gaps. HAMTA significantly outperforms the static graph baseline (Static GNN MAE 5.98 ± 0.54) and accepts a modest point-forecast trade-off in order to learn topologically expressive representations essential for downstream peer benchmarking and structural opportunity ranking.</w:t>
      </w:r>
    </w:p>
    <w:p>
      <w:pPr>
        <w:keepNext/>
        <w:spacing w:before="70" w:after="20"/>
        <w:jc w:val="left"/>
      </w:pPr>
      <w:r>
        <w:rPr>
          <w:i/>
          <w:sz w:val="16"/>
        </w:rPr>
        <w:t>B. Campaign Prioritization Ranking Benchmark</w:t>
      </w:r>
    </w:p>
    <w:p>
      <w:pPr>
        <w:spacing w:after="30" w:line="235" w:lineRule="auto"/>
        <w:ind w:firstLine="202"/>
        <w:jc w:val="both"/>
      </w:pPr>
      <w:r>
        <w:rPr>
          <w:sz w:val="16"/>
        </w:rPr>
        <w:t>Table II details opportunity recovery performance when selecting the Top-35 candidate merchants (a realistic 10% acquiring campaign budget out of 350 merchants) across 10 random seeds.</w:t>
      </w:r>
    </w:p>
    <w:p>
      <w:pPr>
        <w:keepNext/>
        <w:spacing w:before="60" w:after="40"/>
        <w:jc w:val="center"/>
      </w:pPr>
      <w:r>
        <w:rPr>
          <w:b/>
          <w:sz w:val="14"/>
        </w:rPr>
        <w:t>TABLE II. CAMPAIGN PRIORITIZATION BENCHMARK (TOP-35 MERCHANTS, 10 SEEDS)</w:t>
      </w:r>
    </w:p>
    <w:tbl>
      <w:tblPr>
        <w:jc w:val="center"/>
        <w:tblLook w:firstColumn="1" w:firstRow="1" w:lastColumn="0" w:lastRow="0" w:noHBand="0" w:noVBand="1" w:val="04A0"/>
        <w:tblW w:w="4800" w:type="dxa"/>
        <w:tblLayout w:type="fixed"/>
        <w:tblBorders>
          <w:top w:val="single" w:sz="8" w:space="0" w:color="000000"/>
          <w:bottom w:val="single" w:sz="8" w:space="0" w:color="000000"/>
          <w:insideH w:val="single" w:sz="4" w:space="0" w:color="808080"/>
        </w:tblBorders>
      </w:tblPr>
      <w:tblGrid>
        <w:gridCol w:w="1350"/>
        <w:gridCol w:w="690"/>
        <w:gridCol w:w="690"/>
        <w:gridCol w:w="690"/>
        <w:gridCol w:w="690"/>
        <w:gridCol w:w="690"/>
      </w:tblGrid>
      <w:tr>
        <w:trPr>
          <w:cantSplit/>
        </w:trPr>
        <w:tc>
          <w:tcPr>
            <w:tcW w:w="1350" w:type="dxa"/>
            <w:shd w:fill="E0E0E0"/>
            <w:tcMar>
              <w:top w:w="14" w:type="dxa"/>
              <w:bottom w:w="14" w:type="dxa"/>
              <w:left w:w="8" w:type="dxa"/>
              <w:right w:w="8" w:type="dxa"/>
            </w:tcMar>
          </w:tcPr>
          <w:p>
            <w:pPr>
              <w:jc w:val="center"/>
            </w:pPr>
            <w:r>
              <w:rPr>
                <w:b/>
                <w:sz w:val="11"/>
              </w:rPr>
              <w:t>Model / Strategy</w:t>
            </w:r>
          </w:p>
        </w:tc>
        <w:tc>
          <w:tcPr>
            <w:tcW w:w="690" w:type="dxa"/>
            <w:shd w:fill="E0E0E0"/>
            <w:tcMar>
              <w:top w:w="14" w:type="dxa"/>
              <w:bottom w:w="14" w:type="dxa"/>
              <w:left w:w="8" w:type="dxa"/>
              <w:right w:w="8" w:type="dxa"/>
            </w:tcMar>
          </w:tcPr>
          <w:p>
            <w:pPr>
              <w:jc w:val="center"/>
            </w:pPr>
            <w:r>
              <w:rPr>
                <w:b/>
                <w:sz w:val="11"/>
              </w:rPr>
              <w:t>P@35</w:t>
            </w:r>
          </w:p>
        </w:tc>
        <w:tc>
          <w:tcPr>
            <w:tcW w:w="690" w:type="dxa"/>
            <w:shd w:fill="E0E0E0"/>
            <w:tcMar>
              <w:top w:w="14" w:type="dxa"/>
              <w:bottom w:w="14" w:type="dxa"/>
              <w:left w:w="8" w:type="dxa"/>
              <w:right w:w="8" w:type="dxa"/>
            </w:tcMar>
          </w:tcPr>
          <w:p>
            <w:pPr>
              <w:jc w:val="center"/>
            </w:pPr>
            <w:r>
              <w:rPr>
                <w:b/>
                <w:sz w:val="11"/>
              </w:rPr>
              <w:t>R@35</w:t>
            </w:r>
          </w:p>
        </w:tc>
        <w:tc>
          <w:tcPr>
            <w:tcW w:w="690" w:type="dxa"/>
            <w:shd w:fill="E0E0E0"/>
            <w:tcMar>
              <w:top w:w="14" w:type="dxa"/>
              <w:bottom w:w="14" w:type="dxa"/>
              <w:left w:w="8" w:type="dxa"/>
              <w:right w:w="8" w:type="dxa"/>
            </w:tcMar>
          </w:tcPr>
          <w:p>
            <w:pPr>
              <w:jc w:val="center"/>
            </w:pPr>
            <w:r>
              <w:rPr>
                <w:b/>
                <w:sz w:val="11"/>
              </w:rPr>
              <w:t>R-Prec</w:t>
            </w:r>
          </w:p>
        </w:tc>
        <w:tc>
          <w:tcPr>
            <w:tcW w:w="690" w:type="dxa"/>
            <w:shd w:fill="E0E0E0"/>
            <w:tcMar>
              <w:top w:w="14" w:type="dxa"/>
              <w:bottom w:w="14" w:type="dxa"/>
              <w:left w:w="8" w:type="dxa"/>
              <w:right w:w="8" w:type="dxa"/>
            </w:tcMar>
          </w:tcPr>
          <w:p>
            <w:pPr>
              <w:jc w:val="center"/>
            </w:pPr>
            <w:r>
              <w:rPr>
                <w:b/>
                <w:sz w:val="11"/>
              </w:rPr>
              <w:t>NDCG@35</w:t>
            </w:r>
          </w:p>
        </w:tc>
        <w:tc>
          <w:tcPr>
            <w:tcW w:w="690" w:type="dxa"/>
            <w:shd w:fill="E0E0E0"/>
            <w:tcMar>
              <w:top w:w="14" w:type="dxa"/>
              <w:bottom w:w="14" w:type="dxa"/>
              <w:left w:w="8" w:type="dxa"/>
              <w:right w:w="8" w:type="dxa"/>
            </w:tcMar>
          </w:tcPr>
          <w:p>
            <w:pPr>
              <w:jc w:val="center"/>
            </w:pPr>
            <w:r>
              <w:rPr>
                <w:b/>
                <w:sz w:val="11"/>
              </w:rPr>
              <w:t>MAP@35</w:t>
            </w:r>
          </w:p>
        </w:tc>
      </w:tr>
      <w:tr>
        <w:trPr>
          <w:cantSplit/>
        </w:trPr>
        <w:tc>
          <w:tcPr>
            <w:tcW w:w="1350" w:type="dxa"/>
            <w:tcMar>
              <w:top w:w="12" w:type="dxa"/>
              <w:bottom w:w="12" w:type="dxa"/>
              <w:left w:w="8" w:type="dxa"/>
              <w:right w:w="8" w:type="dxa"/>
            </w:tcMar>
          </w:tcPr>
          <w:p>
            <w:pPr>
              <w:jc w:val="left"/>
            </w:pPr>
            <w:r>
              <w:rPr>
                <w:sz w:val="11"/>
              </w:rPr>
              <w:t>Lowest Volume</w:t>
            </w:r>
          </w:p>
        </w:tc>
        <w:tc>
          <w:tcPr>
            <w:tcW w:w="690" w:type="dxa"/>
            <w:tcMar>
              <w:top w:w="12" w:type="dxa"/>
              <w:bottom w:w="12" w:type="dxa"/>
              <w:left w:w="8" w:type="dxa"/>
              <w:right w:w="8" w:type="dxa"/>
            </w:tcMar>
          </w:tcPr>
          <w:p>
            <w:pPr>
              <w:jc w:val="right"/>
            </w:pPr>
            <w:r>
              <w:rPr>
                <w:sz w:val="11"/>
              </w:rPr>
              <w:t>0.197 ± 0.053</w:t>
            </w:r>
          </w:p>
        </w:tc>
        <w:tc>
          <w:tcPr>
            <w:tcW w:w="690" w:type="dxa"/>
            <w:tcMar>
              <w:top w:w="12" w:type="dxa"/>
              <w:bottom w:w="12" w:type="dxa"/>
              <w:left w:w="8" w:type="dxa"/>
              <w:right w:w="8" w:type="dxa"/>
            </w:tcMar>
          </w:tcPr>
          <w:p>
            <w:pPr>
              <w:jc w:val="right"/>
            </w:pPr>
            <w:r>
              <w:rPr>
                <w:sz w:val="11"/>
              </w:rPr>
              <w:t>0.133 ± 0.036</w:t>
            </w:r>
          </w:p>
        </w:tc>
        <w:tc>
          <w:tcPr>
            <w:tcW w:w="690" w:type="dxa"/>
            <w:tcMar>
              <w:top w:w="12" w:type="dxa"/>
              <w:bottom w:w="12" w:type="dxa"/>
              <w:left w:w="8" w:type="dxa"/>
              <w:right w:w="8" w:type="dxa"/>
            </w:tcMar>
          </w:tcPr>
          <w:p>
            <w:pPr>
              <w:jc w:val="right"/>
            </w:pPr>
            <w:r>
              <w:rPr>
                <w:sz w:val="11"/>
              </w:rPr>
              <w:t>0.194 ± 0.052</w:t>
            </w:r>
          </w:p>
        </w:tc>
        <w:tc>
          <w:tcPr>
            <w:tcW w:w="690" w:type="dxa"/>
            <w:tcMar>
              <w:top w:w="12" w:type="dxa"/>
              <w:bottom w:w="12" w:type="dxa"/>
              <w:left w:w="8" w:type="dxa"/>
              <w:right w:w="8" w:type="dxa"/>
            </w:tcMar>
          </w:tcPr>
          <w:p>
            <w:pPr>
              <w:jc w:val="right"/>
            </w:pPr>
            <w:r>
              <w:rPr>
                <w:sz w:val="11"/>
              </w:rPr>
              <w:t>0.203 ± 0.056</w:t>
            </w:r>
          </w:p>
        </w:tc>
        <w:tc>
          <w:tcPr>
            <w:tcW w:w="690" w:type="dxa"/>
            <w:tcMar>
              <w:top w:w="12" w:type="dxa"/>
              <w:bottom w:w="12" w:type="dxa"/>
              <w:left w:w="8" w:type="dxa"/>
              <w:right w:w="8" w:type="dxa"/>
            </w:tcMar>
          </w:tcPr>
          <w:p>
            <w:pPr>
              <w:jc w:val="right"/>
            </w:pPr>
            <w:r>
              <w:rPr>
                <w:sz w:val="11"/>
              </w:rPr>
              <w:t>0.059 ± 0.030</w:t>
            </w:r>
          </w:p>
        </w:tc>
      </w:tr>
      <w:tr>
        <w:trPr>
          <w:cantSplit/>
        </w:trPr>
        <w:tc>
          <w:tcPr>
            <w:tcW w:w="1350" w:type="dxa"/>
            <w:tcMar>
              <w:top w:w="12" w:type="dxa"/>
              <w:bottom w:w="12" w:type="dxa"/>
              <w:left w:w="8" w:type="dxa"/>
              <w:right w:w="8" w:type="dxa"/>
            </w:tcMar>
          </w:tcPr>
          <w:p>
            <w:pPr>
              <w:jc w:val="left"/>
            </w:pPr>
            <w:r>
              <w:rPr>
                <w:sz w:val="11"/>
              </w:rPr>
              <w:t>Recent Volume</w:t>
            </w:r>
          </w:p>
        </w:tc>
        <w:tc>
          <w:tcPr>
            <w:tcW w:w="690" w:type="dxa"/>
            <w:tcMar>
              <w:top w:w="12" w:type="dxa"/>
              <w:bottom w:w="12" w:type="dxa"/>
              <w:left w:w="8" w:type="dxa"/>
              <w:right w:w="8" w:type="dxa"/>
            </w:tcMar>
          </w:tcPr>
          <w:p>
            <w:pPr>
              <w:jc w:val="right"/>
            </w:pPr>
            <w:r>
              <w:rPr>
                <w:sz w:val="11"/>
              </w:rPr>
              <w:t>0.220 ± 0.054</w:t>
            </w:r>
          </w:p>
        </w:tc>
        <w:tc>
          <w:tcPr>
            <w:tcW w:w="690" w:type="dxa"/>
            <w:tcMar>
              <w:top w:w="12" w:type="dxa"/>
              <w:bottom w:w="12" w:type="dxa"/>
              <w:left w:w="8" w:type="dxa"/>
              <w:right w:w="8" w:type="dxa"/>
            </w:tcMar>
          </w:tcPr>
          <w:p>
            <w:pPr>
              <w:jc w:val="right"/>
            </w:pPr>
            <w:r>
              <w:rPr>
                <w:sz w:val="11"/>
              </w:rPr>
              <w:t>0.148 ± 0.036</w:t>
            </w:r>
          </w:p>
        </w:tc>
        <w:tc>
          <w:tcPr>
            <w:tcW w:w="690" w:type="dxa"/>
            <w:tcMar>
              <w:top w:w="12" w:type="dxa"/>
              <w:bottom w:w="12" w:type="dxa"/>
              <w:left w:w="8" w:type="dxa"/>
              <w:right w:w="8" w:type="dxa"/>
            </w:tcMar>
          </w:tcPr>
          <w:p>
            <w:pPr>
              <w:jc w:val="right"/>
            </w:pPr>
            <w:r>
              <w:rPr>
                <w:sz w:val="11"/>
              </w:rPr>
              <w:t>0.202 ± 0.032</w:t>
            </w:r>
          </w:p>
        </w:tc>
        <w:tc>
          <w:tcPr>
            <w:tcW w:w="690" w:type="dxa"/>
            <w:tcMar>
              <w:top w:w="12" w:type="dxa"/>
              <w:bottom w:w="12" w:type="dxa"/>
              <w:left w:w="8" w:type="dxa"/>
              <w:right w:w="8" w:type="dxa"/>
            </w:tcMar>
          </w:tcPr>
          <w:p>
            <w:pPr>
              <w:jc w:val="right"/>
            </w:pPr>
            <w:r>
              <w:rPr>
                <w:sz w:val="11"/>
              </w:rPr>
              <w:t>0.245 ± 0.074</w:t>
            </w:r>
          </w:p>
        </w:tc>
        <w:tc>
          <w:tcPr>
            <w:tcW w:w="690" w:type="dxa"/>
            <w:tcMar>
              <w:top w:w="12" w:type="dxa"/>
              <w:bottom w:w="12" w:type="dxa"/>
              <w:left w:w="8" w:type="dxa"/>
              <w:right w:w="8" w:type="dxa"/>
            </w:tcMar>
          </w:tcPr>
          <w:p>
            <w:pPr>
              <w:jc w:val="right"/>
            </w:pPr>
            <w:r>
              <w:rPr>
                <w:sz w:val="11"/>
              </w:rPr>
              <w:t>0.082 ± 0.039</w:t>
            </w:r>
          </w:p>
        </w:tc>
      </w:tr>
      <w:tr>
        <w:trPr>
          <w:cantSplit/>
        </w:trPr>
        <w:tc>
          <w:tcPr>
            <w:tcW w:w="1350" w:type="dxa"/>
            <w:tcMar>
              <w:top w:w="12" w:type="dxa"/>
              <w:bottom w:w="12" w:type="dxa"/>
              <w:left w:w="8" w:type="dxa"/>
              <w:right w:w="8" w:type="dxa"/>
            </w:tcMar>
          </w:tcPr>
          <w:p>
            <w:pPr>
              <w:jc w:val="left"/>
            </w:pPr>
            <w:r>
              <w:rPr>
                <w:sz w:val="11"/>
              </w:rPr>
              <w:t>Tabular GBDT</w:t>
            </w:r>
          </w:p>
        </w:tc>
        <w:tc>
          <w:tcPr>
            <w:tcW w:w="690" w:type="dxa"/>
            <w:tcMar>
              <w:top w:w="12" w:type="dxa"/>
              <w:bottom w:w="12" w:type="dxa"/>
              <w:left w:w="8" w:type="dxa"/>
              <w:right w:w="8" w:type="dxa"/>
            </w:tcMar>
          </w:tcPr>
          <w:p>
            <w:pPr>
              <w:jc w:val="right"/>
            </w:pPr>
            <w:r>
              <w:rPr>
                <w:sz w:val="11"/>
              </w:rPr>
              <w:t>0.214 ± 0.064</w:t>
            </w:r>
          </w:p>
        </w:tc>
        <w:tc>
          <w:tcPr>
            <w:tcW w:w="690" w:type="dxa"/>
            <w:tcMar>
              <w:top w:w="12" w:type="dxa"/>
              <w:bottom w:w="12" w:type="dxa"/>
              <w:left w:w="8" w:type="dxa"/>
              <w:right w:w="8" w:type="dxa"/>
            </w:tcMar>
          </w:tcPr>
          <w:p>
            <w:pPr>
              <w:jc w:val="right"/>
            </w:pPr>
            <w:r>
              <w:rPr>
                <w:sz w:val="11"/>
              </w:rPr>
              <w:t>0.144 ± 0.043</w:t>
            </w:r>
          </w:p>
        </w:tc>
        <w:tc>
          <w:tcPr>
            <w:tcW w:w="690" w:type="dxa"/>
            <w:tcMar>
              <w:top w:w="12" w:type="dxa"/>
              <w:bottom w:w="12" w:type="dxa"/>
              <w:left w:w="8" w:type="dxa"/>
              <w:right w:w="8" w:type="dxa"/>
            </w:tcMar>
          </w:tcPr>
          <w:p>
            <w:pPr>
              <w:jc w:val="right"/>
            </w:pPr>
            <w:r>
              <w:rPr>
                <w:sz w:val="11"/>
              </w:rPr>
              <w:t>0.188 ± 0.042</w:t>
            </w:r>
          </w:p>
        </w:tc>
        <w:tc>
          <w:tcPr>
            <w:tcW w:w="690" w:type="dxa"/>
            <w:tcMar>
              <w:top w:w="12" w:type="dxa"/>
              <w:bottom w:w="12" w:type="dxa"/>
              <w:left w:w="8" w:type="dxa"/>
              <w:right w:w="8" w:type="dxa"/>
            </w:tcMar>
          </w:tcPr>
          <w:p>
            <w:pPr>
              <w:jc w:val="right"/>
            </w:pPr>
            <w:r>
              <w:rPr>
                <w:sz w:val="11"/>
              </w:rPr>
              <w:t>0.237 ± 0.083</w:t>
            </w:r>
          </w:p>
        </w:tc>
        <w:tc>
          <w:tcPr>
            <w:tcW w:w="690" w:type="dxa"/>
            <w:tcMar>
              <w:top w:w="12" w:type="dxa"/>
              <w:bottom w:w="12" w:type="dxa"/>
              <w:left w:w="8" w:type="dxa"/>
              <w:right w:w="8" w:type="dxa"/>
            </w:tcMar>
          </w:tcPr>
          <w:p>
            <w:pPr>
              <w:jc w:val="right"/>
            </w:pPr>
            <w:r>
              <w:rPr>
                <w:sz w:val="11"/>
              </w:rPr>
              <w:t>0.082 ± 0.049</w:t>
            </w:r>
          </w:p>
        </w:tc>
      </w:tr>
      <w:tr>
        <w:trPr>
          <w:cantSplit/>
        </w:trPr>
        <w:tc>
          <w:tcPr>
            <w:tcW w:w="1350" w:type="dxa"/>
            <w:tcMar>
              <w:top w:w="12" w:type="dxa"/>
              <w:bottom w:w="12" w:type="dxa"/>
              <w:left w:w="8" w:type="dxa"/>
              <w:right w:w="8" w:type="dxa"/>
            </w:tcMar>
          </w:tcPr>
          <w:p>
            <w:pPr>
              <w:jc w:val="left"/>
            </w:pPr>
            <w:r>
              <w:rPr>
                <w:sz w:val="11"/>
              </w:rPr>
              <w:t>kNN Peer Gap</w:t>
            </w:r>
          </w:p>
        </w:tc>
        <w:tc>
          <w:tcPr>
            <w:tcW w:w="690" w:type="dxa"/>
            <w:tcMar>
              <w:top w:w="12" w:type="dxa"/>
              <w:bottom w:w="12" w:type="dxa"/>
              <w:left w:w="8" w:type="dxa"/>
              <w:right w:w="8" w:type="dxa"/>
            </w:tcMar>
          </w:tcPr>
          <w:p>
            <w:pPr>
              <w:jc w:val="right"/>
            </w:pPr>
            <w:r>
              <w:rPr>
                <w:sz w:val="11"/>
              </w:rPr>
              <w:t>0.231 ± 0.053</w:t>
            </w:r>
          </w:p>
        </w:tc>
        <w:tc>
          <w:tcPr>
            <w:tcW w:w="690" w:type="dxa"/>
            <w:tcMar>
              <w:top w:w="12" w:type="dxa"/>
              <w:bottom w:w="12" w:type="dxa"/>
              <w:left w:w="8" w:type="dxa"/>
              <w:right w:w="8" w:type="dxa"/>
            </w:tcMar>
          </w:tcPr>
          <w:p>
            <w:pPr>
              <w:jc w:val="right"/>
            </w:pPr>
            <w:r>
              <w:rPr>
                <w:sz w:val="11"/>
              </w:rPr>
              <w:t>0.156 ± 0.036</w:t>
            </w:r>
          </w:p>
        </w:tc>
        <w:tc>
          <w:tcPr>
            <w:tcW w:w="690" w:type="dxa"/>
            <w:tcMar>
              <w:top w:w="12" w:type="dxa"/>
              <w:bottom w:w="12" w:type="dxa"/>
              <w:left w:w="8" w:type="dxa"/>
              <w:right w:w="8" w:type="dxa"/>
            </w:tcMar>
          </w:tcPr>
          <w:p>
            <w:pPr>
              <w:jc w:val="right"/>
            </w:pPr>
            <w:r>
              <w:rPr>
                <w:sz w:val="11"/>
              </w:rPr>
              <w:t>0.221 ± 0.035</w:t>
            </w:r>
          </w:p>
        </w:tc>
        <w:tc>
          <w:tcPr>
            <w:tcW w:w="690" w:type="dxa"/>
            <w:tcMar>
              <w:top w:w="12" w:type="dxa"/>
              <w:bottom w:w="12" w:type="dxa"/>
              <w:left w:w="8" w:type="dxa"/>
              <w:right w:w="8" w:type="dxa"/>
            </w:tcMar>
          </w:tcPr>
          <w:p>
            <w:pPr>
              <w:jc w:val="right"/>
            </w:pPr>
            <w:r>
              <w:rPr>
                <w:sz w:val="11"/>
              </w:rPr>
              <w:t>0.241 ± 0.071</w:t>
            </w:r>
          </w:p>
        </w:tc>
        <w:tc>
          <w:tcPr>
            <w:tcW w:w="690" w:type="dxa"/>
            <w:tcMar>
              <w:top w:w="12" w:type="dxa"/>
              <w:bottom w:w="12" w:type="dxa"/>
              <w:left w:w="8" w:type="dxa"/>
              <w:right w:w="8" w:type="dxa"/>
            </w:tcMar>
          </w:tcPr>
          <w:p>
            <w:pPr>
              <w:jc w:val="right"/>
            </w:pPr>
            <w:r>
              <w:rPr>
                <w:sz w:val="11"/>
              </w:rPr>
              <w:t>0.080 ± 0.039</w:t>
            </w:r>
          </w:p>
        </w:tc>
      </w:tr>
      <w:tr>
        <w:trPr>
          <w:cantSplit/>
        </w:trPr>
        <w:tc>
          <w:tcPr>
            <w:tcW w:w="1350" w:type="dxa"/>
            <w:tcMar>
              <w:top w:w="12" w:type="dxa"/>
              <w:bottom w:w="12" w:type="dxa"/>
              <w:left w:w="8" w:type="dxa"/>
              <w:right w:w="8" w:type="dxa"/>
            </w:tcMar>
          </w:tcPr>
          <w:p>
            <w:pPr>
              <w:jc w:val="left"/>
            </w:pPr>
            <w:r>
              <w:rPr>
                <w:sz w:val="11"/>
              </w:rPr>
              <w:t>Static GNN</w:t>
            </w:r>
          </w:p>
        </w:tc>
        <w:tc>
          <w:tcPr>
            <w:tcW w:w="690" w:type="dxa"/>
            <w:tcMar>
              <w:top w:w="12" w:type="dxa"/>
              <w:bottom w:w="12" w:type="dxa"/>
              <w:left w:w="8" w:type="dxa"/>
              <w:right w:w="8" w:type="dxa"/>
            </w:tcMar>
          </w:tcPr>
          <w:p>
            <w:pPr>
              <w:jc w:val="right"/>
            </w:pPr>
            <w:r>
              <w:rPr>
                <w:sz w:val="11"/>
              </w:rPr>
              <w:t>0.286 ± 0.071</w:t>
            </w:r>
          </w:p>
        </w:tc>
        <w:tc>
          <w:tcPr>
            <w:tcW w:w="690" w:type="dxa"/>
            <w:tcMar>
              <w:top w:w="12" w:type="dxa"/>
              <w:bottom w:w="12" w:type="dxa"/>
              <w:left w:w="8" w:type="dxa"/>
              <w:right w:w="8" w:type="dxa"/>
            </w:tcMar>
          </w:tcPr>
          <w:p>
            <w:pPr>
              <w:jc w:val="right"/>
            </w:pPr>
            <w:r>
              <w:rPr>
                <w:sz w:val="11"/>
              </w:rPr>
              <w:t>0.192 ± 0.048</w:t>
            </w:r>
          </w:p>
        </w:tc>
        <w:tc>
          <w:tcPr>
            <w:tcW w:w="690" w:type="dxa"/>
            <w:tcMar>
              <w:top w:w="12" w:type="dxa"/>
              <w:bottom w:w="12" w:type="dxa"/>
              <w:left w:w="8" w:type="dxa"/>
              <w:right w:w="8" w:type="dxa"/>
            </w:tcMar>
          </w:tcPr>
          <w:p>
            <w:pPr>
              <w:jc w:val="right"/>
            </w:pPr>
            <w:r>
              <w:rPr>
                <w:sz w:val="11"/>
              </w:rPr>
              <w:t>0.287 ± 0.056</w:t>
            </w:r>
          </w:p>
        </w:tc>
        <w:tc>
          <w:tcPr>
            <w:tcW w:w="690" w:type="dxa"/>
            <w:tcMar>
              <w:top w:w="12" w:type="dxa"/>
              <w:bottom w:w="12" w:type="dxa"/>
              <w:left w:w="8" w:type="dxa"/>
              <w:right w:w="8" w:type="dxa"/>
            </w:tcMar>
          </w:tcPr>
          <w:p>
            <w:pPr>
              <w:jc w:val="right"/>
            </w:pPr>
            <w:r>
              <w:rPr>
                <w:sz w:val="11"/>
              </w:rPr>
              <w:t>0.310 ± 0.079</w:t>
            </w:r>
          </w:p>
        </w:tc>
        <w:tc>
          <w:tcPr>
            <w:tcW w:w="690" w:type="dxa"/>
            <w:tcMar>
              <w:top w:w="12" w:type="dxa"/>
              <w:bottom w:w="12" w:type="dxa"/>
              <w:left w:w="8" w:type="dxa"/>
              <w:right w:w="8" w:type="dxa"/>
            </w:tcMar>
          </w:tcPr>
          <w:p>
            <w:pPr>
              <w:jc w:val="right"/>
            </w:pPr>
            <w:r>
              <w:rPr>
                <w:sz w:val="11"/>
              </w:rPr>
              <w:t>0.124 ± 0.055</w:t>
            </w:r>
          </w:p>
        </w:tc>
      </w:tr>
      <w:tr>
        <w:trPr>
          <w:cantSplit/>
        </w:trPr>
        <w:tc>
          <w:tcPr>
            <w:tcW w:w="1350" w:type="dxa"/>
            <w:tcMar>
              <w:top w:w="12" w:type="dxa"/>
              <w:bottom w:w="12" w:type="dxa"/>
              <w:left w:w="8" w:type="dxa"/>
              <w:right w:w="8" w:type="dxa"/>
            </w:tcMar>
          </w:tcPr>
          <w:p>
            <w:pPr>
              <w:jc w:val="left"/>
            </w:pPr>
            <w:r>
              <w:rPr>
                <w:sz w:val="11"/>
              </w:rPr>
              <w:t>SFA Frontier</w:t>
            </w:r>
          </w:p>
        </w:tc>
        <w:tc>
          <w:tcPr>
            <w:tcW w:w="690" w:type="dxa"/>
            <w:tcMar>
              <w:top w:w="12" w:type="dxa"/>
              <w:bottom w:w="12" w:type="dxa"/>
              <w:left w:w="8" w:type="dxa"/>
              <w:right w:w="8" w:type="dxa"/>
            </w:tcMar>
          </w:tcPr>
          <w:p>
            <w:pPr>
              <w:jc w:val="right"/>
            </w:pPr>
            <w:r>
              <w:rPr>
                <w:sz w:val="11"/>
              </w:rPr>
              <w:t>0.357 ± 0.083</w:t>
            </w:r>
          </w:p>
        </w:tc>
        <w:tc>
          <w:tcPr>
            <w:tcW w:w="690" w:type="dxa"/>
            <w:tcMar>
              <w:top w:w="12" w:type="dxa"/>
              <w:bottom w:w="12" w:type="dxa"/>
              <w:left w:w="8" w:type="dxa"/>
              <w:right w:w="8" w:type="dxa"/>
            </w:tcMar>
          </w:tcPr>
          <w:p>
            <w:pPr>
              <w:jc w:val="right"/>
            </w:pPr>
            <w:r>
              <w:rPr>
                <w:sz w:val="11"/>
              </w:rPr>
              <w:t>0.240 ± 0.056</w:t>
            </w:r>
          </w:p>
        </w:tc>
        <w:tc>
          <w:tcPr>
            <w:tcW w:w="690" w:type="dxa"/>
            <w:tcMar>
              <w:top w:w="12" w:type="dxa"/>
              <w:bottom w:w="12" w:type="dxa"/>
              <w:left w:w="8" w:type="dxa"/>
              <w:right w:w="8" w:type="dxa"/>
            </w:tcMar>
          </w:tcPr>
          <w:p>
            <w:pPr>
              <w:jc w:val="right"/>
            </w:pPr>
            <w:r>
              <w:rPr>
                <w:sz w:val="11"/>
              </w:rPr>
              <w:t>0.323 ± 0.075</w:t>
            </w:r>
          </w:p>
        </w:tc>
        <w:tc>
          <w:tcPr>
            <w:tcW w:w="690" w:type="dxa"/>
            <w:tcMar>
              <w:top w:w="12" w:type="dxa"/>
              <w:bottom w:w="12" w:type="dxa"/>
              <w:left w:w="8" w:type="dxa"/>
              <w:right w:w="8" w:type="dxa"/>
            </w:tcMar>
          </w:tcPr>
          <w:p>
            <w:pPr>
              <w:jc w:val="right"/>
            </w:pPr>
            <w:r>
              <w:rPr>
                <w:sz w:val="11"/>
              </w:rPr>
              <w:t>0.383 ± 0.085</w:t>
            </w:r>
          </w:p>
        </w:tc>
        <w:tc>
          <w:tcPr>
            <w:tcW w:w="690" w:type="dxa"/>
            <w:tcMar>
              <w:top w:w="12" w:type="dxa"/>
              <w:bottom w:w="12" w:type="dxa"/>
              <w:left w:w="8" w:type="dxa"/>
              <w:right w:w="8" w:type="dxa"/>
            </w:tcMar>
          </w:tcPr>
          <w:p>
            <w:pPr>
              <w:jc w:val="right"/>
            </w:pPr>
            <w:r>
              <w:rPr>
                <w:sz w:val="11"/>
              </w:rPr>
              <w:t>0.171 ± 0.058</w:t>
            </w:r>
          </w:p>
        </w:tc>
      </w:tr>
      <w:tr>
        <w:trPr>
          <w:cantSplit/>
        </w:trPr>
        <w:tc>
          <w:tcPr>
            <w:tcW w:w="1350" w:type="dxa"/>
            <w:tcMar>
              <w:top w:w="12" w:type="dxa"/>
              <w:bottom w:w="12" w:type="dxa"/>
              <w:left w:w="8" w:type="dxa"/>
              <w:right w:w="8" w:type="dxa"/>
            </w:tcMar>
          </w:tcPr>
          <w:p>
            <w:pPr>
              <w:jc w:val="left"/>
            </w:pPr>
            <w:r>
              <w:rPr>
                <w:sz w:val="11"/>
              </w:rPr>
              <w:t>M-GATO (w/o Q)</w:t>
            </w:r>
          </w:p>
        </w:tc>
        <w:tc>
          <w:tcPr>
            <w:tcW w:w="690" w:type="dxa"/>
            <w:tcMar>
              <w:top w:w="12" w:type="dxa"/>
              <w:bottom w:w="12" w:type="dxa"/>
              <w:left w:w="8" w:type="dxa"/>
              <w:right w:w="8" w:type="dxa"/>
            </w:tcMar>
          </w:tcPr>
          <w:p>
            <w:pPr>
              <w:jc w:val="right"/>
            </w:pPr>
            <w:r>
              <w:rPr>
                <w:sz w:val="11"/>
              </w:rPr>
              <w:t>0.374 ± 0.117</w:t>
            </w:r>
          </w:p>
        </w:tc>
        <w:tc>
          <w:tcPr>
            <w:tcW w:w="690" w:type="dxa"/>
            <w:tcMar>
              <w:top w:w="12" w:type="dxa"/>
              <w:bottom w:w="12" w:type="dxa"/>
              <w:left w:w="8" w:type="dxa"/>
              <w:right w:w="8" w:type="dxa"/>
            </w:tcMar>
          </w:tcPr>
          <w:p>
            <w:pPr>
              <w:jc w:val="right"/>
            </w:pPr>
            <w:r>
              <w:rPr>
                <w:sz w:val="11"/>
              </w:rPr>
              <w:t>0.252 ± 0.079</w:t>
            </w:r>
          </w:p>
        </w:tc>
        <w:tc>
          <w:tcPr>
            <w:tcW w:w="690" w:type="dxa"/>
            <w:tcMar>
              <w:top w:w="12" w:type="dxa"/>
              <w:bottom w:w="12" w:type="dxa"/>
              <w:left w:w="8" w:type="dxa"/>
              <w:right w:w="8" w:type="dxa"/>
            </w:tcMar>
          </w:tcPr>
          <w:p>
            <w:pPr>
              <w:jc w:val="right"/>
            </w:pPr>
            <w:r>
              <w:rPr>
                <w:sz w:val="11"/>
              </w:rPr>
              <w:t>0.342 ± 0.069</w:t>
            </w:r>
          </w:p>
        </w:tc>
        <w:tc>
          <w:tcPr>
            <w:tcW w:w="690" w:type="dxa"/>
            <w:tcMar>
              <w:top w:w="12" w:type="dxa"/>
              <w:bottom w:w="12" w:type="dxa"/>
              <w:left w:w="8" w:type="dxa"/>
              <w:right w:w="8" w:type="dxa"/>
            </w:tcMar>
          </w:tcPr>
          <w:p>
            <w:pPr>
              <w:jc w:val="right"/>
            </w:pPr>
            <w:r>
              <w:rPr>
                <w:sz w:val="11"/>
              </w:rPr>
              <w:t>0.396 ± 0.102</w:t>
            </w:r>
          </w:p>
        </w:tc>
        <w:tc>
          <w:tcPr>
            <w:tcW w:w="690" w:type="dxa"/>
            <w:tcMar>
              <w:top w:w="12" w:type="dxa"/>
              <w:bottom w:w="12" w:type="dxa"/>
              <w:left w:w="8" w:type="dxa"/>
              <w:right w:w="8" w:type="dxa"/>
            </w:tcMar>
          </w:tcPr>
          <w:p>
            <w:pPr>
              <w:jc w:val="right"/>
            </w:pPr>
            <w:r>
              <w:rPr>
                <w:sz w:val="11"/>
              </w:rPr>
              <w:t>0.184 ± 0.083</w:t>
            </w:r>
          </w:p>
        </w:tc>
      </w:tr>
      <w:tr>
        <w:trPr>
          <w:cantSplit/>
        </w:trPr>
        <w:tc>
          <w:tcPr>
            <w:tcW w:w="1350" w:type="dxa"/>
            <w:shd w:fill="E8F5E9"/>
            <w:tcMar>
              <w:top w:w="12" w:type="dxa"/>
              <w:bottom w:w="12" w:type="dxa"/>
              <w:left w:w="8" w:type="dxa"/>
              <w:right w:w="8" w:type="dxa"/>
            </w:tcMar>
          </w:tcPr>
          <w:p>
            <w:pPr>
              <w:jc w:val="left"/>
            </w:pPr>
            <w:r>
              <w:rPr>
                <w:b/>
                <w:sz w:val="11"/>
              </w:rPr>
              <w:t>HAMTA Proposed</w:t>
            </w:r>
          </w:p>
        </w:tc>
        <w:tc>
          <w:tcPr>
            <w:tcW w:w="690" w:type="dxa"/>
            <w:shd w:fill="E8F5E9"/>
            <w:tcMar>
              <w:top w:w="12" w:type="dxa"/>
              <w:bottom w:w="12" w:type="dxa"/>
              <w:left w:w="8" w:type="dxa"/>
              <w:right w:w="8" w:type="dxa"/>
            </w:tcMar>
          </w:tcPr>
          <w:p>
            <w:pPr>
              <w:jc w:val="right"/>
            </w:pPr>
            <w:r>
              <w:rPr>
                <w:b/>
                <w:sz w:val="11"/>
              </w:rPr>
              <w:t>0.366 ± 0.120</w:t>
            </w:r>
          </w:p>
        </w:tc>
        <w:tc>
          <w:tcPr>
            <w:tcW w:w="690" w:type="dxa"/>
            <w:shd w:fill="E8F5E9"/>
            <w:tcMar>
              <w:top w:w="12" w:type="dxa"/>
              <w:bottom w:w="12" w:type="dxa"/>
              <w:left w:w="8" w:type="dxa"/>
              <w:right w:w="8" w:type="dxa"/>
            </w:tcMar>
          </w:tcPr>
          <w:p>
            <w:pPr>
              <w:jc w:val="right"/>
            </w:pPr>
            <w:r>
              <w:rPr>
                <w:b/>
                <w:sz w:val="11"/>
              </w:rPr>
              <w:t>0.246 ± 0.081</w:t>
            </w:r>
          </w:p>
        </w:tc>
        <w:tc>
          <w:tcPr>
            <w:tcW w:w="690" w:type="dxa"/>
            <w:shd w:fill="E8F5E9"/>
            <w:tcMar>
              <w:top w:w="12" w:type="dxa"/>
              <w:bottom w:w="12" w:type="dxa"/>
              <w:left w:w="8" w:type="dxa"/>
              <w:right w:w="8" w:type="dxa"/>
            </w:tcMar>
          </w:tcPr>
          <w:p>
            <w:pPr>
              <w:jc w:val="right"/>
            </w:pPr>
            <w:r>
              <w:rPr>
                <w:b/>
                <w:sz w:val="11"/>
              </w:rPr>
              <w:t>0.342 ± 0.077</w:t>
            </w:r>
          </w:p>
        </w:tc>
        <w:tc>
          <w:tcPr>
            <w:tcW w:w="690" w:type="dxa"/>
            <w:shd w:fill="E8F5E9"/>
            <w:tcMar>
              <w:top w:w="12" w:type="dxa"/>
              <w:bottom w:w="12" w:type="dxa"/>
              <w:left w:w="8" w:type="dxa"/>
              <w:right w:w="8" w:type="dxa"/>
            </w:tcMar>
          </w:tcPr>
          <w:p>
            <w:pPr>
              <w:jc w:val="right"/>
            </w:pPr>
            <w:r>
              <w:rPr>
                <w:b/>
                <w:sz w:val="11"/>
              </w:rPr>
              <w:t>0.382 ± 0.116</w:t>
            </w:r>
          </w:p>
        </w:tc>
        <w:tc>
          <w:tcPr>
            <w:tcW w:w="690" w:type="dxa"/>
            <w:shd w:fill="E8F5E9"/>
            <w:tcMar>
              <w:top w:w="12" w:type="dxa"/>
              <w:bottom w:w="12" w:type="dxa"/>
              <w:left w:w="8" w:type="dxa"/>
              <w:right w:w="8" w:type="dxa"/>
            </w:tcMar>
          </w:tcPr>
          <w:p>
            <w:pPr>
              <w:jc w:val="right"/>
            </w:pPr>
            <w:r>
              <w:rPr>
                <w:b/>
                <w:sz w:val="11"/>
              </w:rPr>
              <w:t>0.180 ± 0.092</w:t>
            </w:r>
          </w:p>
        </w:tc>
      </w:tr>
    </w:tbl>
    <w:p>
      <w:pPr>
        <w:keepNext/>
        <w:spacing w:before="50" w:after="20"/>
        <w:jc w:val="center"/>
      </w:pPr>
      <w:r>
        <w:drawing>
          <wp:inline xmlns:a="http://schemas.openxmlformats.org/drawingml/2006/main" xmlns:pic="http://schemas.openxmlformats.org/drawingml/2006/picture">
            <wp:extent cx="2834640" cy="1072616"/>
            <wp:docPr id="4" name="Picture 4"/>
            <wp:cNvGraphicFramePr>
              <a:graphicFrameLocks noChangeAspect="1"/>
            </wp:cNvGraphicFramePr>
            <a:graphic>
              <a:graphicData uri="http://schemas.openxmlformats.org/drawingml/2006/picture">
                <pic:pic>
                  <pic:nvPicPr>
                    <pic:cNvPr id="0" name="fig5_benchmark_comparison_bar.png"/>
                    <pic:cNvPicPr/>
                  </pic:nvPicPr>
                  <pic:blipFill>
                    <a:blip r:embed="rId12"/>
                    <a:stretch>
                      <a:fillRect/>
                    </a:stretch>
                  </pic:blipFill>
                  <pic:spPr>
                    <a:xfrm>
                      <a:off x="0" y="0"/>
                      <a:ext cx="2834640" cy="1072616"/>
                    </a:xfrm>
                    <a:prstGeom prst="rect"/>
                  </pic:spPr>
                </pic:pic>
              </a:graphicData>
            </a:graphic>
          </wp:inline>
        </w:drawing>
      </w:r>
    </w:p>
    <w:p>
      <w:pPr>
        <w:spacing w:after="50"/>
        <w:jc w:val="both"/>
      </w:pPr>
      <w:r>
        <w:rPr>
          <w:i/>
          <w:sz w:val="14"/>
        </w:rPr>
        <w:t>Fig. 4. Quantitative benchmark comparison across 10 random seeds: (a) Forecasting accuracy (MAE, lower is better) and (b) Campaign targeting quality (NDCG@35, higher is better).</w:t>
      </w:r>
    </w:p>
    <w:p>
      <w:pPr>
        <w:spacing w:after="30" w:line="235" w:lineRule="auto"/>
        <w:ind w:firstLine="202"/>
        <w:jc w:val="both"/>
      </w:pPr>
      <w:r>
        <w:rPr>
          <w:sz w:val="16"/>
        </w:rPr>
        <w:t>Under synthetic opportunity prevalence of 51/350 (random expectation = 0.146, 14.6%), Table II confirms that HAMTA Proposed (M-GATO) achieves Precision@35 = 0.366 ± 0.120, Recall@35 = 0.246 ± 0.081, R-Precision = 0.342 ± 0.077, NDCG@35 = 0.382 ± 0.116, and MAP@35 = 0.180 ± 0.092. R-Precision evaluates precision at R = 51 targets, while MAP@35 denotes mean average precision truncated at rank 35 across seeds. This represents a 2.51× lift over random selection and substantially outperforms Lowest Volume (P@35 = 0.197 ± 0.053) and Tabular Point Gap (P@35 = 0.214 ± 0.064). Recall@35 reaches 0.246 ± 0.081, noting that maximum possible Recall@35 under 35 slots for 51 targets is capped at 35/51 = 0.686.</w:t>
      </w:r>
    </w:p>
    <w:p>
      <w:pPr>
        <w:keepNext/>
        <w:spacing w:before="70" w:after="20"/>
        <w:jc w:val="left"/>
      </w:pPr>
      <w:r>
        <w:rPr>
          <w:i/>
          <w:sz w:val="16"/>
        </w:rPr>
        <w:t>C. Multi-Budget Ranking &amp; Statistical Significance</w:t>
      </w:r>
    </w:p>
    <w:p>
      <w:pPr>
        <w:spacing w:after="30" w:line="235" w:lineRule="auto"/>
        <w:ind w:firstLine="202"/>
        <w:jc w:val="both"/>
      </w:pPr>
      <w:r>
        <w:rPr>
          <w:sz w:val="16"/>
        </w:rPr>
        <w:t>To evaluate operational robustness across realistic campaign budget constraints, Table III profiles ranking performance across selection budgets K ∈ {10, 20, 35, 50} merchants (corresponding to 2.9%, 5.7%, 10.0%, and 14.3% of the merchant portfolio) across 10 random seeds.</w:t>
      </w:r>
    </w:p>
    <w:p>
      <w:pPr>
        <w:keepNext/>
        <w:spacing w:before="60" w:after="40"/>
        <w:jc w:val="center"/>
      </w:pPr>
      <w:r>
        <w:rPr>
          <w:b/>
          <w:sz w:val="14"/>
        </w:rPr>
        <w:t>TABLE III. MULTI-BUDGET CAMPAIGN TARGETING BENCHMARK (10 SEEDS)</w:t>
      </w:r>
    </w:p>
    <w:tbl>
      <w:tblPr>
        <w:jc w:val="center"/>
        <w:tblLook w:firstColumn="1" w:firstRow="1" w:lastColumn="0" w:lastRow="0" w:noHBand="0" w:noVBand="1" w:val="04A0"/>
        <w:tblW w:w="4800" w:type="dxa"/>
        <w:tblLayout w:type="fixed"/>
        <w:tblBorders>
          <w:top w:val="single" w:sz="8" w:space="0" w:color="000000"/>
          <w:bottom w:val="single" w:sz="8" w:space="0" w:color="000000"/>
          <w:insideH w:val="single" w:sz="4" w:space="0" w:color="808080"/>
        </w:tblBorders>
      </w:tblPr>
      <w:tblGrid>
        <w:gridCol w:w="700"/>
        <w:gridCol w:w="1550"/>
        <w:gridCol w:w="850"/>
        <w:gridCol w:w="850"/>
        <w:gridCol w:w="850"/>
      </w:tblGrid>
      <w:tr>
        <w:trPr>
          <w:cantSplit/>
        </w:trPr>
        <w:tc>
          <w:tcPr>
            <w:tcW w:w="700" w:type="dxa"/>
            <w:shd w:fill="E0E0E0"/>
            <w:tcMar>
              <w:top w:w="14" w:type="dxa"/>
              <w:bottom w:w="14" w:type="dxa"/>
              <w:left w:w="8" w:type="dxa"/>
              <w:right w:w="8" w:type="dxa"/>
            </w:tcMar>
          </w:tcPr>
          <w:p>
            <w:pPr>
              <w:jc w:val="center"/>
            </w:pPr>
            <w:r>
              <w:rPr>
                <w:b/>
                <w:sz w:val="12"/>
              </w:rPr>
              <w:t>Budget</w:t>
            </w:r>
          </w:p>
        </w:tc>
        <w:tc>
          <w:tcPr>
            <w:tcW w:w="1550" w:type="dxa"/>
            <w:shd w:fill="E0E0E0"/>
            <w:tcMar>
              <w:top w:w="14" w:type="dxa"/>
              <w:bottom w:w="14" w:type="dxa"/>
              <w:left w:w="8" w:type="dxa"/>
              <w:right w:w="8" w:type="dxa"/>
            </w:tcMar>
          </w:tcPr>
          <w:p>
            <w:pPr>
              <w:jc w:val="center"/>
            </w:pPr>
            <w:r>
              <w:rPr>
                <w:b/>
                <w:sz w:val="12"/>
              </w:rPr>
              <w:t>Targeting Strategy</w:t>
            </w:r>
          </w:p>
        </w:tc>
        <w:tc>
          <w:tcPr>
            <w:tcW w:w="850" w:type="dxa"/>
            <w:shd w:fill="E0E0E0"/>
            <w:tcMar>
              <w:top w:w="14" w:type="dxa"/>
              <w:bottom w:w="14" w:type="dxa"/>
              <w:left w:w="8" w:type="dxa"/>
              <w:right w:w="8" w:type="dxa"/>
            </w:tcMar>
          </w:tcPr>
          <w:p>
            <w:pPr>
              <w:jc w:val="center"/>
            </w:pPr>
            <w:r>
              <w:rPr>
                <w:b/>
                <w:sz w:val="12"/>
              </w:rPr>
              <w:t>Prec@K</w:t>
            </w:r>
          </w:p>
        </w:tc>
        <w:tc>
          <w:tcPr>
            <w:tcW w:w="850" w:type="dxa"/>
            <w:shd w:fill="E0E0E0"/>
            <w:tcMar>
              <w:top w:w="14" w:type="dxa"/>
              <w:bottom w:w="14" w:type="dxa"/>
              <w:left w:w="8" w:type="dxa"/>
              <w:right w:w="8" w:type="dxa"/>
            </w:tcMar>
          </w:tcPr>
          <w:p>
            <w:pPr>
              <w:jc w:val="center"/>
            </w:pPr>
            <w:r>
              <w:rPr>
                <w:b/>
                <w:sz w:val="12"/>
              </w:rPr>
              <w:t>Recall@K</w:t>
            </w:r>
          </w:p>
        </w:tc>
        <w:tc>
          <w:tcPr>
            <w:tcW w:w="850" w:type="dxa"/>
            <w:shd w:fill="E0E0E0"/>
            <w:tcMar>
              <w:top w:w="14" w:type="dxa"/>
              <w:bottom w:w="14" w:type="dxa"/>
              <w:left w:w="8" w:type="dxa"/>
              <w:right w:w="8" w:type="dxa"/>
            </w:tcMar>
          </w:tcPr>
          <w:p>
            <w:pPr>
              <w:jc w:val="center"/>
            </w:pPr>
            <w:r>
              <w:rPr>
                <w:b/>
                <w:sz w:val="12"/>
              </w:rPr>
              <w:t>NDCG@K</w:t>
            </w:r>
          </w:p>
        </w:tc>
      </w:tr>
      <w:tr>
        <w:trPr>
          <w:cantSplit/>
        </w:trPr>
        <w:tc>
          <w:tcPr>
            <w:tcW w:w="700" w:type="dxa"/>
            <w:tcMar>
              <w:top w:w="12" w:type="dxa"/>
              <w:bottom w:w="12" w:type="dxa"/>
              <w:left w:w="8" w:type="dxa"/>
              <w:right w:w="8" w:type="dxa"/>
            </w:tcMar>
          </w:tcPr>
          <w:p>
            <w:pPr>
              <w:jc w:val="center"/>
            </w:pPr>
            <w:r>
              <w:rPr>
                <w:sz w:val="11"/>
              </w:rPr>
              <w:t>10</w:t>
            </w:r>
          </w:p>
        </w:tc>
        <w:tc>
          <w:tcPr>
            <w:tcW w:w="1550" w:type="dxa"/>
            <w:tcMar>
              <w:top w:w="12" w:type="dxa"/>
              <w:bottom w:w="12" w:type="dxa"/>
              <w:left w:w="8" w:type="dxa"/>
              <w:right w:w="8" w:type="dxa"/>
            </w:tcMar>
          </w:tcPr>
          <w:p>
            <w:pPr>
              <w:jc w:val="left"/>
            </w:pPr>
            <w:r>
              <w:rPr>
                <w:sz w:val="11"/>
              </w:rPr>
              <w:t>Lowest Volume</w:t>
            </w:r>
          </w:p>
        </w:tc>
        <w:tc>
          <w:tcPr>
            <w:tcW w:w="850" w:type="dxa"/>
            <w:tcMar>
              <w:top w:w="12" w:type="dxa"/>
              <w:bottom w:w="12" w:type="dxa"/>
              <w:left w:w="8" w:type="dxa"/>
              <w:right w:w="8" w:type="dxa"/>
            </w:tcMar>
          </w:tcPr>
          <w:p>
            <w:pPr>
              <w:jc w:val="center"/>
            </w:pPr>
            <w:r>
              <w:rPr>
                <w:sz w:val="11"/>
              </w:rPr>
              <w:t>0.210 ± 0.104</w:t>
            </w:r>
          </w:p>
        </w:tc>
        <w:tc>
          <w:tcPr>
            <w:tcW w:w="850" w:type="dxa"/>
            <w:tcMar>
              <w:top w:w="12" w:type="dxa"/>
              <w:bottom w:w="12" w:type="dxa"/>
              <w:left w:w="8" w:type="dxa"/>
              <w:right w:w="8" w:type="dxa"/>
            </w:tcMar>
          </w:tcPr>
          <w:p>
            <w:pPr>
              <w:jc w:val="center"/>
            </w:pPr>
            <w:r>
              <w:rPr>
                <w:sz w:val="11"/>
              </w:rPr>
              <w:t>0.040 ± 0.020</w:t>
            </w:r>
          </w:p>
        </w:tc>
        <w:tc>
          <w:tcPr>
            <w:tcW w:w="850" w:type="dxa"/>
            <w:tcMar>
              <w:top w:w="12" w:type="dxa"/>
              <w:bottom w:w="12" w:type="dxa"/>
              <w:left w:w="8" w:type="dxa"/>
              <w:right w:w="8" w:type="dxa"/>
            </w:tcMar>
          </w:tcPr>
          <w:p>
            <w:pPr>
              <w:jc w:val="center"/>
            </w:pPr>
            <w:r>
              <w:rPr>
                <w:sz w:val="11"/>
              </w:rPr>
              <w:t>0.217 ± 0.145</w:t>
            </w:r>
          </w:p>
        </w:tc>
      </w:tr>
      <w:tr>
        <w:trPr>
          <w:cantSplit/>
        </w:trPr>
        <w:tc>
          <w:tcPr>
            <w:tcW w:w="700" w:type="dxa"/>
            <w:tcMar>
              <w:top w:w="12" w:type="dxa"/>
              <w:bottom w:w="12" w:type="dxa"/>
              <w:left w:w="8" w:type="dxa"/>
              <w:right w:w="8" w:type="dxa"/>
            </w:tcMar>
          </w:tcPr>
          <w:p>
            <w:pPr>
              <w:jc w:val="center"/>
            </w:pPr>
            <w:r>
              <w:rPr>
                <w:sz w:val="11"/>
              </w:rPr>
              <w:t>10</w:t>
            </w:r>
          </w:p>
        </w:tc>
        <w:tc>
          <w:tcPr>
            <w:tcW w:w="1550" w:type="dxa"/>
            <w:tcMar>
              <w:top w:w="12" w:type="dxa"/>
              <w:bottom w:w="12" w:type="dxa"/>
              <w:left w:w="8" w:type="dxa"/>
              <w:right w:w="8" w:type="dxa"/>
            </w:tcMar>
          </w:tcPr>
          <w:p>
            <w:pPr>
              <w:jc w:val="left"/>
            </w:pPr>
            <w:r>
              <w:rPr>
                <w:sz w:val="11"/>
              </w:rPr>
              <w:t>Tabular GBDT</w:t>
            </w:r>
          </w:p>
        </w:tc>
        <w:tc>
          <w:tcPr>
            <w:tcW w:w="850" w:type="dxa"/>
            <w:tcMar>
              <w:top w:w="12" w:type="dxa"/>
              <w:bottom w:w="12" w:type="dxa"/>
              <w:left w:w="8" w:type="dxa"/>
              <w:right w:w="8" w:type="dxa"/>
            </w:tcMar>
          </w:tcPr>
          <w:p>
            <w:pPr>
              <w:jc w:val="center"/>
            </w:pPr>
            <w:r>
              <w:rPr>
                <w:sz w:val="11"/>
              </w:rPr>
              <w:t>0.270 ± 0.168</w:t>
            </w:r>
          </w:p>
        </w:tc>
        <w:tc>
          <w:tcPr>
            <w:tcW w:w="850" w:type="dxa"/>
            <w:tcMar>
              <w:top w:w="12" w:type="dxa"/>
              <w:bottom w:w="12" w:type="dxa"/>
              <w:left w:w="8" w:type="dxa"/>
              <w:right w:w="8" w:type="dxa"/>
            </w:tcMar>
          </w:tcPr>
          <w:p>
            <w:pPr>
              <w:jc w:val="center"/>
            </w:pPr>
            <w:r>
              <w:rPr>
                <w:sz w:val="11"/>
              </w:rPr>
              <w:t>0.052 ± 0.032</w:t>
            </w:r>
          </w:p>
        </w:tc>
        <w:tc>
          <w:tcPr>
            <w:tcW w:w="850" w:type="dxa"/>
            <w:tcMar>
              <w:top w:w="12" w:type="dxa"/>
              <w:bottom w:w="12" w:type="dxa"/>
              <w:left w:w="8" w:type="dxa"/>
              <w:right w:w="8" w:type="dxa"/>
            </w:tcMar>
          </w:tcPr>
          <w:p>
            <w:pPr>
              <w:jc w:val="center"/>
            </w:pPr>
            <w:r>
              <w:rPr>
                <w:sz w:val="11"/>
              </w:rPr>
              <w:t>0.285 ± 0.183</w:t>
            </w:r>
          </w:p>
        </w:tc>
      </w:tr>
      <w:tr>
        <w:trPr>
          <w:cantSplit/>
        </w:trPr>
        <w:tc>
          <w:tcPr>
            <w:tcW w:w="700" w:type="dxa"/>
            <w:tcMar>
              <w:top w:w="12" w:type="dxa"/>
              <w:bottom w:w="12" w:type="dxa"/>
              <w:left w:w="8" w:type="dxa"/>
              <w:right w:w="8" w:type="dxa"/>
            </w:tcMar>
          </w:tcPr>
          <w:p>
            <w:pPr>
              <w:jc w:val="center"/>
            </w:pPr>
            <w:r>
              <w:rPr>
                <w:sz w:val="11"/>
              </w:rPr>
              <w:t>10</w:t>
            </w:r>
          </w:p>
        </w:tc>
        <w:tc>
          <w:tcPr>
            <w:tcW w:w="1550" w:type="dxa"/>
            <w:tcMar>
              <w:top w:w="12" w:type="dxa"/>
              <w:bottom w:w="12" w:type="dxa"/>
              <w:left w:w="8" w:type="dxa"/>
              <w:right w:w="8" w:type="dxa"/>
            </w:tcMar>
          </w:tcPr>
          <w:p>
            <w:pPr>
              <w:jc w:val="left"/>
            </w:pPr>
            <w:r>
              <w:rPr>
                <w:sz w:val="11"/>
              </w:rPr>
              <w:t>Static GNN</w:t>
            </w:r>
          </w:p>
        </w:tc>
        <w:tc>
          <w:tcPr>
            <w:tcW w:w="850" w:type="dxa"/>
            <w:tcMar>
              <w:top w:w="12" w:type="dxa"/>
              <w:bottom w:w="12" w:type="dxa"/>
              <w:left w:w="8" w:type="dxa"/>
              <w:right w:w="8" w:type="dxa"/>
            </w:tcMar>
          </w:tcPr>
          <w:p>
            <w:pPr>
              <w:jc w:val="center"/>
            </w:pPr>
            <w:r>
              <w:rPr>
                <w:sz w:val="11"/>
              </w:rPr>
              <w:t>0.370 ± 0.110</w:t>
            </w:r>
          </w:p>
        </w:tc>
        <w:tc>
          <w:tcPr>
            <w:tcW w:w="850" w:type="dxa"/>
            <w:tcMar>
              <w:top w:w="12" w:type="dxa"/>
              <w:bottom w:w="12" w:type="dxa"/>
              <w:left w:w="8" w:type="dxa"/>
              <w:right w:w="8" w:type="dxa"/>
            </w:tcMar>
          </w:tcPr>
          <w:p>
            <w:pPr>
              <w:jc w:val="center"/>
            </w:pPr>
            <w:r>
              <w:rPr>
                <w:sz w:val="11"/>
              </w:rPr>
              <w:t>0.071 ± 0.021</w:t>
            </w:r>
          </w:p>
        </w:tc>
        <w:tc>
          <w:tcPr>
            <w:tcW w:w="850" w:type="dxa"/>
            <w:tcMar>
              <w:top w:w="12" w:type="dxa"/>
              <w:bottom w:w="12" w:type="dxa"/>
              <w:left w:w="8" w:type="dxa"/>
              <w:right w:w="8" w:type="dxa"/>
            </w:tcMar>
          </w:tcPr>
          <w:p>
            <w:pPr>
              <w:jc w:val="center"/>
            </w:pPr>
            <w:r>
              <w:rPr>
                <w:sz w:val="11"/>
              </w:rPr>
              <w:t>0.376 ± 0.127</w:t>
            </w:r>
          </w:p>
        </w:tc>
      </w:tr>
      <w:tr>
        <w:trPr>
          <w:cantSplit/>
        </w:trPr>
        <w:tc>
          <w:tcPr>
            <w:tcW w:w="700" w:type="dxa"/>
            <w:tcMar>
              <w:top w:w="12" w:type="dxa"/>
              <w:bottom w:w="12" w:type="dxa"/>
              <w:left w:w="8" w:type="dxa"/>
              <w:right w:w="8" w:type="dxa"/>
            </w:tcMar>
          </w:tcPr>
          <w:p>
            <w:pPr>
              <w:jc w:val="center"/>
            </w:pPr>
            <w:r>
              <w:rPr>
                <w:sz w:val="11"/>
              </w:rPr>
              <w:t>10</w:t>
            </w:r>
          </w:p>
        </w:tc>
        <w:tc>
          <w:tcPr>
            <w:tcW w:w="1550" w:type="dxa"/>
            <w:tcMar>
              <w:top w:w="12" w:type="dxa"/>
              <w:bottom w:w="12" w:type="dxa"/>
              <w:left w:w="8" w:type="dxa"/>
              <w:right w:w="8" w:type="dxa"/>
            </w:tcMar>
          </w:tcPr>
          <w:p>
            <w:pPr>
              <w:jc w:val="left"/>
            </w:pPr>
            <w:r>
              <w:rPr>
                <w:sz w:val="11"/>
              </w:rPr>
              <w:t>SFA Frontier</w:t>
            </w:r>
          </w:p>
        </w:tc>
        <w:tc>
          <w:tcPr>
            <w:tcW w:w="850" w:type="dxa"/>
            <w:tcMar>
              <w:top w:w="12" w:type="dxa"/>
              <w:bottom w:w="12" w:type="dxa"/>
              <w:left w:w="8" w:type="dxa"/>
              <w:right w:w="8" w:type="dxa"/>
            </w:tcMar>
          </w:tcPr>
          <w:p>
            <w:pPr>
              <w:jc w:val="center"/>
            </w:pPr>
            <w:r>
              <w:rPr>
                <w:sz w:val="11"/>
              </w:rPr>
              <w:t>0.430 ± 0.127</w:t>
            </w:r>
          </w:p>
        </w:tc>
        <w:tc>
          <w:tcPr>
            <w:tcW w:w="850" w:type="dxa"/>
            <w:tcMar>
              <w:top w:w="12" w:type="dxa"/>
              <w:bottom w:w="12" w:type="dxa"/>
              <w:left w:w="8" w:type="dxa"/>
              <w:right w:w="8" w:type="dxa"/>
            </w:tcMar>
          </w:tcPr>
          <w:p>
            <w:pPr>
              <w:jc w:val="center"/>
            </w:pPr>
            <w:r>
              <w:rPr>
                <w:sz w:val="11"/>
              </w:rPr>
              <w:t>0.083 ± 0.024</w:t>
            </w:r>
          </w:p>
        </w:tc>
        <w:tc>
          <w:tcPr>
            <w:tcW w:w="850" w:type="dxa"/>
            <w:tcMar>
              <w:top w:w="12" w:type="dxa"/>
              <w:bottom w:w="12" w:type="dxa"/>
              <w:left w:w="8" w:type="dxa"/>
              <w:right w:w="8" w:type="dxa"/>
            </w:tcMar>
          </w:tcPr>
          <w:p>
            <w:pPr>
              <w:jc w:val="center"/>
            </w:pPr>
            <w:r>
              <w:rPr>
                <w:sz w:val="11"/>
              </w:rPr>
              <w:t>0.453 ± 0.154</w:t>
            </w:r>
          </w:p>
        </w:tc>
      </w:tr>
      <w:tr>
        <w:trPr>
          <w:cantSplit/>
        </w:trPr>
        <w:tc>
          <w:tcPr>
            <w:tcW w:w="700" w:type="dxa"/>
            <w:shd w:fill="E8F5E9"/>
            <w:tcMar>
              <w:top w:w="12" w:type="dxa"/>
              <w:bottom w:w="12" w:type="dxa"/>
              <w:left w:w="8" w:type="dxa"/>
              <w:right w:w="8" w:type="dxa"/>
            </w:tcMar>
          </w:tcPr>
          <w:p>
            <w:pPr>
              <w:jc w:val="center"/>
            </w:pPr>
            <w:r>
              <w:rPr>
                <w:b/>
                <w:sz w:val="11"/>
              </w:rPr>
              <w:t>10</w:t>
            </w:r>
          </w:p>
        </w:tc>
        <w:tc>
          <w:tcPr>
            <w:tcW w:w="1550" w:type="dxa"/>
            <w:shd w:fill="E8F5E9"/>
            <w:tcMar>
              <w:top w:w="12" w:type="dxa"/>
              <w:bottom w:w="12" w:type="dxa"/>
              <w:left w:w="8" w:type="dxa"/>
              <w:right w:w="8" w:type="dxa"/>
            </w:tcMar>
          </w:tcPr>
          <w:p>
            <w:pPr>
              <w:jc w:val="left"/>
            </w:pPr>
            <w:r>
              <w:rPr>
                <w:b/>
                <w:sz w:val="11"/>
              </w:rPr>
              <w:t>HAMTA (M-GATO)</w:t>
            </w:r>
          </w:p>
        </w:tc>
        <w:tc>
          <w:tcPr>
            <w:tcW w:w="850" w:type="dxa"/>
            <w:shd w:fill="E8F5E9"/>
            <w:tcMar>
              <w:top w:w="12" w:type="dxa"/>
              <w:bottom w:w="12" w:type="dxa"/>
              <w:left w:w="8" w:type="dxa"/>
              <w:right w:w="8" w:type="dxa"/>
            </w:tcMar>
          </w:tcPr>
          <w:p>
            <w:pPr>
              <w:jc w:val="center"/>
            </w:pPr>
            <w:r>
              <w:rPr>
                <w:b/>
                <w:sz w:val="11"/>
              </w:rPr>
              <w:t>0.400 ± 0.089</w:t>
            </w:r>
          </w:p>
        </w:tc>
        <w:tc>
          <w:tcPr>
            <w:tcW w:w="850" w:type="dxa"/>
            <w:shd w:fill="E8F5E9"/>
            <w:tcMar>
              <w:top w:w="12" w:type="dxa"/>
              <w:bottom w:w="12" w:type="dxa"/>
              <w:left w:w="8" w:type="dxa"/>
              <w:right w:w="8" w:type="dxa"/>
            </w:tcMar>
          </w:tcPr>
          <w:p>
            <w:pPr>
              <w:jc w:val="center"/>
            </w:pPr>
            <w:r>
              <w:rPr>
                <w:b/>
                <w:sz w:val="11"/>
              </w:rPr>
              <w:t>0.077 ± 0.017</w:t>
            </w:r>
          </w:p>
        </w:tc>
        <w:tc>
          <w:tcPr>
            <w:tcW w:w="850" w:type="dxa"/>
            <w:shd w:fill="E8F5E9"/>
            <w:tcMar>
              <w:top w:w="12" w:type="dxa"/>
              <w:bottom w:w="12" w:type="dxa"/>
              <w:left w:w="8" w:type="dxa"/>
              <w:right w:w="8" w:type="dxa"/>
            </w:tcMar>
          </w:tcPr>
          <w:p>
            <w:pPr>
              <w:jc w:val="center"/>
            </w:pPr>
            <w:r>
              <w:rPr>
                <w:b/>
                <w:sz w:val="11"/>
              </w:rPr>
              <w:t>0.410 ± 0.101</w:t>
            </w:r>
          </w:p>
        </w:tc>
      </w:tr>
      <w:tr>
        <w:trPr>
          <w:cantSplit/>
        </w:trPr>
        <w:tc>
          <w:tcPr>
            <w:tcW w:w="700" w:type="dxa"/>
            <w:tcMar>
              <w:top w:w="12" w:type="dxa"/>
              <w:bottom w:w="12" w:type="dxa"/>
              <w:left w:w="8" w:type="dxa"/>
              <w:right w:w="8" w:type="dxa"/>
            </w:tcMar>
          </w:tcPr>
          <w:p>
            <w:pPr>
              <w:jc w:val="center"/>
            </w:pPr>
            <w:r>
              <w:rPr>
                <w:sz w:val="11"/>
              </w:rPr>
              <w:t>20</w:t>
            </w:r>
          </w:p>
        </w:tc>
        <w:tc>
          <w:tcPr>
            <w:tcW w:w="1550" w:type="dxa"/>
            <w:tcMar>
              <w:top w:w="12" w:type="dxa"/>
              <w:bottom w:w="12" w:type="dxa"/>
              <w:left w:w="8" w:type="dxa"/>
              <w:right w:w="8" w:type="dxa"/>
            </w:tcMar>
          </w:tcPr>
          <w:p>
            <w:pPr>
              <w:jc w:val="left"/>
            </w:pPr>
            <w:r>
              <w:rPr>
                <w:sz w:val="11"/>
              </w:rPr>
              <w:t>Lowest Volume</w:t>
            </w:r>
          </w:p>
        </w:tc>
        <w:tc>
          <w:tcPr>
            <w:tcW w:w="850" w:type="dxa"/>
            <w:tcMar>
              <w:top w:w="12" w:type="dxa"/>
              <w:bottom w:w="12" w:type="dxa"/>
              <w:left w:w="8" w:type="dxa"/>
              <w:right w:w="8" w:type="dxa"/>
            </w:tcMar>
          </w:tcPr>
          <w:p>
            <w:pPr>
              <w:jc w:val="center"/>
            </w:pPr>
            <w:r>
              <w:rPr>
                <w:sz w:val="11"/>
              </w:rPr>
              <w:t>0.200 ± 0.074</w:t>
            </w:r>
          </w:p>
        </w:tc>
        <w:tc>
          <w:tcPr>
            <w:tcW w:w="850" w:type="dxa"/>
            <w:tcMar>
              <w:top w:w="12" w:type="dxa"/>
              <w:bottom w:w="12" w:type="dxa"/>
              <w:left w:w="8" w:type="dxa"/>
              <w:right w:w="8" w:type="dxa"/>
            </w:tcMar>
          </w:tcPr>
          <w:p>
            <w:pPr>
              <w:jc w:val="center"/>
            </w:pPr>
            <w:r>
              <w:rPr>
                <w:sz w:val="11"/>
              </w:rPr>
              <w:t>0.077 ± 0.029</w:t>
            </w:r>
          </w:p>
        </w:tc>
        <w:tc>
          <w:tcPr>
            <w:tcW w:w="850" w:type="dxa"/>
            <w:tcMar>
              <w:top w:w="12" w:type="dxa"/>
              <w:bottom w:w="12" w:type="dxa"/>
              <w:left w:w="8" w:type="dxa"/>
              <w:right w:w="8" w:type="dxa"/>
            </w:tcMar>
          </w:tcPr>
          <w:p>
            <w:pPr>
              <w:jc w:val="center"/>
            </w:pPr>
            <w:r>
              <w:rPr>
                <w:sz w:val="11"/>
              </w:rPr>
              <w:t>0.207 ± 0.091</w:t>
            </w:r>
          </w:p>
        </w:tc>
      </w:tr>
      <w:tr>
        <w:trPr>
          <w:cantSplit/>
        </w:trPr>
        <w:tc>
          <w:tcPr>
            <w:tcW w:w="700" w:type="dxa"/>
            <w:tcMar>
              <w:top w:w="12" w:type="dxa"/>
              <w:bottom w:w="12" w:type="dxa"/>
              <w:left w:w="8" w:type="dxa"/>
              <w:right w:w="8" w:type="dxa"/>
            </w:tcMar>
          </w:tcPr>
          <w:p>
            <w:pPr>
              <w:jc w:val="center"/>
            </w:pPr>
            <w:r>
              <w:rPr>
                <w:sz w:val="11"/>
              </w:rPr>
              <w:t>20</w:t>
            </w:r>
          </w:p>
        </w:tc>
        <w:tc>
          <w:tcPr>
            <w:tcW w:w="1550" w:type="dxa"/>
            <w:tcMar>
              <w:top w:w="12" w:type="dxa"/>
              <w:bottom w:w="12" w:type="dxa"/>
              <w:left w:w="8" w:type="dxa"/>
              <w:right w:w="8" w:type="dxa"/>
            </w:tcMar>
          </w:tcPr>
          <w:p>
            <w:pPr>
              <w:jc w:val="left"/>
            </w:pPr>
            <w:r>
              <w:rPr>
                <w:sz w:val="11"/>
              </w:rPr>
              <w:t>Tabular GBDT</w:t>
            </w:r>
          </w:p>
        </w:tc>
        <w:tc>
          <w:tcPr>
            <w:tcW w:w="850" w:type="dxa"/>
            <w:tcMar>
              <w:top w:w="12" w:type="dxa"/>
              <w:bottom w:w="12" w:type="dxa"/>
              <w:left w:w="8" w:type="dxa"/>
              <w:right w:w="8" w:type="dxa"/>
            </w:tcMar>
          </w:tcPr>
          <w:p>
            <w:pPr>
              <w:jc w:val="center"/>
            </w:pPr>
            <w:r>
              <w:rPr>
                <w:sz w:val="11"/>
              </w:rPr>
              <w:t>0.265 ± 0.125</w:t>
            </w:r>
          </w:p>
        </w:tc>
        <w:tc>
          <w:tcPr>
            <w:tcW w:w="850" w:type="dxa"/>
            <w:tcMar>
              <w:top w:w="12" w:type="dxa"/>
              <w:bottom w:w="12" w:type="dxa"/>
              <w:left w:w="8" w:type="dxa"/>
              <w:right w:w="8" w:type="dxa"/>
            </w:tcMar>
          </w:tcPr>
          <w:p>
            <w:pPr>
              <w:jc w:val="center"/>
            </w:pPr>
            <w:r>
              <w:rPr>
                <w:sz w:val="11"/>
              </w:rPr>
              <w:t>0.102 ± 0.048</w:t>
            </w:r>
          </w:p>
        </w:tc>
        <w:tc>
          <w:tcPr>
            <w:tcW w:w="850" w:type="dxa"/>
            <w:tcMar>
              <w:top w:w="12" w:type="dxa"/>
              <w:bottom w:w="12" w:type="dxa"/>
              <w:left w:w="8" w:type="dxa"/>
              <w:right w:w="8" w:type="dxa"/>
            </w:tcMar>
          </w:tcPr>
          <w:p>
            <w:pPr>
              <w:jc w:val="center"/>
            </w:pPr>
            <w:r>
              <w:rPr>
                <w:sz w:val="11"/>
              </w:rPr>
              <w:t>0.275 ± 0.128</w:t>
            </w:r>
          </w:p>
        </w:tc>
      </w:tr>
      <w:tr>
        <w:trPr>
          <w:cantSplit/>
        </w:trPr>
        <w:tc>
          <w:tcPr>
            <w:tcW w:w="700" w:type="dxa"/>
            <w:tcMar>
              <w:top w:w="12" w:type="dxa"/>
              <w:bottom w:w="12" w:type="dxa"/>
              <w:left w:w="8" w:type="dxa"/>
              <w:right w:w="8" w:type="dxa"/>
            </w:tcMar>
          </w:tcPr>
          <w:p>
            <w:pPr>
              <w:jc w:val="center"/>
            </w:pPr>
            <w:r>
              <w:rPr>
                <w:sz w:val="11"/>
              </w:rPr>
              <w:t>20</w:t>
            </w:r>
          </w:p>
        </w:tc>
        <w:tc>
          <w:tcPr>
            <w:tcW w:w="1550" w:type="dxa"/>
            <w:tcMar>
              <w:top w:w="12" w:type="dxa"/>
              <w:bottom w:w="12" w:type="dxa"/>
              <w:left w:w="8" w:type="dxa"/>
              <w:right w:w="8" w:type="dxa"/>
            </w:tcMar>
          </w:tcPr>
          <w:p>
            <w:pPr>
              <w:jc w:val="left"/>
            </w:pPr>
            <w:r>
              <w:rPr>
                <w:sz w:val="11"/>
              </w:rPr>
              <w:t>Static GNN</w:t>
            </w:r>
          </w:p>
        </w:tc>
        <w:tc>
          <w:tcPr>
            <w:tcW w:w="850" w:type="dxa"/>
            <w:tcMar>
              <w:top w:w="12" w:type="dxa"/>
              <w:bottom w:w="12" w:type="dxa"/>
              <w:left w:w="8" w:type="dxa"/>
              <w:right w:w="8" w:type="dxa"/>
            </w:tcMar>
          </w:tcPr>
          <w:p>
            <w:pPr>
              <w:jc w:val="center"/>
            </w:pPr>
            <w:r>
              <w:rPr>
                <w:sz w:val="11"/>
              </w:rPr>
              <w:t>0.335 ± 0.110</w:t>
            </w:r>
          </w:p>
        </w:tc>
        <w:tc>
          <w:tcPr>
            <w:tcW w:w="850" w:type="dxa"/>
            <w:tcMar>
              <w:top w:w="12" w:type="dxa"/>
              <w:bottom w:w="12" w:type="dxa"/>
              <w:left w:w="8" w:type="dxa"/>
              <w:right w:w="8" w:type="dxa"/>
            </w:tcMar>
          </w:tcPr>
          <w:p>
            <w:pPr>
              <w:jc w:val="center"/>
            </w:pPr>
            <w:r>
              <w:rPr>
                <w:sz w:val="11"/>
              </w:rPr>
              <w:t>0.129 ± 0.042</w:t>
            </w:r>
          </w:p>
        </w:tc>
        <w:tc>
          <w:tcPr>
            <w:tcW w:w="850" w:type="dxa"/>
            <w:tcMar>
              <w:top w:w="12" w:type="dxa"/>
              <w:bottom w:w="12" w:type="dxa"/>
              <w:left w:w="8" w:type="dxa"/>
              <w:right w:w="8" w:type="dxa"/>
            </w:tcMar>
          </w:tcPr>
          <w:p>
            <w:pPr>
              <w:jc w:val="center"/>
            </w:pPr>
            <w:r>
              <w:rPr>
                <w:sz w:val="11"/>
              </w:rPr>
              <w:t>0.349 ± 0.102</w:t>
            </w:r>
          </w:p>
        </w:tc>
      </w:tr>
      <w:tr>
        <w:trPr>
          <w:cantSplit/>
        </w:trPr>
        <w:tc>
          <w:tcPr>
            <w:tcW w:w="700" w:type="dxa"/>
            <w:tcMar>
              <w:top w:w="12" w:type="dxa"/>
              <w:bottom w:w="12" w:type="dxa"/>
              <w:left w:w="8" w:type="dxa"/>
              <w:right w:w="8" w:type="dxa"/>
            </w:tcMar>
          </w:tcPr>
          <w:p>
            <w:pPr>
              <w:jc w:val="center"/>
            </w:pPr>
            <w:r>
              <w:rPr>
                <w:sz w:val="11"/>
              </w:rPr>
              <w:t>20</w:t>
            </w:r>
          </w:p>
        </w:tc>
        <w:tc>
          <w:tcPr>
            <w:tcW w:w="1550" w:type="dxa"/>
            <w:tcMar>
              <w:top w:w="12" w:type="dxa"/>
              <w:bottom w:w="12" w:type="dxa"/>
              <w:left w:w="8" w:type="dxa"/>
              <w:right w:w="8" w:type="dxa"/>
            </w:tcMar>
          </w:tcPr>
          <w:p>
            <w:pPr>
              <w:jc w:val="left"/>
            </w:pPr>
            <w:r>
              <w:rPr>
                <w:sz w:val="11"/>
              </w:rPr>
              <w:t>SFA Frontier</w:t>
            </w:r>
          </w:p>
        </w:tc>
        <w:tc>
          <w:tcPr>
            <w:tcW w:w="850" w:type="dxa"/>
            <w:tcMar>
              <w:top w:w="12" w:type="dxa"/>
              <w:bottom w:w="12" w:type="dxa"/>
              <w:left w:w="8" w:type="dxa"/>
              <w:right w:w="8" w:type="dxa"/>
            </w:tcMar>
          </w:tcPr>
          <w:p>
            <w:pPr>
              <w:jc w:val="center"/>
            </w:pPr>
            <w:r>
              <w:rPr>
                <w:sz w:val="11"/>
              </w:rPr>
              <w:t>0.345 ± 0.104</w:t>
            </w:r>
          </w:p>
        </w:tc>
        <w:tc>
          <w:tcPr>
            <w:tcW w:w="850" w:type="dxa"/>
            <w:tcMar>
              <w:top w:w="12" w:type="dxa"/>
              <w:bottom w:w="12" w:type="dxa"/>
              <w:left w:w="8" w:type="dxa"/>
              <w:right w:w="8" w:type="dxa"/>
            </w:tcMar>
          </w:tcPr>
          <w:p>
            <w:pPr>
              <w:jc w:val="center"/>
            </w:pPr>
            <w:r>
              <w:rPr>
                <w:sz w:val="11"/>
              </w:rPr>
              <w:t>0.133 ± 0.040</w:t>
            </w:r>
          </w:p>
        </w:tc>
        <w:tc>
          <w:tcPr>
            <w:tcW w:w="850" w:type="dxa"/>
            <w:tcMar>
              <w:top w:w="12" w:type="dxa"/>
              <w:bottom w:w="12" w:type="dxa"/>
              <w:left w:w="8" w:type="dxa"/>
              <w:right w:w="8" w:type="dxa"/>
            </w:tcMar>
          </w:tcPr>
          <w:p>
            <w:pPr>
              <w:jc w:val="center"/>
            </w:pPr>
            <w:r>
              <w:rPr>
                <w:sz w:val="11"/>
              </w:rPr>
              <w:t>0.385 ± 0.111</w:t>
            </w:r>
          </w:p>
        </w:tc>
      </w:tr>
      <w:tr>
        <w:trPr>
          <w:cantSplit/>
        </w:trPr>
        <w:tc>
          <w:tcPr>
            <w:tcW w:w="700" w:type="dxa"/>
            <w:shd w:fill="E8F5E9"/>
            <w:tcMar>
              <w:top w:w="12" w:type="dxa"/>
              <w:bottom w:w="12" w:type="dxa"/>
              <w:left w:w="8" w:type="dxa"/>
              <w:right w:w="8" w:type="dxa"/>
            </w:tcMar>
          </w:tcPr>
          <w:p>
            <w:pPr>
              <w:jc w:val="center"/>
            </w:pPr>
            <w:r>
              <w:rPr>
                <w:b/>
                <w:sz w:val="11"/>
              </w:rPr>
              <w:t>20</w:t>
            </w:r>
          </w:p>
        </w:tc>
        <w:tc>
          <w:tcPr>
            <w:tcW w:w="1550" w:type="dxa"/>
            <w:shd w:fill="E8F5E9"/>
            <w:tcMar>
              <w:top w:w="12" w:type="dxa"/>
              <w:bottom w:w="12" w:type="dxa"/>
              <w:left w:w="8" w:type="dxa"/>
              <w:right w:w="8" w:type="dxa"/>
            </w:tcMar>
          </w:tcPr>
          <w:p>
            <w:pPr>
              <w:jc w:val="left"/>
            </w:pPr>
            <w:r>
              <w:rPr>
                <w:b/>
                <w:sz w:val="11"/>
              </w:rPr>
              <w:t>HAMTA (M-GATO)</w:t>
            </w:r>
          </w:p>
        </w:tc>
        <w:tc>
          <w:tcPr>
            <w:tcW w:w="850" w:type="dxa"/>
            <w:shd w:fill="E8F5E9"/>
            <w:tcMar>
              <w:top w:w="12" w:type="dxa"/>
              <w:bottom w:w="12" w:type="dxa"/>
              <w:left w:w="8" w:type="dxa"/>
              <w:right w:w="8" w:type="dxa"/>
            </w:tcMar>
          </w:tcPr>
          <w:p>
            <w:pPr>
              <w:jc w:val="center"/>
            </w:pPr>
            <w:r>
              <w:rPr>
                <w:b/>
                <w:sz w:val="11"/>
              </w:rPr>
              <w:t>0.410 ± 0.109</w:t>
            </w:r>
          </w:p>
        </w:tc>
        <w:tc>
          <w:tcPr>
            <w:tcW w:w="850" w:type="dxa"/>
            <w:shd w:fill="E8F5E9"/>
            <w:tcMar>
              <w:top w:w="12" w:type="dxa"/>
              <w:bottom w:w="12" w:type="dxa"/>
              <w:left w:w="8" w:type="dxa"/>
              <w:right w:w="8" w:type="dxa"/>
            </w:tcMar>
          </w:tcPr>
          <w:p>
            <w:pPr>
              <w:jc w:val="center"/>
            </w:pPr>
            <w:r>
              <w:rPr>
                <w:b/>
                <w:sz w:val="11"/>
              </w:rPr>
              <w:t>0.158 ± 0.042</w:t>
            </w:r>
          </w:p>
        </w:tc>
        <w:tc>
          <w:tcPr>
            <w:tcW w:w="850" w:type="dxa"/>
            <w:shd w:fill="E8F5E9"/>
            <w:tcMar>
              <w:top w:w="12" w:type="dxa"/>
              <w:bottom w:w="12" w:type="dxa"/>
              <w:left w:w="8" w:type="dxa"/>
              <w:right w:w="8" w:type="dxa"/>
            </w:tcMar>
          </w:tcPr>
          <w:p>
            <w:pPr>
              <w:jc w:val="center"/>
            </w:pPr>
            <w:r>
              <w:rPr>
                <w:b/>
                <w:sz w:val="11"/>
              </w:rPr>
              <w:t>0.414 ± 0.105</w:t>
            </w:r>
          </w:p>
        </w:tc>
      </w:tr>
      <w:tr>
        <w:trPr>
          <w:cantSplit/>
        </w:trPr>
        <w:tc>
          <w:tcPr>
            <w:tcW w:w="700" w:type="dxa"/>
            <w:tcMar>
              <w:top w:w="12" w:type="dxa"/>
              <w:bottom w:w="12" w:type="dxa"/>
              <w:left w:w="8" w:type="dxa"/>
              <w:right w:w="8" w:type="dxa"/>
            </w:tcMar>
          </w:tcPr>
          <w:p>
            <w:pPr>
              <w:jc w:val="center"/>
            </w:pPr>
            <w:r>
              <w:rPr>
                <w:sz w:val="11"/>
              </w:rPr>
              <w:t>35</w:t>
            </w:r>
          </w:p>
        </w:tc>
        <w:tc>
          <w:tcPr>
            <w:tcW w:w="1550" w:type="dxa"/>
            <w:tcMar>
              <w:top w:w="12" w:type="dxa"/>
              <w:bottom w:w="12" w:type="dxa"/>
              <w:left w:w="8" w:type="dxa"/>
              <w:right w:w="8" w:type="dxa"/>
            </w:tcMar>
          </w:tcPr>
          <w:p>
            <w:pPr>
              <w:jc w:val="left"/>
            </w:pPr>
            <w:r>
              <w:rPr>
                <w:sz w:val="11"/>
              </w:rPr>
              <w:t>Lowest Volume</w:t>
            </w:r>
          </w:p>
        </w:tc>
        <w:tc>
          <w:tcPr>
            <w:tcW w:w="850" w:type="dxa"/>
            <w:tcMar>
              <w:top w:w="12" w:type="dxa"/>
              <w:bottom w:w="12" w:type="dxa"/>
              <w:left w:w="8" w:type="dxa"/>
              <w:right w:w="8" w:type="dxa"/>
            </w:tcMar>
          </w:tcPr>
          <w:p>
            <w:pPr>
              <w:jc w:val="center"/>
            </w:pPr>
            <w:r>
              <w:rPr>
                <w:sz w:val="11"/>
              </w:rPr>
              <w:t>0.197 ± 0.050</w:t>
            </w:r>
          </w:p>
        </w:tc>
        <w:tc>
          <w:tcPr>
            <w:tcW w:w="850" w:type="dxa"/>
            <w:tcMar>
              <w:top w:w="12" w:type="dxa"/>
              <w:bottom w:w="12" w:type="dxa"/>
              <w:left w:w="8" w:type="dxa"/>
              <w:right w:w="8" w:type="dxa"/>
            </w:tcMar>
          </w:tcPr>
          <w:p>
            <w:pPr>
              <w:jc w:val="center"/>
            </w:pPr>
            <w:r>
              <w:rPr>
                <w:sz w:val="11"/>
              </w:rPr>
              <w:t>0.133 ± 0.034</w:t>
            </w:r>
          </w:p>
        </w:tc>
        <w:tc>
          <w:tcPr>
            <w:tcW w:w="850" w:type="dxa"/>
            <w:tcMar>
              <w:top w:w="12" w:type="dxa"/>
              <w:bottom w:w="12" w:type="dxa"/>
              <w:left w:w="8" w:type="dxa"/>
              <w:right w:w="8" w:type="dxa"/>
            </w:tcMar>
          </w:tcPr>
          <w:p>
            <w:pPr>
              <w:jc w:val="center"/>
            </w:pPr>
            <w:r>
              <w:rPr>
                <w:sz w:val="11"/>
              </w:rPr>
              <w:t>0.203 ± 0.053</w:t>
            </w:r>
          </w:p>
        </w:tc>
      </w:tr>
      <w:tr>
        <w:trPr>
          <w:cantSplit/>
        </w:trPr>
        <w:tc>
          <w:tcPr>
            <w:tcW w:w="700" w:type="dxa"/>
            <w:tcMar>
              <w:top w:w="12" w:type="dxa"/>
              <w:bottom w:w="12" w:type="dxa"/>
              <w:left w:w="8" w:type="dxa"/>
              <w:right w:w="8" w:type="dxa"/>
            </w:tcMar>
          </w:tcPr>
          <w:p>
            <w:pPr>
              <w:jc w:val="center"/>
            </w:pPr>
            <w:r>
              <w:rPr>
                <w:sz w:val="11"/>
              </w:rPr>
              <w:t>35</w:t>
            </w:r>
          </w:p>
        </w:tc>
        <w:tc>
          <w:tcPr>
            <w:tcW w:w="1550" w:type="dxa"/>
            <w:tcMar>
              <w:top w:w="12" w:type="dxa"/>
              <w:bottom w:w="12" w:type="dxa"/>
              <w:left w:w="8" w:type="dxa"/>
              <w:right w:w="8" w:type="dxa"/>
            </w:tcMar>
          </w:tcPr>
          <w:p>
            <w:pPr>
              <w:jc w:val="left"/>
            </w:pPr>
            <w:r>
              <w:rPr>
                <w:sz w:val="11"/>
              </w:rPr>
              <w:t>Tabular GBDT</w:t>
            </w:r>
          </w:p>
        </w:tc>
        <w:tc>
          <w:tcPr>
            <w:tcW w:w="850" w:type="dxa"/>
            <w:tcMar>
              <w:top w:w="12" w:type="dxa"/>
              <w:bottom w:w="12" w:type="dxa"/>
              <w:left w:w="8" w:type="dxa"/>
              <w:right w:w="8" w:type="dxa"/>
            </w:tcMar>
          </w:tcPr>
          <w:p>
            <w:pPr>
              <w:jc w:val="center"/>
            </w:pPr>
            <w:r>
              <w:rPr>
                <w:sz w:val="11"/>
              </w:rPr>
              <w:t>0.214 ± 0.060</w:t>
            </w:r>
          </w:p>
        </w:tc>
        <w:tc>
          <w:tcPr>
            <w:tcW w:w="850" w:type="dxa"/>
            <w:tcMar>
              <w:top w:w="12" w:type="dxa"/>
              <w:bottom w:w="12" w:type="dxa"/>
              <w:left w:w="8" w:type="dxa"/>
              <w:right w:w="8" w:type="dxa"/>
            </w:tcMar>
          </w:tcPr>
          <w:p>
            <w:pPr>
              <w:jc w:val="center"/>
            </w:pPr>
            <w:r>
              <w:rPr>
                <w:sz w:val="11"/>
              </w:rPr>
              <w:t>0.144 ± 0.041</w:t>
            </w:r>
          </w:p>
        </w:tc>
        <w:tc>
          <w:tcPr>
            <w:tcW w:w="850" w:type="dxa"/>
            <w:tcMar>
              <w:top w:w="12" w:type="dxa"/>
              <w:bottom w:w="12" w:type="dxa"/>
              <w:left w:w="8" w:type="dxa"/>
              <w:right w:w="8" w:type="dxa"/>
            </w:tcMar>
          </w:tcPr>
          <w:p>
            <w:pPr>
              <w:jc w:val="center"/>
            </w:pPr>
            <w:r>
              <w:rPr>
                <w:sz w:val="11"/>
              </w:rPr>
              <w:t>0.237 ± 0.078</w:t>
            </w:r>
          </w:p>
        </w:tc>
      </w:tr>
      <w:tr>
        <w:trPr>
          <w:cantSplit/>
        </w:trPr>
        <w:tc>
          <w:tcPr>
            <w:tcW w:w="700" w:type="dxa"/>
            <w:tcMar>
              <w:top w:w="12" w:type="dxa"/>
              <w:bottom w:w="12" w:type="dxa"/>
              <w:left w:w="8" w:type="dxa"/>
              <w:right w:w="8" w:type="dxa"/>
            </w:tcMar>
          </w:tcPr>
          <w:p>
            <w:pPr>
              <w:jc w:val="center"/>
            </w:pPr>
            <w:r>
              <w:rPr>
                <w:sz w:val="11"/>
              </w:rPr>
              <w:t>35</w:t>
            </w:r>
          </w:p>
        </w:tc>
        <w:tc>
          <w:tcPr>
            <w:tcW w:w="1550" w:type="dxa"/>
            <w:tcMar>
              <w:top w:w="12" w:type="dxa"/>
              <w:bottom w:w="12" w:type="dxa"/>
              <w:left w:w="8" w:type="dxa"/>
              <w:right w:w="8" w:type="dxa"/>
            </w:tcMar>
          </w:tcPr>
          <w:p>
            <w:pPr>
              <w:jc w:val="left"/>
            </w:pPr>
            <w:r>
              <w:rPr>
                <w:sz w:val="11"/>
              </w:rPr>
              <w:t>Static GNN</w:t>
            </w:r>
          </w:p>
        </w:tc>
        <w:tc>
          <w:tcPr>
            <w:tcW w:w="850" w:type="dxa"/>
            <w:tcMar>
              <w:top w:w="12" w:type="dxa"/>
              <w:bottom w:w="12" w:type="dxa"/>
              <w:left w:w="8" w:type="dxa"/>
              <w:right w:w="8" w:type="dxa"/>
            </w:tcMar>
          </w:tcPr>
          <w:p>
            <w:pPr>
              <w:jc w:val="center"/>
            </w:pPr>
            <w:r>
              <w:rPr>
                <w:sz w:val="11"/>
              </w:rPr>
              <w:t>0.286 ± 0.068</w:t>
            </w:r>
          </w:p>
        </w:tc>
        <w:tc>
          <w:tcPr>
            <w:tcW w:w="850" w:type="dxa"/>
            <w:tcMar>
              <w:top w:w="12" w:type="dxa"/>
              <w:bottom w:w="12" w:type="dxa"/>
              <w:left w:w="8" w:type="dxa"/>
              <w:right w:w="8" w:type="dxa"/>
            </w:tcMar>
          </w:tcPr>
          <w:p>
            <w:pPr>
              <w:jc w:val="center"/>
            </w:pPr>
            <w:r>
              <w:rPr>
                <w:sz w:val="11"/>
              </w:rPr>
              <w:t>0.192 ± 0.046</w:t>
            </w:r>
          </w:p>
        </w:tc>
        <w:tc>
          <w:tcPr>
            <w:tcW w:w="850" w:type="dxa"/>
            <w:tcMar>
              <w:top w:w="12" w:type="dxa"/>
              <w:bottom w:w="12" w:type="dxa"/>
              <w:left w:w="8" w:type="dxa"/>
              <w:right w:w="8" w:type="dxa"/>
            </w:tcMar>
          </w:tcPr>
          <w:p>
            <w:pPr>
              <w:jc w:val="center"/>
            </w:pPr>
            <w:r>
              <w:rPr>
                <w:sz w:val="11"/>
              </w:rPr>
              <w:t>0.310 ± 0.075</w:t>
            </w:r>
          </w:p>
        </w:tc>
      </w:tr>
      <w:tr>
        <w:trPr>
          <w:cantSplit/>
        </w:trPr>
        <w:tc>
          <w:tcPr>
            <w:tcW w:w="700" w:type="dxa"/>
            <w:tcMar>
              <w:top w:w="12" w:type="dxa"/>
              <w:bottom w:w="12" w:type="dxa"/>
              <w:left w:w="8" w:type="dxa"/>
              <w:right w:w="8" w:type="dxa"/>
            </w:tcMar>
          </w:tcPr>
          <w:p>
            <w:pPr>
              <w:jc w:val="center"/>
            </w:pPr>
            <w:r>
              <w:rPr>
                <w:sz w:val="11"/>
              </w:rPr>
              <w:t>35</w:t>
            </w:r>
          </w:p>
        </w:tc>
        <w:tc>
          <w:tcPr>
            <w:tcW w:w="1550" w:type="dxa"/>
            <w:tcMar>
              <w:top w:w="12" w:type="dxa"/>
              <w:bottom w:w="12" w:type="dxa"/>
              <w:left w:w="8" w:type="dxa"/>
              <w:right w:w="8" w:type="dxa"/>
            </w:tcMar>
          </w:tcPr>
          <w:p>
            <w:pPr>
              <w:jc w:val="left"/>
            </w:pPr>
            <w:r>
              <w:rPr>
                <w:sz w:val="11"/>
              </w:rPr>
              <w:t>SFA Frontier</w:t>
            </w:r>
          </w:p>
        </w:tc>
        <w:tc>
          <w:tcPr>
            <w:tcW w:w="850" w:type="dxa"/>
            <w:tcMar>
              <w:top w:w="12" w:type="dxa"/>
              <w:bottom w:w="12" w:type="dxa"/>
              <w:left w:w="8" w:type="dxa"/>
              <w:right w:w="8" w:type="dxa"/>
            </w:tcMar>
          </w:tcPr>
          <w:p>
            <w:pPr>
              <w:jc w:val="center"/>
            </w:pPr>
            <w:r>
              <w:rPr>
                <w:sz w:val="11"/>
              </w:rPr>
              <w:t>0.357 ± 0.079</w:t>
            </w:r>
          </w:p>
        </w:tc>
        <w:tc>
          <w:tcPr>
            <w:tcW w:w="850" w:type="dxa"/>
            <w:tcMar>
              <w:top w:w="12" w:type="dxa"/>
              <w:bottom w:w="12" w:type="dxa"/>
              <w:left w:w="8" w:type="dxa"/>
              <w:right w:w="8" w:type="dxa"/>
            </w:tcMar>
          </w:tcPr>
          <w:p>
            <w:pPr>
              <w:jc w:val="center"/>
            </w:pPr>
            <w:r>
              <w:rPr>
                <w:sz w:val="11"/>
              </w:rPr>
              <w:t>0.240 ± 0.053</w:t>
            </w:r>
          </w:p>
        </w:tc>
        <w:tc>
          <w:tcPr>
            <w:tcW w:w="850" w:type="dxa"/>
            <w:tcMar>
              <w:top w:w="12" w:type="dxa"/>
              <w:bottom w:w="12" w:type="dxa"/>
              <w:left w:w="8" w:type="dxa"/>
              <w:right w:w="8" w:type="dxa"/>
            </w:tcMar>
          </w:tcPr>
          <w:p>
            <w:pPr>
              <w:jc w:val="center"/>
            </w:pPr>
            <w:r>
              <w:rPr>
                <w:sz w:val="11"/>
              </w:rPr>
              <w:t>0.383 ± 0.081</w:t>
            </w:r>
          </w:p>
        </w:tc>
      </w:tr>
      <w:tr>
        <w:trPr>
          <w:cantSplit/>
        </w:trPr>
        <w:tc>
          <w:tcPr>
            <w:tcW w:w="700" w:type="dxa"/>
            <w:shd w:fill="E8F5E9"/>
            <w:tcMar>
              <w:top w:w="12" w:type="dxa"/>
              <w:bottom w:w="12" w:type="dxa"/>
              <w:left w:w="8" w:type="dxa"/>
              <w:right w:w="8" w:type="dxa"/>
            </w:tcMar>
          </w:tcPr>
          <w:p>
            <w:pPr>
              <w:jc w:val="center"/>
            </w:pPr>
            <w:r>
              <w:rPr>
                <w:b/>
                <w:sz w:val="11"/>
              </w:rPr>
              <w:t>35</w:t>
            </w:r>
          </w:p>
        </w:tc>
        <w:tc>
          <w:tcPr>
            <w:tcW w:w="1550" w:type="dxa"/>
            <w:shd w:fill="E8F5E9"/>
            <w:tcMar>
              <w:top w:w="12" w:type="dxa"/>
              <w:bottom w:w="12" w:type="dxa"/>
              <w:left w:w="8" w:type="dxa"/>
              <w:right w:w="8" w:type="dxa"/>
            </w:tcMar>
          </w:tcPr>
          <w:p>
            <w:pPr>
              <w:jc w:val="left"/>
            </w:pPr>
            <w:r>
              <w:rPr>
                <w:b/>
                <w:sz w:val="11"/>
              </w:rPr>
              <w:t>HAMTA (M-GATO)</w:t>
            </w:r>
          </w:p>
        </w:tc>
        <w:tc>
          <w:tcPr>
            <w:tcW w:w="850" w:type="dxa"/>
            <w:shd w:fill="E8F5E9"/>
            <w:tcMar>
              <w:top w:w="12" w:type="dxa"/>
              <w:bottom w:w="12" w:type="dxa"/>
              <w:left w:w="8" w:type="dxa"/>
              <w:right w:w="8" w:type="dxa"/>
            </w:tcMar>
          </w:tcPr>
          <w:p>
            <w:pPr>
              <w:jc w:val="center"/>
            </w:pPr>
            <w:r>
              <w:rPr>
                <w:b/>
                <w:sz w:val="11"/>
              </w:rPr>
              <w:t>0.366 ± 0.114</w:t>
            </w:r>
          </w:p>
        </w:tc>
        <w:tc>
          <w:tcPr>
            <w:tcW w:w="850" w:type="dxa"/>
            <w:shd w:fill="E8F5E9"/>
            <w:tcMar>
              <w:top w:w="12" w:type="dxa"/>
              <w:bottom w:w="12" w:type="dxa"/>
              <w:left w:w="8" w:type="dxa"/>
              <w:right w:w="8" w:type="dxa"/>
            </w:tcMar>
          </w:tcPr>
          <w:p>
            <w:pPr>
              <w:jc w:val="center"/>
            </w:pPr>
            <w:r>
              <w:rPr>
                <w:b/>
                <w:sz w:val="11"/>
              </w:rPr>
              <w:t>0.246 ± 0.077</w:t>
            </w:r>
          </w:p>
        </w:tc>
        <w:tc>
          <w:tcPr>
            <w:tcW w:w="850" w:type="dxa"/>
            <w:shd w:fill="E8F5E9"/>
            <w:tcMar>
              <w:top w:w="12" w:type="dxa"/>
              <w:bottom w:w="12" w:type="dxa"/>
              <w:left w:w="8" w:type="dxa"/>
              <w:right w:w="8" w:type="dxa"/>
            </w:tcMar>
          </w:tcPr>
          <w:p>
            <w:pPr>
              <w:jc w:val="center"/>
            </w:pPr>
            <w:r>
              <w:rPr>
                <w:b/>
                <w:sz w:val="11"/>
              </w:rPr>
              <w:t>0.382 ± 0.110</w:t>
            </w:r>
          </w:p>
        </w:tc>
      </w:tr>
      <w:tr>
        <w:trPr>
          <w:cantSplit/>
        </w:trPr>
        <w:tc>
          <w:tcPr>
            <w:tcW w:w="700" w:type="dxa"/>
            <w:tcMar>
              <w:top w:w="12" w:type="dxa"/>
              <w:bottom w:w="12" w:type="dxa"/>
              <w:left w:w="8" w:type="dxa"/>
              <w:right w:w="8" w:type="dxa"/>
            </w:tcMar>
          </w:tcPr>
          <w:p>
            <w:pPr>
              <w:jc w:val="center"/>
            </w:pPr>
            <w:r>
              <w:rPr>
                <w:sz w:val="11"/>
              </w:rPr>
              <w:t>50</w:t>
            </w:r>
          </w:p>
        </w:tc>
        <w:tc>
          <w:tcPr>
            <w:tcW w:w="1550" w:type="dxa"/>
            <w:tcMar>
              <w:top w:w="12" w:type="dxa"/>
              <w:bottom w:w="12" w:type="dxa"/>
              <w:left w:w="8" w:type="dxa"/>
              <w:right w:w="8" w:type="dxa"/>
            </w:tcMar>
          </w:tcPr>
          <w:p>
            <w:pPr>
              <w:jc w:val="left"/>
            </w:pPr>
            <w:r>
              <w:rPr>
                <w:sz w:val="11"/>
              </w:rPr>
              <w:t>Lowest Volume</w:t>
            </w:r>
          </w:p>
        </w:tc>
        <w:tc>
          <w:tcPr>
            <w:tcW w:w="850" w:type="dxa"/>
            <w:tcMar>
              <w:top w:w="12" w:type="dxa"/>
              <w:bottom w:w="12" w:type="dxa"/>
              <w:left w:w="8" w:type="dxa"/>
              <w:right w:w="8" w:type="dxa"/>
            </w:tcMar>
          </w:tcPr>
          <w:p>
            <w:pPr>
              <w:jc w:val="center"/>
            </w:pPr>
            <w:r>
              <w:rPr>
                <w:sz w:val="11"/>
              </w:rPr>
              <w:t>0.192 ± 0.048</w:t>
            </w:r>
          </w:p>
        </w:tc>
        <w:tc>
          <w:tcPr>
            <w:tcW w:w="850" w:type="dxa"/>
            <w:tcMar>
              <w:top w:w="12" w:type="dxa"/>
              <w:bottom w:w="12" w:type="dxa"/>
              <w:left w:w="8" w:type="dxa"/>
              <w:right w:w="8" w:type="dxa"/>
            </w:tcMar>
          </w:tcPr>
          <w:p>
            <w:pPr>
              <w:jc w:val="center"/>
            </w:pPr>
            <w:r>
              <w:rPr>
                <w:sz w:val="11"/>
              </w:rPr>
              <w:t>0.185 ± 0.046</w:t>
            </w:r>
          </w:p>
        </w:tc>
        <w:tc>
          <w:tcPr>
            <w:tcW w:w="850" w:type="dxa"/>
            <w:tcMar>
              <w:top w:w="12" w:type="dxa"/>
              <w:bottom w:w="12" w:type="dxa"/>
              <w:left w:w="8" w:type="dxa"/>
              <w:right w:w="8" w:type="dxa"/>
            </w:tcMar>
          </w:tcPr>
          <w:p>
            <w:pPr>
              <w:jc w:val="center"/>
            </w:pPr>
            <w:r>
              <w:rPr>
                <w:sz w:val="11"/>
              </w:rPr>
              <w:t>0.198 ± 0.044</w:t>
            </w:r>
          </w:p>
        </w:tc>
      </w:tr>
      <w:tr>
        <w:trPr>
          <w:cantSplit/>
        </w:trPr>
        <w:tc>
          <w:tcPr>
            <w:tcW w:w="700" w:type="dxa"/>
            <w:tcMar>
              <w:top w:w="12" w:type="dxa"/>
              <w:bottom w:w="12" w:type="dxa"/>
              <w:left w:w="8" w:type="dxa"/>
              <w:right w:w="8" w:type="dxa"/>
            </w:tcMar>
          </w:tcPr>
          <w:p>
            <w:pPr>
              <w:jc w:val="center"/>
            </w:pPr>
            <w:r>
              <w:rPr>
                <w:sz w:val="11"/>
              </w:rPr>
              <w:t>50</w:t>
            </w:r>
          </w:p>
        </w:tc>
        <w:tc>
          <w:tcPr>
            <w:tcW w:w="1550" w:type="dxa"/>
            <w:tcMar>
              <w:top w:w="12" w:type="dxa"/>
              <w:bottom w:w="12" w:type="dxa"/>
              <w:left w:w="8" w:type="dxa"/>
              <w:right w:w="8" w:type="dxa"/>
            </w:tcMar>
          </w:tcPr>
          <w:p>
            <w:pPr>
              <w:jc w:val="left"/>
            </w:pPr>
            <w:r>
              <w:rPr>
                <w:sz w:val="11"/>
              </w:rPr>
              <w:t>Tabular GBDT</w:t>
            </w:r>
          </w:p>
        </w:tc>
        <w:tc>
          <w:tcPr>
            <w:tcW w:w="850" w:type="dxa"/>
            <w:tcMar>
              <w:top w:w="12" w:type="dxa"/>
              <w:bottom w:w="12" w:type="dxa"/>
              <w:left w:w="8" w:type="dxa"/>
              <w:right w:w="8" w:type="dxa"/>
            </w:tcMar>
          </w:tcPr>
          <w:p>
            <w:pPr>
              <w:jc w:val="center"/>
            </w:pPr>
            <w:r>
              <w:rPr>
                <w:sz w:val="11"/>
              </w:rPr>
              <w:t>0.188 ± 0.046</w:t>
            </w:r>
          </w:p>
        </w:tc>
        <w:tc>
          <w:tcPr>
            <w:tcW w:w="850" w:type="dxa"/>
            <w:tcMar>
              <w:top w:w="12" w:type="dxa"/>
              <w:bottom w:w="12" w:type="dxa"/>
              <w:left w:w="8" w:type="dxa"/>
              <w:right w:w="8" w:type="dxa"/>
            </w:tcMar>
          </w:tcPr>
          <w:p>
            <w:pPr>
              <w:jc w:val="center"/>
            </w:pPr>
            <w:r>
              <w:rPr>
                <w:sz w:val="11"/>
              </w:rPr>
              <w:t>0.181 ± 0.044</w:t>
            </w:r>
          </w:p>
        </w:tc>
        <w:tc>
          <w:tcPr>
            <w:tcW w:w="850" w:type="dxa"/>
            <w:tcMar>
              <w:top w:w="12" w:type="dxa"/>
              <w:bottom w:w="12" w:type="dxa"/>
              <w:left w:w="8" w:type="dxa"/>
              <w:right w:w="8" w:type="dxa"/>
            </w:tcMar>
          </w:tcPr>
          <w:p>
            <w:pPr>
              <w:jc w:val="center"/>
            </w:pPr>
            <w:r>
              <w:rPr>
                <w:sz w:val="11"/>
              </w:rPr>
              <w:t>0.214 ± 0.063</w:t>
            </w:r>
          </w:p>
        </w:tc>
      </w:tr>
      <w:tr>
        <w:trPr>
          <w:cantSplit/>
        </w:trPr>
        <w:tc>
          <w:tcPr>
            <w:tcW w:w="700" w:type="dxa"/>
            <w:tcMar>
              <w:top w:w="12" w:type="dxa"/>
              <w:bottom w:w="12" w:type="dxa"/>
              <w:left w:w="8" w:type="dxa"/>
              <w:right w:w="8" w:type="dxa"/>
            </w:tcMar>
          </w:tcPr>
          <w:p>
            <w:pPr>
              <w:jc w:val="center"/>
            </w:pPr>
            <w:r>
              <w:rPr>
                <w:sz w:val="11"/>
              </w:rPr>
              <w:t>50</w:t>
            </w:r>
          </w:p>
        </w:tc>
        <w:tc>
          <w:tcPr>
            <w:tcW w:w="1550" w:type="dxa"/>
            <w:tcMar>
              <w:top w:w="12" w:type="dxa"/>
              <w:bottom w:w="12" w:type="dxa"/>
              <w:left w:w="8" w:type="dxa"/>
              <w:right w:w="8" w:type="dxa"/>
            </w:tcMar>
          </w:tcPr>
          <w:p>
            <w:pPr>
              <w:jc w:val="left"/>
            </w:pPr>
            <w:r>
              <w:rPr>
                <w:sz w:val="11"/>
              </w:rPr>
              <w:t>Static GNN</w:t>
            </w:r>
          </w:p>
        </w:tc>
        <w:tc>
          <w:tcPr>
            <w:tcW w:w="850" w:type="dxa"/>
            <w:tcMar>
              <w:top w:w="12" w:type="dxa"/>
              <w:bottom w:w="12" w:type="dxa"/>
              <w:left w:w="8" w:type="dxa"/>
              <w:right w:w="8" w:type="dxa"/>
            </w:tcMar>
          </w:tcPr>
          <w:p>
            <w:pPr>
              <w:jc w:val="center"/>
            </w:pPr>
            <w:r>
              <w:rPr>
                <w:sz w:val="11"/>
              </w:rPr>
              <w:t>0.288 ± 0.060</w:t>
            </w:r>
          </w:p>
        </w:tc>
        <w:tc>
          <w:tcPr>
            <w:tcW w:w="850" w:type="dxa"/>
            <w:tcMar>
              <w:top w:w="12" w:type="dxa"/>
              <w:bottom w:w="12" w:type="dxa"/>
              <w:left w:w="8" w:type="dxa"/>
              <w:right w:w="8" w:type="dxa"/>
            </w:tcMar>
          </w:tcPr>
          <w:p>
            <w:pPr>
              <w:jc w:val="center"/>
            </w:pPr>
            <w:r>
              <w:rPr>
                <w:sz w:val="11"/>
              </w:rPr>
              <w:t>0.277 ± 0.058</w:t>
            </w:r>
          </w:p>
        </w:tc>
        <w:tc>
          <w:tcPr>
            <w:tcW w:w="850" w:type="dxa"/>
            <w:tcMar>
              <w:top w:w="12" w:type="dxa"/>
              <w:bottom w:w="12" w:type="dxa"/>
              <w:left w:w="8" w:type="dxa"/>
              <w:right w:w="8" w:type="dxa"/>
            </w:tcMar>
          </w:tcPr>
          <w:p>
            <w:pPr>
              <w:jc w:val="center"/>
            </w:pPr>
            <w:r>
              <w:rPr>
                <w:sz w:val="11"/>
              </w:rPr>
              <w:t>0.307 ± 0.065</w:t>
            </w:r>
          </w:p>
        </w:tc>
      </w:tr>
      <w:tr>
        <w:trPr>
          <w:cantSplit/>
        </w:trPr>
        <w:tc>
          <w:tcPr>
            <w:tcW w:w="700" w:type="dxa"/>
            <w:tcMar>
              <w:top w:w="12" w:type="dxa"/>
              <w:bottom w:w="12" w:type="dxa"/>
              <w:left w:w="8" w:type="dxa"/>
              <w:right w:w="8" w:type="dxa"/>
            </w:tcMar>
          </w:tcPr>
          <w:p>
            <w:pPr>
              <w:jc w:val="center"/>
            </w:pPr>
            <w:r>
              <w:rPr>
                <w:sz w:val="11"/>
              </w:rPr>
              <w:t>50</w:t>
            </w:r>
          </w:p>
        </w:tc>
        <w:tc>
          <w:tcPr>
            <w:tcW w:w="1550" w:type="dxa"/>
            <w:tcMar>
              <w:top w:w="12" w:type="dxa"/>
              <w:bottom w:w="12" w:type="dxa"/>
              <w:left w:w="8" w:type="dxa"/>
              <w:right w:w="8" w:type="dxa"/>
            </w:tcMar>
          </w:tcPr>
          <w:p>
            <w:pPr>
              <w:jc w:val="left"/>
            </w:pPr>
            <w:r>
              <w:rPr>
                <w:sz w:val="11"/>
              </w:rPr>
              <w:t>SFA Frontier</w:t>
            </w:r>
          </w:p>
        </w:tc>
        <w:tc>
          <w:tcPr>
            <w:tcW w:w="850" w:type="dxa"/>
            <w:tcMar>
              <w:top w:w="12" w:type="dxa"/>
              <w:bottom w:w="12" w:type="dxa"/>
              <w:left w:w="8" w:type="dxa"/>
              <w:right w:w="8" w:type="dxa"/>
            </w:tcMar>
          </w:tcPr>
          <w:p>
            <w:pPr>
              <w:jc w:val="center"/>
            </w:pPr>
            <w:r>
              <w:rPr>
                <w:sz w:val="11"/>
              </w:rPr>
              <w:t>0.322 ± 0.079</w:t>
            </w:r>
          </w:p>
        </w:tc>
        <w:tc>
          <w:tcPr>
            <w:tcW w:w="850" w:type="dxa"/>
            <w:tcMar>
              <w:top w:w="12" w:type="dxa"/>
              <w:bottom w:w="12" w:type="dxa"/>
              <w:left w:w="8" w:type="dxa"/>
              <w:right w:w="8" w:type="dxa"/>
            </w:tcMar>
          </w:tcPr>
          <w:p>
            <w:pPr>
              <w:jc w:val="center"/>
            </w:pPr>
            <w:r>
              <w:rPr>
                <w:sz w:val="11"/>
              </w:rPr>
              <w:t>0.310 ± 0.076</w:t>
            </w:r>
          </w:p>
        </w:tc>
        <w:tc>
          <w:tcPr>
            <w:tcW w:w="850" w:type="dxa"/>
            <w:tcMar>
              <w:top w:w="12" w:type="dxa"/>
              <w:bottom w:w="12" w:type="dxa"/>
              <w:left w:w="8" w:type="dxa"/>
              <w:right w:w="8" w:type="dxa"/>
            </w:tcMar>
          </w:tcPr>
          <w:p>
            <w:pPr>
              <w:jc w:val="center"/>
            </w:pPr>
            <w:r>
              <w:rPr>
                <w:sz w:val="11"/>
              </w:rPr>
              <w:t>0.352 ± 0.081</w:t>
            </w:r>
          </w:p>
        </w:tc>
      </w:tr>
      <w:tr>
        <w:trPr>
          <w:cantSplit/>
        </w:trPr>
        <w:tc>
          <w:tcPr>
            <w:tcW w:w="700" w:type="dxa"/>
            <w:shd w:fill="E8F5E9"/>
            <w:tcMar>
              <w:top w:w="12" w:type="dxa"/>
              <w:bottom w:w="12" w:type="dxa"/>
              <w:left w:w="8" w:type="dxa"/>
              <w:right w:w="8" w:type="dxa"/>
            </w:tcMar>
          </w:tcPr>
          <w:p>
            <w:pPr>
              <w:jc w:val="center"/>
            </w:pPr>
            <w:r>
              <w:rPr>
                <w:b/>
                <w:sz w:val="11"/>
              </w:rPr>
              <w:t>50</w:t>
            </w:r>
          </w:p>
        </w:tc>
        <w:tc>
          <w:tcPr>
            <w:tcW w:w="1550" w:type="dxa"/>
            <w:shd w:fill="E8F5E9"/>
            <w:tcMar>
              <w:top w:w="12" w:type="dxa"/>
              <w:bottom w:w="12" w:type="dxa"/>
              <w:left w:w="8" w:type="dxa"/>
              <w:right w:w="8" w:type="dxa"/>
            </w:tcMar>
          </w:tcPr>
          <w:p>
            <w:pPr>
              <w:jc w:val="left"/>
            </w:pPr>
            <w:r>
              <w:rPr>
                <w:b/>
                <w:sz w:val="11"/>
              </w:rPr>
              <w:t>HAMTA (M-GATO)</w:t>
            </w:r>
          </w:p>
        </w:tc>
        <w:tc>
          <w:tcPr>
            <w:tcW w:w="850" w:type="dxa"/>
            <w:shd w:fill="E8F5E9"/>
            <w:tcMar>
              <w:top w:w="12" w:type="dxa"/>
              <w:bottom w:w="12" w:type="dxa"/>
              <w:left w:w="8" w:type="dxa"/>
              <w:right w:w="8" w:type="dxa"/>
            </w:tcMar>
          </w:tcPr>
          <w:p>
            <w:pPr>
              <w:jc w:val="center"/>
            </w:pPr>
            <w:r>
              <w:rPr>
                <w:b/>
                <w:sz w:val="11"/>
              </w:rPr>
              <w:t>0.340 ± 0.072</w:t>
            </w:r>
          </w:p>
        </w:tc>
        <w:tc>
          <w:tcPr>
            <w:tcW w:w="850" w:type="dxa"/>
            <w:shd w:fill="E8F5E9"/>
            <w:tcMar>
              <w:top w:w="12" w:type="dxa"/>
              <w:bottom w:w="12" w:type="dxa"/>
              <w:left w:w="8" w:type="dxa"/>
              <w:right w:w="8" w:type="dxa"/>
            </w:tcMar>
          </w:tcPr>
          <w:p>
            <w:pPr>
              <w:jc w:val="center"/>
            </w:pPr>
            <w:r>
              <w:rPr>
                <w:b/>
                <w:sz w:val="11"/>
              </w:rPr>
              <w:t>0.327 ± 0.069</w:t>
            </w:r>
          </w:p>
        </w:tc>
        <w:tc>
          <w:tcPr>
            <w:tcW w:w="850" w:type="dxa"/>
            <w:shd w:fill="E8F5E9"/>
            <w:tcMar>
              <w:top w:w="12" w:type="dxa"/>
              <w:bottom w:w="12" w:type="dxa"/>
              <w:left w:w="8" w:type="dxa"/>
              <w:right w:w="8" w:type="dxa"/>
            </w:tcMar>
          </w:tcPr>
          <w:p>
            <w:pPr>
              <w:jc w:val="center"/>
            </w:pPr>
            <w:r>
              <w:rPr>
                <w:b/>
                <w:sz w:val="11"/>
              </w:rPr>
              <w:t>0.360 ± 0.080</w:t>
            </w:r>
          </w:p>
        </w:tc>
      </w:tr>
    </w:tbl>
    <w:p>
      <w:pPr>
        <w:spacing w:after="30" w:line="235" w:lineRule="auto"/>
        <w:ind w:firstLine="202"/>
        <w:jc w:val="both"/>
      </w:pPr>
      <w:r>
        <w:rPr>
          <w:sz w:val="16"/>
        </w:rPr>
        <w:t>Multi-Budget Analysis: At the most restrictive campaign budget (K=10), SFA Frontier Gap achieves higher precision (0.430 ± 0.127) than HAMTA (0.400 ± 0.089), demonstrating the strength of parametric frontiers on severe budget bottlenecks. However, HAMTA is competitive under highly constrained budgets and consistently outperforms the SFA baseline for moderate and larger campaign capacities (K ∈ {20, 35, 50}) in the reported synthetic experiments: (1) At K=20, HAMTA achieves Precision@20 = 0.410 versus SFA (0.345); (2) At K=35, HAMTA (0.366) exceeds SFA (0.357); and (3) At K=50, HAMTA maintains precision 0.340 versus SFA 0.322. Secondary comparisons are exploratory unadjusted diagnostics.</w:t>
      </w:r>
    </w:p>
    <w:p>
      <w:pPr>
        <w:keepNext/>
        <w:spacing w:before="70" w:after="20"/>
        <w:jc w:val="left"/>
      </w:pPr>
      <w:r>
        <w:rPr>
          <w:i/>
          <w:sz w:val="16"/>
        </w:rPr>
        <w:t>D. Multi-Scenario Circularity &amp; Robustness Evaluation</w:t>
      </w:r>
    </w:p>
    <w:p>
      <w:pPr>
        <w:spacing w:after="30" w:line="235" w:lineRule="auto"/>
        <w:ind w:firstLine="202"/>
        <w:jc w:val="both"/>
      </w:pPr>
      <w:r>
        <w:rPr>
          <w:sz w:val="16"/>
        </w:rPr>
        <w:t>Table IV reports performance across four distinct evaluation scenarios, confirming that HAMTA does not merely replicate an injected drop pattern.</w:t>
      </w:r>
    </w:p>
    <w:p>
      <w:pPr>
        <w:keepNext/>
        <w:spacing w:before="60" w:after="40"/>
        <w:jc w:val="center"/>
      </w:pPr>
      <w:r>
        <w:rPr>
          <w:b/>
          <w:sz w:val="14"/>
        </w:rPr>
        <w:t>TABLE IV. MULTI-SCENARIO BENCHMARK EVALUATION (10 SEEDS)</w:t>
      </w:r>
    </w:p>
    <w:tbl>
      <w:tblPr>
        <w:jc w:val="center"/>
        <w:tblLook w:firstColumn="1" w:firstRow="1" w:lastColumn="0" w:lastRow="0" w:noHBand="0" w:noVBand="1" w:val="04A0"/>
        <w:tblW w:w="4800" w:type="dxa"/>
        <w:tblLayout w:type="fixed"/>
        <w:tblBorders>
          <w:top w:val="single" w:sz="8" w:space="0" w:color="000000"/>
          <w:bottom w:val="single" w:sz="8" w:space="0" w:color="000000"/>
          <w:insideH w:val="single" w:sz="4" w:space="0" w:color="808080"/>
        </w:tblBorders>
      </w:tblPr>
      <w:tblGrid>
        <w:gridCol w:w="1350"/>
        <w:gridCol w:w="500"/>
        <w:gridCol w:w="750"/>
        <w:gridCol w:w="750"/>
        <w:gridCol w:w="700"/>
        <w:gridCol w:w="750"/>
      </w:tblGrid>
      <w:tr>
        <w:trPr>
          <w:cantSplit/>
        </w:trPr>
        <w:tc>
          <w:tcPr>
            <w:tcW w:w="1350" w:type="dxa"/>
            <w:shd w:fill="E0E0E0"/>
            <w:tcMar>
              <w:top w:w="14" w:type="dxa"/>
              <w:bottom w:w="14" w:type="dxa"/>
              <w:left w:w="8" w:type="dxa"/>
              <w:right w:w="8" w:type="dxa"/>
            </w:tcMar>
          </w:tcPr>
          <w:p>
            <w:pPr>
              <w:jc w:val="center"/>
            </w:pPr>
            <w:r>
              <w:rPr>
                <w:b/>
                <w:sz w:val="12"/>
              </w:rPr>
              <w:t>Scenario</w:t>
            </w:r>
          </w:p>
        </w:tc>
        <w:tc>
          <w:tcPr>
            <w:tcW w:w="500" w:type="dxa"/>
            <w:shd w:fill="E0E0E0"/>
            <w:tcMar>
              <w:top w:w="14" w:type="dxa"/>
              <w:bottom w:w="14" w:type="dxa"/>
              <w:left w:w="8" w:type="dxa"/>
              <w:right w:w="8" w:type="dxa"/>
            </w:tcMar>
          </w:tcPr>
          <w:p>
            <w:pPr>
              <w:jc w:val="center"/>
            </w:pPr>
            <w:r>
              <w:rPr>
                <w:b/>
                <w:sz w:val="12"/>
              </w:rPr>
              <w:t>Drop</w:t>
            </w:r>
          </w:p>
        </w:tc>
        <w:tc>
          <w:tcPr>
            <w:tcW w:w="750" w:type="dxa"/>
            <w:shd w:fill="E0E0E0"/>
            <w:tcMar>
              <w:top w:w="14" w:type="dxa"/>
              <w:bottom w:w="14" w:type="dxa"/>
              <w:left w:w="8" w:type="dxa"/>
              <w:right w:w="8" w:type="dxa"/>
            </w:tcMar>
          </w:tcPr>
          <w:p>
            <w:pPr>
              <w:jc w:val="center"/>
            </w:pPr>
            <w:r>
              <w:rPr>
                <w:b/>
                <w:sz w:val="12"/>
              </w:rPr>
              <w:t>Prec@35</w:t>
            </w:r>
          </w:p>
        </w:tc>
        <w:tc>
          <w:tcPr>
            <w:tcW w:w="750" w:type="dxa"/>
            <w:shd w:fill="E0E0E0"/>
            <w:tcMar>
              <w:top w:w="14" w:type="dxa"/>
              <w:bottom w:w="14" w:type="dxa"/>
              <w:left w:w="8" w:type="dxa"/>
              <w:right w:w="8" w:type="dxa"/>
            </w:tcMar>
          </w:tcPr>
          <w:p>
            <w:pPr>
              <w:jc w:val="center"/>
            </w:pPr>
            <w:r>
              <w:rPr>
                <w:b/>
                <w:sz w:val="12"/>
              </w:rPr>
              <w:t>NDCG@35</w:t>
            </w:r>
          </w:p>
        </w:tc>
        <w:tc>
          <w:tcPr>
            <w:tcW w:w="700" w:type="dxa"/>
            <w:shd w:fill="E0E0E0"/>
            <w:tcMar>
              <w:top w:w="14" w:type="dxa"/>
              <w:bottom w:w="14" w:type="dxa"/>
              <w:left w:w="8" w:type="dxa"/>
              <w:right w:w="8" w:type="dxa"/>
            </w:tcMar>
          </w:tcPr>
          <w:p>
            <w:pPr>
              <w:jc w:val="center"/>
            </w:pPr>
            <w:r>
              <w:rPr>
                <w:b/>
                <w:sz w:val="12"/>
              </w:rPr>
              <w:t>Weak-Support %</w:t>
            </w:r>
          </w:p>
        </w:tc>
        <w:tc>
          <w:tcPr>
            <w:tcW w:w="750" w:type="dxa"/>
            <w:shd w:fill="E0E0E0"/>
            <w:tcMar>
              <w:top w:w="14" w:type="dxa"/>
              <w:bottom w:w="14" w:type="dxa"/>
              <w:left w:w="8" w:type="dxa"/>
              <w:right w:w="8" w:type="dxa"/>
            </w:tcMar>
          </w:tcPr>
          <w:p>
            <w:pPr>
              <w:jc w:val="center"/>
            </w:pPr>
            <w:r>
              <w:rPr>
                <w:b/>
                <w:sz w:val="12"/>
              </w:rPr>
              <w:t>Coverage</w:t>
            </w:r>
          </w:p>
        </w:tc>
      </w:tr>
      <w:tr>
        <w:trPr>
          <w:cantSplit/>
        </w:trPr>
        <w:tc>
          <w:tcPr>
            <w:tcW w:w="1350" w:type="dxa"/>
            <w:shd w:fill="FFF9C4"/>
            <w:tcMar>
              <w:top w:w="12" w:type="dxa"/>
              <w:bottom w:w="12" w:type="dxa"/>
              <w:left w:w="8" w:type="dxa"/>
              <w:right w:w="8" w:type="dxa"/>
            </w:tcMar>
          </w:tcPr>
          <w:p>
            <w:pPr>
              <w:jc w:val="left"/>
            </w:pPr>
            <w:r>
              <w:rPr>
                <w:sz w:val="11"/>
              </w:rPr>
              <w:t>Negative Control</w:t>
            </w:r>
          </w:p>
        </w:tc>
        <w:tc>
          <w:tcPr>
            <w:tcW w:w="500" w:type="dxa"/>
            <w:shd w:fill="FFF9C4"/>
            <w:tcMar>
              <w:top w:w="12" w:type="dxa"/>
              <w:bottom w:w="12" w:type="dxa"/>
              <w:left w:w="8" w:type="dxa"/>
              <w:right w:w="8" w:type="dxa"/>
            </w:tcMar>
          </w:tcPr>
          <w:p>
            <w:pPr>
              <w:jc w:val="right"/>
            </w:pPr>
            <w:r>
              <w:rPr>
                <w:sz w:val="11"/>
              </w:rPr>
              <w:t>0.00</w:t>
            </w:r>
          </w:p>
        </w:tc>
        <w:tc>
          <w:tcPr>
            <w:tcW w:w="750" w:type="dxa"/>
            <w:shd w:fill="FFF9C4"/>
            <w:tcMar>
              <w:top w:w="12" w:type="dxa"/>
              <w:bottom w:w="12" w:type="dxa"/>
              <w:left w:w="8" w:type="dxa"/>
              <w:right w:w="8" w:type="dxa"/>
            </w:tcMar>
          </w:tcPr>
          <w:p>
            <w:pPr>
              <w:jc w:val="right"/>
            </w:pPr>
            <w:r>
              <w:rPr>
                <w:sz w:val="11"/>
              </w:rPr>
              <w:t>0.000 ± 0.000</w:t>
            </w:r>
          </w:p>
        </w:tc>
        <w:tc>
          <w:tcPr>
            <w:tcW w:w="750" w:type="dxa"/>
            <w:shd w:fill="FFF9C4"/>
            <w:tcMar>
              <w:top w:w="12" w:type="dxa"/>
              <w:bottom w:w="12" w:type="dxa"/>
              <w:left w:w="8" w:type="dxa"/>
              <w:right w:w="8" w:type="dxa"/>
            </w:tcMar>
          </w:tcPr>
          <w:p>
            <w:pPr>
              <w:jc w:val="right"/>
            </w:pPr>
            <w:r>
              <w:rPr>
                <w:sz w:val="11"/>
              </w:rPr>
              <w:t>0.000 ± 0.000</w:t>
            </w:r>
          </w:p>
        </w:tc>
        <w:tc>
          <w:tcPr>
            <w:tcW w:w="700" w:type="dxa"/>
            <w:shd w:fill="FFF9C4"/>
            <w:tcMar>
              <w:top w:w="12" w:type="dxa"/>
              <w:bottom w:w="12" w:type="dxa"/>
              <w:left w:w="8" w:type="dxa"/>
              <w:right w:w="8" w:type="dxa"/>
            </w:tcMar>
          </w:tcPr>
          <w:p>
            <w:pPr>
              <w:jc w:val="right"/>
            </w:pPr>
            <w:r>
              <w:rPr>
                <w:sz w:val="11"/>
              </w:rPr>
              <w:t>0.100 ± 0.000</w:t>
            </w:r>
          </w:p>
        </w:tc>
        <w:tc>
          <w:tcPr>
            <w:tcW w:w="750" w:type="dxa"/>
            <w:shd w:fill="FFF9C4"/>
            <w:tcMar>
              <w:top w:w="12" w:type="dxa"/>
              <w:bottom w:w="12" w:type="dxa"/>
              <w:left w:w="8" w:type="dxa"/>
              <w:right w:w="8" w:type="dxa"/>
            </w:tcMar>
          </w:tcPr>
          <w:p>
            <w:pPr>
              <w:jc w:val="right"/>
            </w:pPr>
            <w:r>
              <w:rPr>
                <w:sz w:val="11"/>
              </w:rPr>
              <w:t>0.862 ± 0.031</w:t>
            </w:r>
          </w:p>
        </w:tc>
      </w:tr>
      <w:tr>
        <w:trPr>
          <w:cantSplit/>
        </w:trPr>
        <w:tc>
          <w:tcPr>
            <w:tcW w:w="1350" w:type="dxa"/>
            <w:tcMar>
              <w:top w:w="12" w:type="dxa"/>
              <w:bottom w:w="12" w:type="dxa"/>
              <w:left w:w="8" w:type="dxa"/>
              <w:right w:w="8" w:type="dxa"/>
            </w:tcMar>
          </w:tcPr>
          <w:p>
            <w:pPr>
              <w:jc w:val="left"/>
            </w:pPr>
            <w:r>
              <w:rPr>
                <w:sz w:val="11"/>
              </w:rPr>
              <w:t>Scenario A (Weak)</w:t>
            </w:r>
          </w:p>
        </w:tc>
        <w:tc>
          <w:tcPr>
            <w:tcW w:w="500" w:type="dxa"/>
            <w:tcMar>
              <w:top w:w="12" w:type="dxa"/>
              <w:bottom w:w="12" w:type="dxa"/>
              <w:left w:w="8" w:type="dxa"/>
              <w:right w:w="8" w:type="dxa"/>
            </w:tcMar>
          </w:tcPr>
          <w:p>
            <w:pPr>
              <w:jc w:val="right"/>
            </w:pPr>
            <w:r>
              <w:rPr>
                <w:sz w:val="11"/>
              </w:rPr>
              <w:t>0.18</w:t>
            </w:r>
          </w:p>
        </w:tc>
        <w:tc>
          <w:tcPr>
            <w:tcW w:w="750" w:type="dxa"/>
            <w:tcMar>
              <w:top w:w="12" w:type="dxa"/>
              <w:bottom w:w="12" w:type="dxa"/>
              <w:left w:w="8" w:type="dxa"/>
              <w:right w:w="8" w:type="dxa"/>
            </w:tcMar>
          </w:tcPr>
          <w:p>
            <w:pPr>
              <w:jc w:val="right"/>
            </w:pPr>
            <w:r>
              <w:rPr>
                <w:sz w:val="11"/>
              </w:rPr>
              <w:t>0.297 ± 0.099</w:t>
            </w:r>
          </w:p>
        </w:tc>
        <w:tc>
          <w:tcPr>
            <w:tcW w:w="750" w:type="dxa"/>
            <w:tcMar>
              <w:top w:w="12" w:type="dxa"/>
              <w:bottom w:w="12" w:type="dxa"/>
              <w:left w:w="8" w:type="dxa"/>
              <w:right w:w="8" w:type="dxa"/>
            </w:tcMar>
          </w:tcPr>
          <w:p>
            <w:pPr>
              <w:jc w:val="right"/>
            </w:pPr>
            <w:r>
              <w:rPr>
                <w:sz w:val="11"/>
              </w:rPr>
              <w:t>0.310 ± 0.098</w:t>
            </w:r>
          </w:p>
        </w:tc>
        <w:tc>
          <w:tcPr>
            <w:tcW w:w="700" w:type="dxa"/>
            <w:tcMar>
              <w:top w:w="12" w:type="dxa"/>
              <w:bottom w:w="12" w:type="dxa"/>
              <w:left w:w="8" w:type="dxa"/>
              <w:right w:w="8" w:type="dxa"/>
            </w:tcMar>
          </w:tcPr>
          <w:p>
            <w:pPr>
              <w:jc w:val="right"/>
            </w:pPr>
            <w:r>
              <w:rPr>
                <w:sz w:val="11"/>
              </w:rPr>
              <w:t>0.083 ± 0.012</w:t>
            </w:r>
          </w:p>
        </w:tc>
        <w:tc>
          <w:tcPr>
            <w:tcW w:w="750" w:type="dxa"/>
            <w:tcMar>
              <w:top w:w="12" w:type="dxa"/>
              <w:bottom w:w="12" w:type="dxa"/>
              <w:left w:w="8" w:type="dxa"/>
              <w:right w:w="8" w:type="dxa"/>
            </w:tcMar>
          </w:tcPr>
          <w:p>
            <w:pPr>
              <w:jc w:val="right"/>
            </w:pPr>
            <w:r>
              <w:rPr>
                <w:sz w:val="11"/>
              </w:rPr>
              <w:t>0.819 ± 0.044</w:t>
            </w:r>
          </w:p>
        </w:tc>
      </w:tr>
      <w:tr>
        <w:trPr>
          <w:cantSplit/>
        </w:trPr>
        <w:tc>
          <w:tcPr>
            <w:tcW w:w="1350" w:type="dxa"/>
            <w:shd w:fill="E8F5E9"/>
            <w:tcMar>
              <w:top w:w="12" w:type="dxa"/>
              <w:bottom w:w="12" w:type="dxa"/>
              <w:left w:w="8" w:type="dxa"/>
              <w:right w:w="8" w:type="dxa"/>
            </w:tcMar>
          </w:tcPr>
          <w:p>
            <w:pPr>
              <w:jc w:val="left"/>
            </w:pPr>
            <w:r>
              <w:rPr>
                <w:b/>
                <w:sz w:val="11"/>
              </w:rPr>
              <w:t>Scenario B (Medium)</w:t>
            </w:r>
          </w:p>
        </w:tc>
        <w:tc>
          <w:tcPr>
            <w:tcW w:w="500" w:type="dxa"/>
            <w:shd w:fill="E8F5E9"/>
            <w:tcMar>
              <w:top w:w="12" w:type="dxa"/>
              <w:bottom w:w="12" w:type="dxa"/>
              <w:left w:w="8" w:type="dxa"/>
              <w:right w:w="8" w:type="dxa"/>
            </w:tcMar>
          </w:tcPr>
          <w:p>
            <w:pPr>
              <w:jc w:val="right"/>
            </w:pPr>
            <w:r>
              <w:rPr>
                <w:b/>
                <w:sz w:val="11"/>
              </w:rPr>
              <w:t>0.32</w:t>
            </w:r>
          </w:p>
        </w:tc>
        <w:tc>
          <w:tcPr>
            <w:tcW w:w="750" w:type="dxa"/>
            <w:shd w:fill="E8F5E9"/>
            <w:tcMar>
              <w:top w:w="12" w:type="dxa"/>
              <w:bottom w:w="12" w:type="dxa"/>
              <w:left w:w="8" w:type="dxa"/>
              <w:right w:w="8" w:type="dxa"/>
            </w:tcMar>
          </w:tcPr>
          <w:p>
            <w:pPr>
              <w:jc w:val="right"/>
            </w:pPr>
            <w:r>
              <w:rPr>
                <w:b/>
                <w:sz w:val="11"/>
              </w:rPr>
              <w:t>0.366 ± 0.120</w:t>
            </w:r>
          </w:p>
        </w:tc>
        <w:tc>
          <w:tcPr>
            <w:tcW w:w="750" w:type="dxa"/>
            <w:shd w:fill="E8F5E9"/>
            <w:tcMar>
              <w:top w:w="12" w:type="dxa"/>
              <w:bottom w:w="12" w:type="dxa"/>
              <w:left w:w="8" w:type="dxa"/>
              <w:right w:w="8" w:type="dxa"/>
            </w:tcMar>
          </w:tcPr>
          <w:p>
            <w:pPr>
              <w:jc w:val="right"/>
            </w:pPr>
            <w:r>
              <w:rPr>
                <w:b/>
                <w:sz w:val="11"/>
              </w:rPr>
              <w:t>0.382 ± 0.116</w:t>
            </w:r>
          </w:p>
        </w:tc>
        <w:tc>
          <w:tcPr>
            <w:tcW w:w="700" w:type="dxa"/>
            <w:shd w:fill="E8F5E9"/>
            <w:tcMar>
              <w:top w:w="12" w:type="dxa"/>
              <w:bottom w:w="12" w:type="dxa"/>
              <w:left w:w="8" w:type="dxa"/>
              <w:right w:w="8" w:type="dxa"/>
            </w:tcMar>
          </w:tcPr>
          <w:p>
            <w:pPr>
              <w:jc w:val="right"/>
            </w:pPr>
            <w:r>
              <w:rPr>
                <w:b/>
                <w:sz w:val="11"/>
              </w:rPr>
              <w:t>0.074 ± 0.014</w:t>
            </w:r>
          </w:p>
        </w:tc>
        <w:tc>
          <w:tcPr>
            <w:tcW w:w="750" w:type="dxa"/>
            <w:shd w:fill="E8F5E9"/>
            <w:tcMar>
              <w:top w:w="12" w:type="dxa"/>
              <w:bottom w:w="12" w:type="dxa"/>
              <w:left w:w="8" w:type="dxa"/>
              <w:right w:w="8" w:type="dxa"/>
            </w:tcMar>
          </w:tcPr>
          <w:p>
            <w:pPr>
              <w:jc w:val="right"/>
            </w:pPr>
            <w:r>
              <w:rPr>
                <w:b/>
                <w:sz w:val="11"/>
              </w:rPr>
              <w:t>0.807 ± 0.039</w:t>
            </w:r>
          </w:p>
        </w:tc>
      </w:tr>
      <w:tr>
        <w:trPr>
          <w:cantSplit/>
        </w:trPr>
        <w:tc>
          <w:tcPr>
            <w:tcW w:w="1350" w:type="dxa"/>
            <w:tcMar>
              <w:top w:w="12" w:type="dxa"/>
              <w:bottom w:w="12" w:type="dxa"/>
              <w:left w:w="8" w:type="dxa"/>
              <w:right w:w="8" w:type="dxa"/>
            </w:tcMar>
          </w:tcPr>
          <w:p>
            <w:pPr>
              <w:jc w:val="left"/>
            </w:pPr>
            <w:r>
              <w:rPr>
                <w:sz w:val="11"/>
              </w:rPr>
              <w:t>Scenario C (Strong)</w:t>
            </w:r>
          </w:p>
        </w:tc>
        <w:tc>
          <w:tcPr>
            <w:tcW w:w="500" w:type="dxa"/>
            <w:tcMar>
              <w:top w:w="12" w:type="dxa"/>
              <w:bottom w:w="12" w:type="dxa"/>
              <w:left w:w="8" w:type="dxa"/>
              <w:right w:w="8" w:type="dxa"/>
            </w:tcMar>
          </w:tcPr>
          <w:p>
            <w:pPr>
              <w:jc w:val="right"/>
            </w:pPr>
            <w:r>
              <w:rPr>
                <w:sz w:val="11"/>
              </w:rPr>
              <w:t>0.48</w:t>
            </w:r>
          </w:p>
        </w:tc>
        <w:tc>
          <w:tcPr>
            <w:tcW w:w="750" w:type="dxa"/>
            <w:tcMar>
              <w:top w:w="12" w:type="dxa"/>
              <w:bottom w:w="12" w:type="dxa"/>
              <w:left w:w="8" w:type="dxa"/>
              <w:right w:w="8" w:type="dxa"/>
            </w:tcMar>
          </w:tcPr>
          <w:p>
            <w:pPr>
              <w:jc w:val="right"/>
            </w:pPr>
            <w:r>
              <w:rPr>
                <w:sz w:val="11"/>
              </w:rPr>
              <w:t>0.500 ± 0.122</w:t>
            </w:r>
          </w:p>
        </w:tc>
        <w:tc>
          <w:tcPr>
            <w:tcW w:w="750" w:type="dxa"/>
            <w:tcMar>
              <w:top w:w="12" w:type="dxa"/>
              <w:bottom w:w="12" w:type="dxa"/>
              <w:left w:w="8" w:type="dxa"/>
              <w:right w:w="8" w:type="dxa"/>
            </w:tcMar>
          </w:tcPr>
          <w:p>
            <w:pPr>
              <w:jc w:val="right"/>
            </w:pPr>
            <w:r>
              <w:rPr>
                <w:sz w:val="11"/>
              </w:rPr>
              <w:t>0.532 ± 0.120</w:t>
            </w:r>
          </w:p>
        </w:tc>
        <w:tc>
          <w:tcPr>
            <w:tcW w:w="700" w:type="dxa"/>
            <w:tcMar>
              <w:top w:w="12" w:type="dxa"/>
              <w:bottom w:w="12" w:type="dxa"/>
              <w:left w:w="8" w:type="dxa"/>
              <w:right w:w="8" w:type="dxa"/>
            </w:tcMar>
          </w:tcPr>
          <w:p>
            <w:pPr>
              <w:jc w:val="right"/>
            </w:pPr>
            <w:r>
              <w:rPr>
                <w:sz w:val="11"/>
              </w:rPr>
              <w:t>0.059 ± 0.014</w:t>
            </w:r>
          </w:p>
        </w:tc>
        <w:tc>
          <w:tcPr>
            <w:tcW w:w="750" w:type="dxa"/>
            <w:tcMar>
              <w:top w:w="12" w:type="dxa"/>
              <w:bottom w:w="12" w:type="dxa"/>
              <w:left w:w="8" w:type="dxa"/>
              <w:right w:w="8" w:type="dxa"/>
            </w:tcMar>
          </w:tcPr>
          <w:p>
            <w:pPr>
              <w:jc w:val="right"/>
            </w:pPr>
            <w:r>
              <w:rPr>
                <w:sz w:val="11"/>
              </w:rPr>
              <w:t>0.803 ± 0.041</w:t>
            </w:r>
          </w:p>
        </w:tc>
      </w:tr>
    </w:tbl>
    <w:p>
      <w:pPr>
        <w:spacing w:after="30" w:line="235" w:lineRule="auto"/>
        <w:ind w:firstLine="202"/>
        <w:jc w:val="both"/>
      </w:pPr>
      <w:r>
        <w:rPr>
          <w:sz w:val="16"/>
        </w:rPr>
        <w:t>In the negative-control setting (Scenario 0), the model produces no true positives by construction (TP = 0); the reported 0.10 false-selection rate corresponds directly to the fixed top-35 selection budget (35/350 = 0.10) and therefore should not be interpreted as a model-specific false-positive guarantee. Instead, empirical prediction interval coverage (86.2% ± 3.1% with mean interval width 4.6 ± 0.3 transactions) serves as the independent metric confirming that calibrated bounds successfully accommodate natural volume fluctuations without generating ungrounded opportunity gaps.</w:t>
      </w:r>
    </w:p>
    <w:p>
      <w:pPr>
        <w:keepNext/>
        <w:spacing w:before="70" w:after="20"/>
        <w:jc w:val="left"/>
      </w:pPr>
      <w:r>
        <w:rPr>
          <w:i/>
          <w:sz w:val="16"/>
        </w:rPr>
        <w:t>E. Systematic Component Ablation Study</w:t>
      </w:r>
    </w:p>
    <w:p>
      <w:pPr>
        <w:spacing w:after="30" w:line="235" w:lineRule="auto"/>
        <w:ind w:firstLine="202"/>
        <w:jc w:val="both"/>
      </w:pPr>
      <w:r>
        <w:rPr>
          <w:sz w:val="16"/>
        </w:rPr>
        <w:t>Table V isolates the contribution of each architectural component across 10 random seeds with paired Wilcoxon signed-rank tests against the full model.</w:t>
      </w:r>
    </w:p>
    <w:p>
      <w:pPr>
        <w:keepNext/>
        <w:spacing w:before="60" w:after="40"/>
        <w:jc w:val="center"/>
      </w:pPr>
      <w:r>
        <w:rPr>
          <w:b/>
          <w:sz w:val="14"/>
        </w:rPr>
        <w:t>TABLE V. SYSTEMATIC COMPONENT ABLATION STUDY (10 SEEDS)</w:t>
      </w:r>
    </w:p>
    <w:tbl>
      <w:tblPr>
        <w:jc w:val="center"/>
        <w:tblLook w:firstColumn="1" w:firstRow="1" w:lastColumn="0" w:lastRow="0" w:noHBand="0" w:noVBand="1" w:val="04A0"/>
        <w:tblW w:w="4800" w:type="dxa"/>
        <w:tblLayout w:type="fixed"/>
        <w:tblBorders>
          <w:top w:val="single" w:sz="8" w:space="0" w:color="000000"/>
          <w:bottom w:val="single" w:sz="8" w:space="0" w:color="000000"/>
          <w:insideH w:val="single" w:sz="4" w:space="0" w:color="808080"/>
        </w:tblBorders>
      </w:tblPr>
      <w:tblGrid>
        <w:gridCol w:w="1600"/>
        <w:gridCol w:w="750"/>
        <w:gridCol w:w="750"/>
        <w:gridCol w:w="700"/>
        <w:gridCol w:w="1000"/>
      </w:tblGrid>
      <w:tr>
        <w:trPr>
          <w:cantSplit/>
        </w:trPr>
        <w:tc>
          <w:tcPr>
            <w:tcW w:w="1600" w:type="dxa"/>
            <w:shd w:fill="E0E0E0"/>
            <w:tcMar>
              <w:top w:w="14" w:type="dxa"/>
              <w:bottom w:w="14" w:type="dxa"/>
              <w:left w:w="8" w:type="dxa"/>
              <w:right w:w="8" w:type="dxa"/>
            </w:tcMar>
          </w:tcPr>
          <w:p>
            <w:pPr>
              <w:jc w:val="center"/>
            </w:pPr>
            <w:r>
              <w:rPr>
                <w:b/>
                <w:sz w:val="12"/>
              </w:rPr>
              <w:t>Architecture Variant</w:t>
            </w:r>
          </w:p>
        </w:tc>
        <w:tc>
          <w:tcPr>
            <w:tcW w:w="750" w:type="dxa"/>
            <w:shd w:fill="E0E0E0"/>
            <w:tcMar>
              <w:top w:w="14" w:type="dxa"/>
              <w:bottom w:w="14" w:type="dxa"/>
              <w:left w:w="8" w:type="dxa"/>
              <w:right w:w="8" w:type="dxa"/>
            </w:tcMar>
          </w:tcPr>
          <w:p>
            <w:pPr>
              <w:jc w:val="center"/>
            </w:pPr>
            <w:r>
              <w:rPr>
                <w:b/>
                <w:sz w:val="12"/>
              </w:rPr>
              <w:t>NDCG@35</w:t>
            </w:r>
          </w:p>
        </w:tc>
        <w:tc>
          <w:tcPr>
            <w:tcW w:w="750" w:type="dxa"/>
            <w:shd w:fill="E0E0E0"/>
            <w:tcMar>
              <w:top w:w="14" w:type="dxa"/>
              <w:bottom w:w="14" w:type="dxa"/>
              <w:left w:w="8" w:type="dxa"/>
              <w:right w:w="8" w:type="dxa"/>
            </w:tcMar>
          </w:tcPr>
          <w:p>
            <w:pPr>
              <w:jc w:val="center"/>
            </w:pPr>
            <w:r>
              <w:rPr>
                <w:b/>
                <w:sz w:val="12"/>
              </w:rPr>
              <w:t>Prec@35</w:t>
            </w:r>
          </w:p>
        </w:tc>
        <w:tc>
          <w:tcPr>
            <w:tcW w:w="700" w:type="dxa"/>
            <w:shd w:fill="E0E0E0"/>
            <w:tcMar>
              <w:top w:w="14" w:type="dxa"/>
              <w:bottom w:w="14" w:type="dxa"/>
              <w:left w:w="8" w:type="dxa"/>
              <w:right w:w="8" w:type="dxa"/>
            </w:tcMar>
          </w:tcPr>
          <w:p>
            <w:pPr>
              <w:jc w:val="center"/>
            </w:pPr>
            <w:r>
              <w:rPr>
                <w:b/>
                <w:sz w:val="12"/>
              </w:rPr>
              <w:t>Δ NDCG</w:t>
            </w:r>
          </w:p>
        </w:tc>
        <w:tc>
          <w:tcPr>
            <w:tcW w:w="1000" w:type="dxa"/>
            <w:shd w:fill="E0E0E0"/>
            <w:tcMar>
              <w:top w:w="14" w:type="dxa"/>
              <w:bottom w:w="14" w:type="dxa"/>
              <w:left w:w="8" w:type="dxa"/>
              <w:right w:w="8" w:type="dxa"/>
            </w:tcMar>
          </w:tcPr>
          <w:p>
            <w:pPr>
              <w:jc w:val="center"/>
            </w:pPr>
            <w:r>
              <w:rPr>
                <w:b/>
                <w:sz w:val="12"/>
              </w:rPr>
              <w:t>Significance</w:t>
            </w:r>
          </w:p>
        </w:tc>
      </w:tr>
      <w:tr>
        <w:trPr>
          <w:cantSplit/>
        </w:trPr>
        <w:tc>
          <w:tcPr>
            <w:tcW w:w="1600" w:type="dxa"/>
            <w:shd w:fill="E8F5E9"/>
            <w:tcMar>
              <w:top w:w="12" w:type="dxa"/>
              <w:bottom w:w="12" w:type="dxa"/>
              <w:left w:w="8" w:type="dxa"/>
              <w:right w:w="8" w:type="dxa"/>
            </w:tcMar>
          </w:tcPr>
          <w:p>
            <w:pPr>
              <w:jc w:val="left"/>
            </w:pPr>
            <w:r>
              <w:rPr>
                <w:b/>
                <w:sz w:val="11"/>
              </w:rPr>
              <w:t>Full HAMTA Proposed</w:t>
            </w:r>
          </w:p>
        </w:tc>
        <w:tc>
          <w:tcPr>
            <w:tcW w:w="750" w:type="dxa"/>
            <w:shd w:fill="E8F5E9"/>
            <w:tcMar>
              <w:top w:w="12" w:type="dxa"/>
              <w:bottom w:w="12" w:type="dxa"/>
              <w:left w:w="8" w:type="dxa"/>
              <w:right w:w="8" w:type="dxa"/>
            </w:tcMar>
          </w:tcPr>
          <w:p>
            <w:pPr>
              <w:jc w:val="right"/>
            </w:pPr>
            <w:r>
              <w:rPr>
                <w:b/>
                <w:sz w:val="11"/>
              </w:rPr>
              <w:t>0.382 ± 0.116</w:t>
            </w:r>
          </w:p>
        </w:tc>
        <w:tc>
          <w:tcPr>
            <w:tcW w:w="750" w:type="dxa"/>
            <w:shd w:fill="E8F5E9"/>
            <w:tcMar>
              <w:top w:w="12" w:type="dxa"/>
              <w:bottom w:w="12" w:type="dxa"/>
              <w:left w:w="8" w:type="dxa"/>
              <w:right w:w="8" w:type="dxa"/>
            </w:tcMar>
          </w:tcPr>
          <w:p>
            <w:pPr>
              <w:jc w:val="right"/>
            </w:pPr>
            <w:r>
              <w:rPr>
                <w:b/>
                <w:sz w:val="11"/>
              </w:rPr>
              <w:t>0.366 ± 0.120</w:t>
            </w:r>
          </w:p>
        </w:tc>
        <w:tc>
          <w:tcPr>
            <w:tcW w:w="700" w:type="dxa"/>
            <w:shd w:fill="E8F5E9"/>
            <w:tcMar>
              <w:top w:w="12" w:type="dxa"/>
              <w:bottom w:w="12" w:type="dxa"/>
              <w:left w:w="8" w:type="dxa"/>
              <w:right w:w="8" w:type="dxa"/>
            </w:tcMar>
          </w:tcPr>
          <w:p>
            <w:pPr>
              <w:jc w:val="right"/>
            </w:pPr>
            <w:r>
              <w:rPr>
                <w:b/>
                <w:sz w:val="11"/>
              </w:rPr>
              <w:t>+0.000</w:t>
            </w:r>
          </w:p>
        </w:tc>
        <w:tc>
          <w:tcPr>
            <w:tcW w:w="1000" w:type="dxa"/>
            <w:shd w:fill="E8F5E9"/>
            <w:tcMar>
              <w:top w:w="12" w:type="dxa"/>
              <w:bottom w:w="12" w:type="dxa"/>
              <w:left w:w="8" w:type="dxa"/>
              <w:right w:w="8" w:type="dxa"/>
            </w:tcMar>
          </w:tcPr>
          <w:p>
            <w:pPr>
              <w:jc w:val="right"/>
            </w:pPr>
            <w:r>
              <w:rPr>
                <w:b/>
                <w:sz w:val="11"/>
              </w:rPr>
              <w:t>Ref (Ours)</w:t>
            </w:r>
          </w:p>
        </w:tc>
      </w:tr>
      <w:tr>
        <w:trPr>
          <w:cantSplit/>
        </w:trPr>
        <w:tc>
          <w:tcPr>
            <w:tcW w:w="1600" w:type="dxa"/>
            <w:tcMar>
              <w:top w:w="12" w:type="dxa"/>
              <w:bottom w:w="12" w:type="dxa"/>
              <w:left w:w="8" w:type="dxa"/>
              <w:right w:w="8" w:type="dxa"/>
            </w:tcMar>
          </w:tcPr>
          <w:p>
            <w:pPr>
              <w:jc w:val="left"/>
            </w:pPr>
            <w:r>
              <w:rPr>
                <w:sz w:val="11"/>
              </w:rPr>
              <w:t>w/o Curvature Mod.</w:t>
            </w:r>
          </w:p>
        </w:tc>
        <w:tc>
          <w:tcPr>
            <w:tcW w:w="750" w:type="dxa"/>
            <w:tcMar>
              <w:top w:w="12" w:type="dxa"/>
              <w:bottom w:w="12" w:type="dxa"/>
              <w:left w:w="8" w:type="dxa"/>
              <w:right w:w="8" w:type="dxa"/>
            </w:tcMar>
          </w:tcPr>
          <w:p>
            <w:pPr>
              <w:jc w:val="right"/>
            </w:pPr>
            <w:r>
              <w:rPr>
                <w:sz w:val="11"/>
              </w:rPr>
              <w:t>0.384 ± 0.117</w:t>
            </w:r>
          </w:p>
        </w:tc>
        <w:tc>
          <w:tcPr>
            <w:tcW w:w="750" w:type="dxa"/>
            <w:tcMar>
              <w:top w:w="12" w:type="dxa"/>
              <w:bottom w:w="12" w:type="dxa"/>
              <w:left w:w="8" w:type="dxa"/>
              <w:right w:w="8" w:type="dxa"/>
            </w:tcMar>
          </w:tcPr>
          <w:p>
            <w:pPr>
              <w:jc w:val="right"/>
            </w:pPr>
            <w:r>
              <w:rPr>
                <w:sz w:val="11"/>
              </w:rPr>
              <w:t>0.369 ± 0.120</w:t>
            </w:r>
          </w:p>
        </w:tc>
        <w:tc>
          <w:tcPr>
            <w:tcW w:w="700" w:type="dxa"/>
            <w:tcMar>
              <w:top w:w="12" w:type="dxa"/>
              <w:bottom w:w="12" w:type="dxa"/>
              <w:left w:w="8" w:type="dxa"/>
              <w:right w:w="8" w:type="dxa"/>
            </w:tcMar>
          </w:tcPr>
          <w:p>
            <w:pPr>
              <w:jc w:val="right"/>
            </w:pPr>
            <w:r>
              <w:rPr>
                <w:sz w:val="11"/>
              </w:rPr>
              <w:t>-0.002</w:t>
            </w:r>
          </w:p>
        </w:tc>
        <w:tc>
          <w:tcPr>
            <w:tcW w:w="1000" w:type="dxa"/>
            <w:tcMar>
              <w:top w:w="12" w:type="dxa"/>
              <w:bottom w:w="12" w:type="dxa"/>
              <w:left w:w="8" w:type="dxa"/>
              <w:right w:w="8" w:type="dxa"/>
            </w:tcMar>
          </w:tcPr>
          <w:p>
            <w:pPr>
              <w:jc w:val="right"/>
            </w:pPr>
            <w:r>
              <w:rPr>
                <w:sz w:val="11"/>
              </w:rPr>
              <w:t>p = 0.846</w:t>
            </w:r>
          </w:p>
        </w:tc>
      </w:tr>
      <w:tr>
        <w:trPr>
          <w:cantSplit/>
        </w:trPr>
        <w:tc>
          <w:tcPr>
            <w:tcW w:w="1600" w:type="dxa"/>
            <w:tcMar>
              <w:top w:w="12" w:type="dxa"/>
              <w:bottom w:w="12" w:type="dxa"/>
              <w:left w:w="8" w:type="dxa"/>
              <w:right w:w="8" w:type="dxa"/>
            </w:tcMar>
          </w:tcPr>
          <w:p>
            <w:pPr>
              <w:jc w:val="left"/>
            </w:pPr>
            <w:r>
              <w:rPr>
                <w:sz w:val="11"/>
              </w:rPr>
              <w:t>w/o Graph Support (Q=1)</w:t>
            </w:r>
          </w:p>
        </w:tc>
        <w:tc>
          <w:tcPr>
            <w:tcW w:w="750" w:type="dxa"/>
            <w:tcMar>
              <w:top w:w="12" w:type="dxa"/>
              <w:bottom w:w="12" w:type="dxa"/>
              <w:left w:w="8" w:type="dxa"/>
              <w:right w:w="8" w:type="dxa"/>
            </w:tcMar>
          </w:tcPr>
          <w:p>
            <w:pPr>
              <w:jc w:val="right"/>
            </w:pPr>
            <w:r>
              <w:rPr>
                <w:sz w:val="11"/>
              </w:rPr>
              <w:t>0.396 ± 0.102</w:t>
            </w:r>
          </w:p>
        </w:tc>
        <w:tc>
          <w:tcPr>
            <w:tcW w:w="750" w:type="dxa"/>
            <w:tcMar>
              <w:top w:w="12" w:type="dxa"/>
              <w:bottom w:w="12" w:type="dxa"/>
              <w:left w:w="8" w:type="dxa"/>
              <w:right w:w="8" w:type="dxa"/>
            </w:tcMar>
          </w:tcPr>
          <w:p>
            <w:pPr>
              <w:jc w:val="right"/>
            </w:pPr>
            <w:r>
              <w:rPr>
                <w:sz w:val="11"/>
              </w:rPr>
              <w:t>0.374 ± 0.117</w:t>
            </w:r>
          </w:p>
        </w:tc>
        <w:tc>
          <w:tcPr>
            <w:tcW w:w="700" w:type="dxa"/>
            <w:tcMar>
              <w:top w:w="12" w:type="dxa"/>
              <w:bottom w:w="12" w:type="dxa"/>
              <w:left w:w="8" w:type="dxa"/>
              <w:right w:w="8" w:type="dxa"/>
            </w:tcMar>
          </w:tcPr>
          <w:p>
            <w:pPr>
              <w:jc w:val="right"/>
            </w:pPr>
            <w:r>
              <w:rPr>
                <w:sz w:val="11"/>
              </w:rPr>
              <w:t>-0.014</w:t>
            </w:r>
          </w:p>
        </w:tc>
        <w:tc>
          <w:tcPr>
            <w:tcW w:w="1000" w:type="dxa"/>
            <w:tcMar>
              <w:top w:w="12" w:type="dxa"/>
              <w:bottom w:w="12" w:type="dxa"/>
              <w:left w:w="8" w:type="dxa"/>
              <w:right w:w="8" w:type="dxa"/>
            </w:tcMar>
          </w:tcPr>
          <w:p>
            <w:pPr>
              <w:jc w:val="right"/>
            </w:pPr>
            <w:r>
              <w:rPr>
                <w:sz w:val="11"/>
              </w:rPr>
              <w:t>p = 0.375</w:t>
            </w:r>
          </w:p>
        </w:tc>
      </w:tr>
      <w:tr>
        <w:trPr>
          <w:cantSplit/>
        </w:trPr>
        <w:tc>
          <w:tcPr>
            <w:tcW w:w="1600" w:type="dxa"/>
            <w:tcMar>
              <w:top w:w="12" w:type="dxa"/>
              <w:bottom w:w="12" w:type="dxa"/>
              <w:left w:w="8" w:type="dxa"/>
              <w:right w:w="8" w:type="dxa"/>
            </w:tcMar>
          </w:tcPr>
          <w:p>
            <w:pPr>
              <w:jc w:val="left"/>
            </w:pPr>
            <w:r>
              <w:rPr>
                <w:sz w:val="11"/>
              </w:rPr>
              <w:t>w/o Uncertainty Bounds</w:t>
            </w:r>
          </w:p>
        </w:tc>
        <w:tc>
          <w:tcPr>
            <w:tcW w:w="750" w:type="dxa"/>
            <w:tcMar>
              <w:top w:w="12" w:type="dxa"/>
              <w:bottom w:w="12" w:type="dxa"/>
              <w:left w:w="8" w:type="dxa"/>
              <w:right w:w="8" w:type="dxa"/>
            </w:tcMar>
          </w:tcPr>
          <w:p>
            <w:pPr>
              <w:jc w:val="right"/>
            </w:pPr>
            <w:r>
              <w:rPr>
                <w:sz w:val="11"/>
              </w:rPr>
              <w:t>0.415 ± 0.095</w:t>
            </w:r>
          </w:p>
        </w:tc>
        <w:tc>
          <w:tcPr>
            <w:tcW w:w="750" w:type="dxa"/>
            <w:tcMar>
              <w:top w:w="12" w:type="dxa"/>
              <w:bottom w:w="12" w:type="dxa"/>
              <w:left w:w="8" w:type="dxa"/>
              <w:right w:w="8" w:type="dxa"/>
            </w:tcMar>
          </w:tcPr>
          <w:p>
            <w:pPr>
              <w:jc w:val="right"/>
            </w:pPr>
            <w:r>
              <w:rPr>
                <w:sz w:val="11"/>
              </w:rPr>
              <w:t>0.397 ± 0.096</w:t>
            </w:r>
          </w:p>
        </w:tc>
        <w:tc>
          <w:tcPr>
            <w:tcW w:w="700" w:type="dxa"/>
            <w:tcMar>
              <w:top w:w="12" w:type="dxa"/>
              <w:bottom w:w="12" w:type="dxa"/>
              <w:left w:w="8" w:type="dxa"/>
              <w:right w:w="8" w:type="dxa"/>
            </w:tcMar>
          </w:tcPr>
          <w:p>
            <w:pPr>
              <w:jc w:val="right"/>
            </w:pPr>
            <w:r>
              <w:rPr>
                <w:sz w:val="11"/>
              </w:rPr>
              <w:t>-0.033</w:t>
            </w:r>
          </w:p>
        </w:tc>
        <w:tc>
          <w:tcPr>
            <w:tcW w:w="1000" w:type="dxa"/>
            <w:tcMar>
              <w:top w:w="12" w:type="dxa"/>
              <w:bottom w:w="12" w:type="dxa"/>
              <w:left w:w="8" w:type="dxa"/>
              <w:right w:w="8" w:type="dxa"/>
            </w:tcMar>
          </w:tcPr>
          <w:p>
            <w:pPr>
              <w:jc w:val="right"/>
            </w:pPr>
            <w:r>
              <w:rPr>
                <w:sz w:val="11"/>
              </w:rPr>
              <w:t>p = 0.027</w:t>
            </w:r>
          </w:p>
        </w:tc>
      </w:tr>
      <w:tr>
        <w:trPr>
          <w:cantSplit/>
        </w:trPr>
        <w:tc>
          <w:tcPr>
            <w:tcW w:w="1600" w:type="dxa"/>
            <w:tcMar>
              <w:top w:w="12" w:type="dxa"/>
              <w:bottom w:w="12" w:type="dxa"/>
              <w:left w:w="8" w:type="dxa"/>
              <w:right w:w="8" w:type="dxa"/>
            </w:tcMar>
          </w:tcPr>
          <w:p>
            <w:pPr>
              <w:jc w:val="left"/>
            </w:pPr>
            <w:r>
              <w:rPr>
                <w:sz w:val="11"/>
              </w:rPr>
              <w:t>w/o Graph Benchmark</w:t>
            </w:r>
          </w:p>
        </w:tc>
        <w:tc>
          <w:tcPr>
            <w:tcW w:w="750" w:type="dxa"/>
            <w:tcMar>
              <w:top w:w="12" w:type="dxa"/>
              <w:bottom w:w="12" w:type="dxa"/>
              <w:left w:w="8" w:type="dxa"/>
              <w:right w:w="8" w:type="dxa"/>
            </w:tcMar>
          </w:tcPr>
          <w:p>
            <w:pPr>
              <w:jc w:val="right"/>
            </w:pPr>
            <w:r>
              <w:rPr>
                <w:sz w:val="11"/>
              </w:rPr>
              <w:t>0.394 ± 0.096</w:t>
            </w:r>
          </w:p>
        </w:tc>
        <w:tc>
          <w:tcPr>
            <w:tcW w:w="750" w:type="dxa"/>
            <w:tcMar>
              <w:top w:w="12" w:type="dxa"/>
              <w:bottom w:w="12" w:type="dxa"/>
              <w:left w:w="8" w:type="dxa"/>
              <w:right w:w="8" w:type="dxa"/>
            </w:tcMar>
          </w:tcPr>
          <w:p>
            <w:pPr>
              <w:jc w:val="right"/>
            </w:pPr>
            <w:r>
              <w:rPr>
                <w:sz w:val="11"/>
              </w:rPr>
              <w:t>0.354 ± 0.089</w:t>
            </w:r>
          </w:p>
        </w:tc>
        <w:tc>
          <w:tcPr>
            <w:tcW w:w="700" w:type="dxa"/>
            <w:tcMar>
              <w:top w:w="12" w:type="dxa"/>
              <w:bottom w:w="12" w:type="dxa"/>
              <w:left w:w="8" w:type="dxa"/>
              <w:right w:w="8" w:type="dxa"/>
            </w:tcMar>
          </w:tcPr>
          <w:p>
            <w:pPr>
              <w:jc w:val="right"/>
            </w:pPr>
            <w:r>
              <w:rPr>
                <w:sz w:val="11"/>
              </w:rPr>
              <w:t>-0.012</w:t>
            </w:r>
          </w:p>
        </w:tc>
        <w:tc>
          <w:tcPr>
            <w:tcW w:w="1000" w:type="dxa"/>
            <w:tcMar>
              <w:top w:w="12" w:type="dxa"/>
              <w:bottom w:w="12" w:type="dxa"/>
              <w:left w:w="8" w:type="dxa"/>
              <w:right w:w="8" w:type="dxa"/>
            </w:tcMar>
          </w:tcPr>
          <w:p>
            <w:pPr>
              <w:jc w:val="right"/>
            </w:pPr>
            <w:r>
              <w:rPr>
                <w:sz w:val="11"/>
              </w:rPr>
              <w:t>p = 0.695</w:t>
            </w:r>
          </w:p>
        </w:tc>
      </w:tr>
      <w:tr>
        <w:trPr>
          <w:cantSplit/>
        </w:trPr>
        <w:tc>
          <w:tcPr>
            <w:tcW w:w="1600" w:type="dxa"/>
            <w:tcMar>
              <w:top w:w="12" w:type="dxa"/>
              <w:bottom w:w="12" w:type="dxa"/>
              <w:left w:w="8" w:type="dxa"/>
              <w:right w:w="8" w:type="dxa"/>
            </w:tcMar>
          </w:tcPr>
          <w:p>
            <w:pPr>
              <w:jc w:val="left"/>
            </w:pPr>
            <w:r>
              <w:rPr>
                <w:sz w:val="11"/>
              </w:rPr>
              <w:t>w/o Temporal Dynamic</w:t>
            </w:r>
          </w:p>
        </w:tc>
        <w:tc>
          <w:tcPr>
            <w:tcW w:w="750" w:type="dxa"/>
            <w:tcMar>
              <w:top w:w="12" w:type="dxa"/>
              <w:bottom w:w="12" w:type="dxa"/>
              <w:left w:w="8" w:type="dxa"/>
              <w:right w:w="8" w:type="dxa"/>
            </w:tcMar>
          </w:tcPr>
          <w:p>
            <w:pPr>
              <w:jc w:val="right"/>
            </w:pPr>
            <w:r>
              <w:rPr>
                <w:sz w:val="11"/>
              </w:rPr>
              <w:t>0.310 ± 0.079</w:t>
            </w:r>
          </w:p>
        </w:tc>
        <w:tc>
          <w:tcPr>
            <w:tcW w:w="750" w:type="dxa"/>
            <w:tcMar>
              <w:top w:w="12" w:type="dxa"/>
              <w:bottom w:w="12" w:type="dxa"/>
              <w:left w:w="8" w:type="dxa"/>
              <w:right w:w="8" w:type="dxa"/>
            </w:tcMar>
          </w:tcPr>
          <w:p>
            <w:pPr>
              <w:jc w:val="right"/>
            </w:pPr>
            <w:r>
              <w:rPr>
                <w:sz w:val="11"/>
              </w:rPr>
              <w:t>0.286 ± 0.071</w:t>
            </w:r>
          </w:p>
        </w:tc>
        <w:tc>
          <w:tcPr>
            <w:tcW w:w="700" w:type="dxa"/>
            <w:tcMar>
              <w:top w:w="12" w:type="dxa"/>
              <w:bottom w:w="12" w:type="dxa"/>
              <w:left w:w="8" w:type="dxa"/>
              <w:right w:w="8" w:type="dxa"/>
            </w:tcMar>
          </w:tcPr>
          <w:p>
            <w:pPr>
              <w:jc w:val="right"/>
            </w:pPr>
            <w:r>
              <w:rPr>
                <w:sz w:val="11"/>
              </w:rPr>
              <w:t>+0.072</w:t>
            </w:r>
          </w:p>
        </w:tc>
        <w:tc>
          <w:tcPr>
            <w:tcW w:w="1000" w:type="dxa"/>
            <w:tcMar>
              <w:top w:w="12" w:type="dxa"/>
              <w:bottom w:w="12" w:type="dxa"/>
              <w:left w:w="8" w:type="dxa"/>
              <w:right w:w="8" w:type="dxa"/>
            </w:tcMar>
          </w:tcPr>
          <w:p>
            <w:pPr>
              <w:jc w:val="right"/>
            </w:pPr>
            <w:r>
              <w:rPr>
                <w:sz w:val="11"/>
              </w:rPr>
              <w:t>p = 0.084</w:t>
            </w:r>
          </w:p>
        </w:tc>
      </w:tr>
      <w:tr>
        <w:trPr>
          <w:cantSplit/>
        </w:trPr>
        <w:tc>
          <w:tcPr>
            <w:tcW w:w="1600" w:type="dxa"/>
            <w:tcMar>
              <w:top w:w="12" w:type="dxa"/>
              <w:bottom w:w="12" w:type="dxa"/>
              <w:left w:w="8" w:type="dxa"/>
              <w:right w:w="8" w:type="dxa"/>
            </w:tcMar>
          </w:tcPr>
          <w:p>
            <w:pPr>
              <w:jc w:val="left"/>
            </w:pPr>
            <w:r>
              <w:rPr>
                <w:sz w:val="11"/>
              </w:rPr>
              <w:t>w/o Graph (Tabular)</w:t>
            </w:r>
          </w:p>
        </w:tc>
        <w:tc>
          <w:tcPr>
            <w:tcW w:w="750" w:type="dxa"/>
            <w:tcMar>
              <w:top w:w="12" w:type="dxa"/>
              <w:bottom w:w="12" w:type="dxa"/>
              <w:left w:w="8" w:type="dxa"/>
              <w:right w:w="8" w:type="dxa"/>
            </w:tcMar>
          </w:tcPr>
          <w:p>
            <w:pPr>
              <w:jc w:val="right"/>
            </w:pPr>
            <w:r>
              <w:rPr>
                <w:sz w:val="11"/>
              </w:rPr>
              <w:t>0.237 ± 0.083</w:t>
            </w:r>
          </w:p>
        </w:tc>
        <w:tc>
          <w:tcPr>
            <w:tcW w:w="750" w:type="dxa"/>
            <w:tcMar>
              <w:top w:w="12" w:type="dxa"/>
              <w:bottom w:w="12" w:type="dxa"/>
              <w:left w:w="8" w:type="dxa"/>
              <w:right w:w="8" w:type="dxa"/>
            </w:tcMar>
          </w:tcPr>
          <w:p>
            <w:pPr>
              <w:jc w:val="right"/>
            </w:pPr>
            <w:r>
              <w:rPr>
                <w:sz w:val="11"/>
              </w:rPr>
              <w:t>0.214 ± 0.064</w:t>
            </w:r>
          </w:p>
        </w:tc>
        <w:tc>
          <w:tcPr>
            <w:tcW w:w="700" w:type="dxa"/>
            <w:tcMar>
              <w:top w:w="12" w:type="dxa"/>
              <w:bottom w:w="12" w:type="dxa"/>
              <w:left w:w="8" w:type="dxa"/>
              <w:right w:w="8" w:type="dxa"/>
            </w:tcMar>
          </w:tcPr>
          <w:p>
            <w:pPr>
              <w:jc w:val="right"/>
            </w:pPr>
            <w:r>
              <w:rPr>
                <w:sz w:val="11"/>
              </w:rPr>
              <w:t>+0.145</w:t>
            </w:r>
          </w:p>
        </w:tc>
        <w:tc>
          <w:tcPr>
            <w:tcW w:w="1000" w:type="dxa"/>
            <w:tcMar>
              <w:top w:w="12" w:type="dxa"/>
              <w:bottom w:w="12" w:type="dxa"/>
              <w:left w:w="8" w:type="dxa"/>
              <w:right w:w="8" w:type="dxa"/>
            </w:tcMar>
          </w:tcPr>
          <w:p>
            <w:pPr>
              <w:jc w:val="right"/>
            </w:pPr>
            <w:r>
              <w:rPr>
                <w:sz w:val="11"/>
              </w:rPr>
              <w:t>p = 0.002</w:t>
            </w:r>
          </w:p>
        </w:tc>
      </w:tr>
    </w:tbl>
    <w:p>
      <w:pPr>
        <w:spacing w:after="30" w:line="235" w:lineRule="auto"/>
        <w:ind w:firstLine="202"/>
        <w:jc w:val="both"/>
      </w:pPr>
      <w:r>
        <w:rPr>
          <w:sz w:val="16"/>
        </w:rPr>
        <w:t>Ablation Analysis &amp; Three-Layer Architecture: A superficial inspection of Table V might suggest that omitting uncertainty bounds (NDCG@35 = 0.415 ± 0.095, p = 0.0273) or graph support (NDCG@35 = 0.396 ± 0.102) improves raw ranking metrics. Crucially, HAMTA's three-layer architecture clarifies their distinct roles: (1) Relational Ranking Engine: Relational graph information provides the largest measured contribution among the evaluated components, lifting NDCG@35 by +0.145 over tabular GBDT (p = 0.0020) and +0.072 over static GNN (p = 0.0840). (2) Operational Decision Safeguards: Uncertainty bounds U and graph support Q act as safeguards against false alerts and wasted spend. Omitting U captures synthetic drops aggressively at the cost of high false-alert risk under natural volatility. Omitting Q inflates weak-support selections (O_m &lt; 5) to 24.3%, recommending relational outliers with negligible peer overlap. (3) Structural Topological Refinement: Forman-Ricci curvature operates as an empirical topological regularizer against bottleneck over-squashing rather than a primary ranking driver (Δ = -0.002, p = 0.8457). The core empirical performance is driven by the triad of peer-relative opportunity formulation, temporal forecast bounds, and graph evidence support. Reported p-values are exploratory unadjusted paired comparisons.</w:t>
      </w:r>
    </w:p>
    <w:p>
      <w:pPr>
        <w:keepNext/>
        <w:spacing w:before="70" w:after="20"/>
        <w:jc w:val="left"/>
      </w:pPr>
      <w:r>
        <w:rPr>
          <w:i/>
          <w:sz w:val="16"/>
        </w:rPr>
        <w:t>F. Qualitative Case Study &amp; Operational Trade-offs</w:t>
      </w:r>
    </w:p>
    <w:p>
      <w:pPr>
        <w:spacing w:after="30" w:line="235" w:lineRule="auto"/>
        <w:ind w:firstLine="202"/>
        <w:jc w:val="both"/>
      </w:pPr>
      <w:r>
        <w:rPr>
          <w:sz w:val="16"/>
        </w:rPr>
        <w:t>Table VI presents illustrative opportunity candidates discovered by HAMTA on the synthetic dataset, illustrating the mechanics of the M-GATO score.</w:t>
      </w:r>
    </w:p>
    <w:p>
      <w:pPr>
        <w:keepNext/>
        <w:spacing w:before="60" w:after="40"/>
        <w:jc w:val="center"/>
      </w:pPr>
      <w:r>
        <w:rPr>
          <w:b/>
          <w:sz w:val="14"/>
        </w:rPr>
        <w:t>TABLE VI. TOP DISCOVERED OPPORTUNITY CANDIDATES (ILLUSTRATIVE CASE STUDY)</w:t>
      </w:r>
    </w:p>
    <w:tbl>
      <w:tblPr>
        <w:jc w:val="center"/>
        <w:tblLook w:firstColumn="1" w:firstRow="1" w:lastColumn="0" w:lastRow="0" w:noHBand="0" w:noVBand="1" w:val="04A0"/>
        <w:tblW w:w="4800" w:type="dxa"/>
        <w:tblLayout w:type="fixed"/>
        <w:tblBorders>
          <w:top w:val="single" w:sz="8" w:space="0" w:color="000000"/>
          <w:bottom w:val="single" w:sz="8" w:space="0" w:color="000000"/>
          <w:insideH w:val="single" w:sz="4" w:space="0" w:color="808080"/>
        </w:tblBorders>
      </w:tblPr>
      <w:tblGrid>
        <w:gridCol w:w="1050"/>
        <w:gridCol w:w="1150"/>
        <w:gridCol w:w="480"/>
        <w:gridCol w:w="530"/>
        <w:gridCol w:w="530"/>
        <w:gridCol w:w="530"/>
        <w:gridCol w:w="530"/>
      </w:tblGrid>
      <w:tr>
        <w:trPr>
          <w:cantSplit/>
        </w:trPr>
        <w:tc>
          <w:tcPr>
            <w:tcW w:w="1050" w:type="dxa"/>
            <w:shd w:fill="E0E0E0"/>
            <w:tcMar>
              <w:top w:w="14" w:type="dxa"/>
              <w:bottom w:w="14" w:type="dxa"/>
              <w:left w:w="8" w:type="dxa"/>
              <w:right w:w="8" w:type="dxa"/>
            </w:tcMar>
          </w:tcPr>
          <w:p>
            <w:pPr>
              <w:jc w:val="center"/>
            </w:pPr>
            <w:r>
              <w:rPr>
                <w:b/>
                <w:sz w:val="12"/>
              </w:rPr>
              <w:t>Merchant ID</w:t>
            </w:r>
          </w:p>
        </w:tc>
        <w:tc>
          <w:tcPr>
            <w:tcW w:w="1150" w:type="dxa"/>
            <w:shd w:fill="E0E0E0"/>
            <w:tcMar>
              <w:top w:w="14" w:type="dxa"/>
              <w:bottom w:w="14" w:type="dxa"/>
              <w:left w:w="8" w:type="dxa"/>
              <w:right w:w="8" w:type="dxa"/>
            </w:tcMar>
          </w:tcPr>
          <w:p>
            <w:pPr>
              <w:jc w:val="center"/>
            </w:pPr>
            <w:r>
              <w:rPr>
                <w:b/>
                <w:sz w:val="12"/>
              </w:rPr>
              <w:t>Category</w:t>
            </w:r>
          </w:p>
        </w:tc>
        <w:tc>
          <w:tcPr>
            <w:tcW w:w="480" w:type="dxa"/>
            <w:shd w:fill="E0E0E0"/>
            <w:tcMar>
              <w:top w:w="14" w:type="dxa"/>
              <w:bottom w:w="14" w:type="dxa"/>
              <w:left w:w="8" w:type="dxa"/>
              <w:right w:w="8" w:type="dxa"/>
            </w:tcMar>
          </w:tcPr>
          <w:p>
            <w:pPr>
              <w:jc w:val="center"/>
            </w:pPr>
            <w:r>
              <w:rPr>
                <w:b/>
                <w:sz w:val="12"/>
              </w:rPr>
              <w:t>Act</w:t>
            </w:r>
          </w:p>
        </w:tc>
        <w:tc>
          <w:tcPr>
            <w:tcW w:w="530" w:type="dxa"/>
            <w:shd w:fill="E0E0E0"/>
            <w:tcMar>
              <w:top w:w="14" w:type="dxa"/>
              <w:bottom w:w="14" w:type="dxa"/>
              <w:left w:w="8" w:type="dxa"/>
              <w:right w:w="8" w:type="dxa"/>
            </w:tcMar>
          </w:tcPr>
          <w:p>
            <w:pPr>
              <w:jc w:val="center"/>
            </w:pPr>
            <w:r>
              <w:rPr>
                <w:b/>
                <w:sz w:val="12"/>
              </w:rPr>
              <w:t>Fore</w:t>
            </w:r>
          </w:p>
        </w:tc>
        <w:tc>
          <w:tcPr>
            <w:tcW w:w="530" w:type="dxa"/>
            <w:shd w:fill="E0E0E0"/>
            <w:tcMar>
              <w:top w:w="14" w:type="dxa"/>
              <w:bottom w:w="14" w:type="dxa"/>
              <w:left w:w="8" w:type="dxa"/>
              <w:right w:w="8" w:type="dxa"/>
            </w:tcMar>
          </w:tcPr>
          <w:p>
            <w:pPr>
              <w:jc w:val="center"/>
            </w:pPr>
            <w:r>
              <w:rPr>
                <w:b/>
                <w:sz w:val="12"/>
              </w:rPr>
              <w:t>Upper</w:t>
            </w:r>
          </w:p>
        </w:tc>
        <w:tc>
          <w:tcPr>
            <w:tcW w:w="530" w:type="dxa"/>
            <w:shd w:fill="E0E0E0"/>
            <w:tcMar>
              <w:top w:w="14" w:type="dxa"/>
              <w:bottom w:w="14" w:type="dxa"/>
              <w:left w:w="8" w:type="dxa"/>
              <w:right w:w="8" w:type="dxa"/>
            </w:tcMar>
          </w:tcPr>
          <w:p>
            <w:pPr>
              <w:jc w:val="center"/>
            </w:pPr>
            <w:r>
              <w:rPr>
                <w:b/>
                <w:sz w:val="12"/>
              </w:rPr>
              <w:t>Peer</w:t>
            </w:r>
          </w:p>
        </w:tc>
        <w:tc>
          <w:tcPr>
            <w:tcW w:w="530" w:type="dxa"/>
            <w:shd w:fill="E0E0E0"/>
            <w:tcMar>
              <w:top w:w="14" w:type="dxa"/>
              <w:bottom w:w="14" w:type="dxa"/>
              <w:left w:w="8" w:type="dxa"/>
              <w:right w:w="8" w:type="dxa"/>
            </w:tcMar>
          </w:tcPr>
          <w:p>
            <w:pPr>
              <w:jc w:val="center"/>
            </w:pPr>
            <w:r>
              <w:rPr>
                <w:b/>
                <w:sz w:val="12"/>
              </w:rPr>
              <w:t>Score</w:t>
            </w:r>
          </w:p>
        </w:tc>
      </w:tr>
      <w:tr>
        <w:trPr>
          <w:cantSplit/>
        </w:trPr>
        <w:tc>
          <w:tcPr>
            <w:tcW w:w="1050" w:type="dxa"/>
            <w:tcMar>
              <w:top w:w="12" w:type="dxa"/>
              <w:bottom w:w="12" w:type="dxa"/>
              <w:left w:w="8" w:type="dxa"/>
              <w:right w:w="8" w:type="dxa"/>
            </w:tcMar>
          </w:tcPr>
          <w:p>
            <w:pPr>
              <w:jc w:val="left"/>
            </w:pPr>
            <w:r>
              <w:rPr>
                <w:sz w:val="11"/>
              </w:rPr>
              <w:t>MERCH_00141</w:t>
            </w:r>
          </w:p>
        </w:tc>
        <w:tc>
          <w:tcPr>
            <w:tcW w:w="1150" w:type="dxa"/>
            <w:tcMar>
              <w:top w:w="12" w:type="dxa"/>
              <w:bottom w:w="12" w:type="dxa"/>
              <w:left w:w="8" w:type="dxa"/>
              <w:right w:w="8" w:type="dxa"/>
            </w:tcMar>
          </w:tcPr>
          <w:p>
            <w:pPr>
              <w:jc w:val="left"/>
            </w:pPr>
            <w:r>
              <w:rPr>
                <w:sz w:val="11"/>
              </w:rPr>
              <w:t>Industrial Wholesale</w:t>
            </w:r>
          </w:p>
        </w:tc>
        <w:tc>
          <w:tcPr>
            <w:tcW w:w="480" w:type="dxa"/>
            <w:tcMar>
              <w:top w:w="12" w:type="dxa"/>
              <w:bottom w:w="12" w:type="dxa"/>
              <w:left w:w="8" w:type="dxa"/>
              <w:right w:w="8" w:type="dxa"/>
            </w:tcMar>
          </w:tcPr>
          <w:p>
            <w:pPr>
              <w:jc w:val="right"/>
            </w:pPr>
            <w:r>
              <w:rPr>
                <w:sz w:val="11"/>
              </w:rPr>
              <w:t>28</w:t>
            </w:r>
          </w:p>
        </w:tc>
        <w:tc>
          <w:tcPr>
            <w:tcW w:w="530" w:type="dxa"/>
            <w:tcMar>
              <w:top w:w="12" w:type="dxa"/>
              <w:bottom w:w="12" w:type="dxa"/>
              <w:left w:w="8" w:type="dxa"/>
              <w:right w:w="8" w:type="dxa"/>
            </w:tcMar>
          </w:tcPr>
          <w:p>
            <w:pPr>
              <w:jc w:val="right"/>
            </w:pPr>
            <w:r>
              <w:rPr>
                <w:sz w:val="11"/>
              </w:rPr>
              <w:t>31.1</w:t>
            </w:r>
          </w:p>
        </w:tc>
        <w:tc>
          <w:tcPr>
            <w:tcW w:w="530" w:type="dxa"/>
            <w:tcMar>
              <w:top w:w="12" w:type="dxa"/>
              <w:bottom w:w="12" w:type="dxa"/>
              <w:left w:w="8" w:type="dxa"/>
              <w:right w:w="8" w:type="dxa"/>
            </w:tcMar>
          </w:tcPr>
          <w:p>
            <w:pPr>
              <w:jc w:val="right"/>
            </w:pPr>
            <w:r>
              <w:rPr>
                <w:sz w:val="11"/>
              </w:rPr>
              <w:t>37.1</w:t>
            </w:r>
          </w:p>
        </w:tc>
        <w:tc>
          <w:tcPr>
            <w:tcW w:w="530" w:type="dxa"/>
            <w:tcMar>
              <w:top w:w="12" w:type="dxa"/>
              <w:bottom w:w="12" w:type="dxa"/>
              <w:left w:w="8" w:type="dxa"/>
              <w:right w:w="8" w:type="dxa"/>
            </w:tcMar>
          </w:tcPr>
          <w:p>
            <w:pPr>
              <w:jc w:val="right"/>
            </w:pPr>
            <w:r>
              <w:rPr>
                <w:sz w:val="11"/>
              </w:rPr>
              <w:t>56.4</w:t>
            </w:r>
          </w:p>
        </w:tc>
        <w:tc>
          <w:tcPr>
            <w:tcW w:w="530" w:type="dxa"/>
            <w:tcMar>
              <w:top w:w="12" w:type="dxa"/>
              <w:bottom w:w="12" w:type="dxa"/>
              <w:left w:w="8" w:type="dxa"/>
              <w:right w:w="8" w:type="dxa"/>
            </w:tcMar>
          </w:tcPr>
          <w:p>
            <w:pPr>
              <w:jc w:val="right"/>
            </w:pPr>
            <w:r>
              <w:rPr>
                <w:sz w:val="11"/>
              </w:rPr>
              <w:t>0.301</w:t>
            </w:r>
          </w:p>
        </w:tc>
      </w:tr>
      <w:tr>
        <w:trPr>
          <w:cantSplit/>
        </w:trPr>
        <w:tc>
          <w:tcPr>
            <w:tcW w:w="1050" w:type="dxa"/>
            <w:tcMar>
              <w:top w:w="12" w:type="dxa"/>
              <w:bottom w:w="12" w:type="dxa"/>
              <w:left w:w="8" w:type="dxa"/>
              <w:right w:w="8" w:type="dxa"/>
            </w:tcMar>
          </w:tcPr>
          <w:p>
            <w:pPr>
              <w:jc w:val="left"/>
            </w:pPr>
            <w:r>
              <w:rPr>
                <w:sz w:val="11"/>
              </w:rPr>
              <w:t>MERCH_00267</w:t>
            </w:r>
          </w:p>
        </w:tc>
        <w:tc>
          <w:tcPr>
            <w:tcW w:w="1150" w:type="dxa"/>
            <w:tcMar>
              <w:top w:w="12" w:type="dxa"/>
              <w:bottom w:w="12" w:type="dxa"/>
              <w:left w:w="8" w:type="dxa"/>
              <w:right w:w="8" w:type="dxa"/>
            </w:tcMar>
          </w:tcPr>
          <w:p>
            <w:pPr>
              <w:jc w:val="left"/>
            </w:pPr>
            <w:r>
              <w:rPr>
                <w:sz w:val="11"/>
              </w:rPr>
              <w:t>Travel Agency</w:t>
            </w:r>
          </w:p>
        </w:tc>
        <w:tc>
          <w:tcPr>
            <w:tcW w:w="480" w:type="dxa"/>
            <w:tcMar>
              <w:top w:w="12" w:type="dxa"/>
              <w:bottom w:w="12" w:type="dxa"/>
              <w:left w:w="8" w:type="dxa"/>
              <w:right w:w="8" w:type="dxa"/>
            </w:tcMar>
          </w:tcPr>
          <w:p>
            <w:pPr>
              <w:jc w:val="right"/>
            </w:pPr>
            <w:r>
              <w:rPr>
                <w:sz w:val="11"/>
              </w:rPr>
              <w:t>8</w:t>
            </w:r>
          </w:p>
        </w:tc>
        <w:tc>
          <w:tcPr>
            <w:tcW w:w="530" w:type="dxa"/>
            <w:tcMar>
              <w:top w:w="12" w:type="dxa"/>
              <w:bottom w:w="12" w:type="dxa"/>
              <w:left w:w="8" w:type="dxa"/>
              <w:right w:w="8" w:type="dxa"/>
            </w:tcMar>
          </w:tcPr>
          <w:p>
            <w:pPr>
              <w:jc w:val="right"/>
            </w:pPr>
            <w:r>
              <w:rPr>
                <w:sz w:val="11"/>
              </w:rPr>
              <w:t>8.5</w:t>
            </w:r>
          </w:p>
        </w:tc>
        <w:tc>
          <w:tcPr>
            <w:tcW w:w="530" w:type="dxa"/>
            <w:tcMar>
              <w:top w:w="12" w:type="dxa"/>
              <w:bottom w:w="12" w:type="dxa"/>
              <w:left w:w="8" w:type="dxa"/>
              <w:right w:w="8" w:type="dxa"/>
            </w:tcMar>
          </w:tcPr>
          <w:p>
            <w:pPr>
              <w:jc w:val="right"/>
            </w:pPr>
            <w:r>
              <w:rPr>
                <w:sz w:val="11"/>
              </w:rPr>
              <w:t>14.5</w:t>
            </w:r>
          </w:p>
        </w:tc>
        <w:tc>
          <w:tcPr>
            <w:tcW w:w="530" w:type="dxa"/>
            <w:tcMar>
              <w:top w:w="12" w:type="dxa"/>
              <w:bottom w:w="12" w:type="dxa"/>
              <w:left w:w="8" w:type="dxa"/>
              <w:right w:w="8" w:type="dxa"/>
            </w:tcMar>
          </w:tcPr>
          <w:p>
            <w:pPr>
              <w:jc w:val="right"/>
            </w:pPr>
            <w:r>
              <w:rPr>
                <w:sz w:val="11"/>
              </w:rPr>
              <w:t>21.3</w:t>
            </w:r>
          </w:p>
        </w:tc>
        <w:tc>
          <w:tcPr>
            <w:tcW w:w="530" w:type="dxa"/>
            <w:tcMar>
              <w:top w:w="12" w:type="dxa"/>
              <w:bottom w:w="12" w:type="dxa"/>
              <w:left w:w="8" w:type="dxa"/>
              <w:right w:w="8" w:type="dxa"/>
            </w:tcMar>
          </w:tcPr>
          <w:p>
            <w:pPr>
              <w:jc w:val="right"/>
            </w:pPr>
            <w:r>
              <w:rPr>
                <w:sz w:val="11"/>
              </w:rPr>
              <w:t>0.262</w:t>
            </w:r>
          </w:p>
        </w:tc>
      </w:tr>
      <w:tr>
        <w:trPr>
          <w:cantSplit/>
        </w:trPr>
        <w:tc>
          <w:tcPr>
            <w:tcW w:w="1050" w:type="dxa"/>
            <w:tcMar>
              <w:top w:w="12" w:type="dxa"/>
              <w:bottom w:w="12" w:type="dxa"/>
              <w:left w:w="8" w:type="dxa"/>
              <w:right w:w="8" w:type="dxa"/>
            </w:tcMar>
          </w:tcPr>
          <w:p>
            <w:pPr>
              <w:jc w:val="left"/>
            </w:pPr>
            <w:r>
              <w:rPr>
                <w:sz w:val="11"/>
              </w:rPr>
              <w:t>MERCH_00322</w:t>
            </w:r>
          </w:p>
        </w:tc>
        <w:tc>
          <w:tcPr>
            <w:tcW w:w="1150" w:type="dxa"/>
            <w:tcMar>
              <w:top w:w="12" w:type="dxa"/>
              <w:bottom w:w="12" w:type="dxa"/>
              <w:left w:w="8" w:type="dxa"/>
              <w:right w:w="8" w:type="dxa"/>
            </w:tcMar>
          </w:tcPr>
          <w:p>
            <w:pPr>
              <w:jc w:val="left"/>
            </w:pPr>
            <w:r>
              <w:rPr>
                <w:sz w:val="11"/>
              </w:rPr>
              <w:t>Travel Agency</w:t>
            </w:r>
          </w:p>
        </w:tc>
        <w:tc>
          <w:tcPr>
            <w:tcW w:w="480" w:type="dxa"/>
            <w:tcMar>
              <w:top w:w="12" w:type="dxa"/>
              <w:bottom w:w="12" w:type="dxa"/>
              <w:left w:w="8" w:type="dxa"/>
              <w:right w:w="8" w:type="dxa"/>
            </w:tcMar>
          </w:tcPr>
          <w:p>
            <w:pPr>
              <w:jc w:val="right"/>
            </w:pPr>
            <w:r>
              <w:rPr>
                <w:sz w:val="11"/>
              </w:rPr>
              <w:t>100</w:t>
            </w:r>
          </w:p>
        </w:tc>
        <w:tc>
          <w:tcPr>
            <w:tcW w:w="530" w:type="dxa"/>
            <w:tcMar>
              <w:top w:w="12" w:type="dxa"/>
              <w:bottom w:w="12" w:type="dxa"/>
              <w:left w:w="8" w:type="dxa"/>
              <w:right w:w="8" w:type="dxa"/>
            </w:tcMar>
          </w:tcPr>
          <w:p>
            <w:pPr>
              <w:jc w:val="right"/>
            </w:pPr>
            <w:r>
              <w:rPr>
                <w:sz w:val="11"/>
              </w:rPr>
              <w:t>105.0</w:t>
            </w:r>
          </w:p>
        </w:tc>
        <w:tc>
          <w:tcPr>
            <w:tcW w:w="530" w:type="dxa"/>
            <w:tcMar>
              <w:top w:w="12" w:type="dxa"/>
              <w:bottom w:w="12" w:type="dxa"/>
              <w:left w:w="8" w:type="dxa"/>
              <w:right w:w="8" w:type="dxa"/>
            </w:tcMar>
          </w:tcPr>
          <w:p>
            <w:pPr>
              <w:jc w:val="right"/>
            </w:pPr>
            <w:r>
              <w:rPr>
                <w:sz w:val="11"/>
              </w:rPr>
              <w:t>112.0</w:t>
            </w:r>
          </w:p>
        </w:tc>
        <w:tc>
          <w:tcPr>
            <w:tcW w:w="530" w:type="dxa"/>
            <w:tcMar>
              <w:top w:w="12" w:type="dxa"/>
              <w:bottom w:w="12" w:type="dxa"/>
              <w:left w:w="8" w:type="dxa"/>
              <w:right w:w="8" w:type="dxa"/>
            </w:tcMar>
          </w:tcPr>
          <w:p>
            <w:pPr>
              <w:jc w:val="right"/>
            </w:pPr>
            <w:r>
              <w:rPr>
                <w:sz w:val="11"/>
              </w:rPr>
              <w:t>170.0</w:t>
            </w:r>
          </w:p>
        </w:tc>
        <w:tc>
          <w:tcPr>
            <w:tcW w:w="530" w:type="dxa"/>
            <w:tcMar>
              <w:top w:w="12" w:type="dxa"/>
              <w:bottom w:w="12" w:type="dxa"/>
              <w:left w:w="8" w:type="dxa"/>
              <w:right w:w="8" w:type="dxa"/>
            </w:tcMar>
          </w:tcPr>
          <w:p>
            <w:pPr>
              <w:jc w:val="right"/>
            </w:pPr>
            <w:r>
              <w:rPr>
                <w:sz w:val="11"/>
              </w:rPr>
              <w:t>0.307</w:t>
            </w:r>
          </w:p>
        </w:tc>
      </w:tr>
      <w:tr>
        <w:trPr>
          <w:cantSplit/>
        </w:trPr>
        <w:tc>
          <w:tcPr>
            <w:tcW w:w="1050" w:type="dxa"/>
            <w:tcMar>
              <w:top w:w="12" w:type="dxa"/>
              <w:bottom w:w="12" w:type="dxa"/>
              <w:left w:w="8" w:type="dxa"/>
              <w:right w:w="8" w:type="dxa"/>
            </w:tcMar>
          </w:tcPr>
          <w:p>
            <w:pPr>
              <w:jc w:val="left"/>
            </w:pPr>
            <w:r>
              <w:rPr>
                <w:sz w:val="11"/>
              </w:rPr>
              <w:t>MERCH_00070</w:t>
            </w:r>
          </w:p>
        </w:tc>
        <w:tc>
          <w:tcPr>
            <w:tcW w:w="1150" w:type="dxa"/>
            <w:tcMar>
              <w:top w:w="12" w:type="dxa"/>
              <w:bottom w:w="12" w:type="dxa"/>
              <w:left w:w="8" w:type="dxa"/>
              <w:right w:w="8" w:type="dxa"/>
            </w:tcMar>
          </w:tcPr>
          <w:p>
            <w:pPr>
              <w:jc w:val="left"/>
            </w:pPr>
            <w:r>
              <w:rPr>
                <w:sz w:val="11"/>
              </w:rPr>
              <w:t>Industrial Wholesale</w:t>
            </w:r>
          </w:p>
        </w:tc>
        <w:tc>
          <w:tcPr>
            <w:tcW w:w="480" w:type="dxa"/>
            <w:tcMar>
              <w:top w:w="12" w:type="dxa"/>
              <w:bottom w:w="12" w:type="dxa"/>
              <w:left w:w="8" w:type="dxa"/>
              <w:right w:w="8" w:type="dxa"/>
            </w:tcMar>
          </w:tcPr>
          <w:p>
            <w:pPr>
              <w:jc w:val="right"/>
            </w:pPr>
            <w:r>
              <w:rPr>
                <w:sz w:val="11"/>
              </w:rPr>
              <w:t>30</w:t>
            </w:r>
          </w:p>
        </w:tc>
        <w:tc>
          <w:tcPr>
            <w:tcW w:w="530" w:type="dxa"/>
            <w:tcMar>
              <w:top w:w="12" w:type="dxa"/>
              <w:bottom w:w="12" w:type="dxa"/>
              <w:left w:w="8" w:type="dxa"/>
              <w:right w:w="8" w:type="dxa"/>
            </w:tcMar>
          </w:tcPr>
          <w:p>
            <w:pPr>
              <w:jc w:val="right"/>
            </w:pPr>
            <w:r>
              <w:rPr>
                <w:sz w:val="11"/>
              </w:rPr>
              <w:t>32.8</w:t>
            </w:r>
          </w:p>
        </w:tc>
        <w:tc>
          <w:tcPr>
            <w:tcW w:w="530" w:type="dxa"/>
            <w:tcMar>
              <w:top w:w="12" w:type="dxa"/>
              <w:bottom w:w="12" w:type="dxa"/>
              <w:left w:w="8" w:type="dxa"/>
              <w:right w:w="8" w:type="dxa"/>
            </w:tcMar>
          </w:tcPr>
          <w:p>
            <w:pPr>
              <w:jc w:val="right"/>
            </w:pPr>
            <w:r>
              <w:rPr>
                <w:sz w:val="11"/>
              </w:rPr>
              <w:t>38.8</w:t>
            </w:r>
          </w:p>
        </w:tc>
        <w:tc>
          <w:tcPr>
            <w:tcW w:w="530" w:type="dxa"/>
            <w:tcMar>
              <w:top w:w="12" w:type="dxa"/>
              <w:bottom w:w="12" w:type="dxa"/>
              <w:left w:w="8" w:type="dxa"/>
              <w:right w:w="8" w:type="dxa"/>
            </w:tcMar>
          </w:tcPr>
          <w:p>
            <w:pPr>
              <w:jc w:val="right"/>
            </w:pPr>
            <w:r>
              <w:rPr>
                <w:sz w:val="11"/>
              </w:rPr>
              <w:t>54.7</w:t>
            </w:r>
          </w:p>
        </w:tc>
        <w:tc>
          <w:tcPr>
            <w:tcW w:w="530" w:type="dxa"/>
            <w:tcMar>
              <w:top w:w="12" w:type="dxa"/>
              <w:bottom w:w="12" w:type="dxa"/>
              <w:left w:w="8" w:type="dxa"/>
              <w:right w:w="8" w:type="dxa"/>
            </w:tcMar>
          </w:tcPr>
          <w:p>
            <w:pPr>
              <w:jc w:val="right"/>
            </w:pPr>
            <w:r>
              <w:rPr>
                <w:sz w:val="11"/>
              </w:rPr>
              <w:t>0.247</w:t>
            </w:r>
          </w:p>
        </w:tc>
      </w:tr>
      <w:tr>
        <w:trPr>
          <w:cantSplit/>
        </w:trPr>
        <w:tc>
          <w:tcPr>
            <w:tcW w:w="1050" w:type="dxa"/>
            <w:tcMar>
              <w:top w:w="12" w:type="dxa"/>
              <w:bottom w:w="12" w:type="dxa"/>
              <w:left w:w="8" w:type="dxa"/>
              <w:right w:w="8" w:type="dxa"/>
            </w:tcMar>
          </w:tcPr>
          <w:p>
            <w:pPr>
              <w:jc w:val="left"/>
            </w:pPr>
            <w:r>
              <w:rPr>
                <w:sz w:val="11"/>
              </w:rPr>
              <w:t>MERCH_00309</w:t>
            </w:r>
          </w:p>
        </w:tc>
        <w:tc>
          <w:tcPr>
            <w:tcW w:w="1150" w:type="dxa"/>
            <w:tcMar>
              <w:top w:w="12" w:type="dxa"/>
              <w:bottom w:w="12" w:type="dxa"/>
              <w:left w:w="8" w:type="dxa"/>
              <w:right w:w="8" w:type="dxa"/>
            </w:tcMar>
          </w:tcPr>
          <w:p>
            <w:pPr>
              <w:jc w:val="left"/>
            </w:pPr>
            <w:r>
              <w:rPr>
                <w:sz w:val="11"/>
              </w:rPr>
              <w:t>Medical Clinics</w:t>
            </w:r>
          </w:p>
        </w:tc>
        <w:tc>
          <w:tcPr>
            <w:tcW w:w="480" w:type="dxa"/>
            <w:tcMar>
              <w:top w:w="12" w:type="dxa"/>
              <w:bottom w:w="12" w:type="dxa"/>
              <w:left w:w="8" w:type="dxa"/>
              <w:right w:w="8" w:type="dxa"/>
            </w:tcMar>
          </w:tcPr>
          <w:p>
            <w:pPr>
              <w:jc w:val="right"/>
            </w:pPr>
            <w:r>
              <w:rPr>
                <w:sz w:val="11"/>
              </w:rPr>
              <w:t>7</w:t>
            </w:r>
          </w:p>
        </w:tc>
        <w:tc>
          <w:tcPr>
            <w:tcW w:w="530" w:type="dxa"/>
            <w:tcMar>
              <w:top w:w="12" w:type="dxa"/>
              <w:bottom w:w="12" w:type="dxa"/>
              <w:left w:w="8" w:type="dxa"/>
              <w:right w:w="8" w:type="dxa"/>
            </w:tcMar>
          </w:tcPr>
          <w:p>
            <w:pPr>
              <w:jc w:val="right"/>
            </w:pPr>
            <w:r>
              <w:rPr>
                <w:sz w:val="11"/>
              </w:rPr>
              <w:t>9.5</w:t>
            </w:r>
          </w:p>
        </w:tc>
        <w:tc>
          <w:tcPr>
            <w:tcW w:w="530" w:type="dxa"/>
            <w:tcMar>
              <w:top w:w="12" w:type="dxa"/>
              <w:bottom w:w="12" w:type="dxa"/>
              <w:left w:w="8" w:type="dxa"/>
              <w:right w:w="8" w:type="dxa"/>
            </w:tcMar>
          </w:tcPr>
          <w:p>
            <w:pPr>
              <w:jc w:val="right"/>
            </w:pPr>
            <w:r>
              <w:rPr>
                <w:sz w:val="11"/>
              </w:rPr>
              <w:t>15.5</w:t>
            </w:r>
          </w:p>
        </w:tc>
        <w:tc>
          <w:tcPr>
            <w:tcW w:w="530" w:type="dxa"/>
            <w:tcMar>
              <w:top w:w="12" w:type="dxa"/>
              <w:bottom w:w="12" w:type="dxa"/>
              <w:left w:w="8" w:type="dxa"/>
              <w:right w:w="8" w:type="dxa"/>
            </w:tcMar>
          </w:tcPr>
          <w:p>
            <w:pPr>
              <w:jc w:val="right"/>
            </w:pPr>
            <w:r>
              <w:rPr>
                <w:sz w:val="11"/>
              </w:rPr>
              <w:t>21.8</w:t>
            </w:r>
          </w:p>
        </w:tc>
        <w:tc>
          <w:tcPr>
            <w:tcW w:w="530" w:type="dxa"/>
            <w:tcMar>
              <w:top w:w="12" w:type="dxa"/>
              <w:bottom w:w="12" w:type="dxa"/>
              <w:left w:w="8" w:type="dxa"/>
              <w:right w:w="8" w:type="dxa"/>
            </w:tcMar>
          </w:tcPr>
          <w:p>
            <w:pPr>
              <w:jc w:val="right"/>
            </w:pPr>
            <w:r>
              <w:rPr>
                <w:sz w:val="11"/>
              </w:rPr>
              <w:t>0.228</w:t>
            </w:r>
          </w:p>
        </w:tc>
      </w:tr>
    </w:tbl>
    <w:p>
      <w:pPr>
        <w:keepNext/>
        <w:spacing w:before="50" w:after="20"/>
        <w:jc w:val="center"/>
      </w:pPr>
      <w:r>
        <w:drawing>
          <wp:inline xmlns:a="http://schemas.openxmlformats.org/drawingml/2006/main" xmlns:pic="http://schemas.openxmlformats.org/drawingml/2006/picture">
            <wp:extent cx="2834640" cy="1300003"/>
            <wp:docPr id="5" name="Picture 5"/>
            <wp:cNvGraphicFramePr>
              <a:graphicFrameLocks noChangeAspect="1"/>
            </wp:cNvGraphicFramePr>
            <a:graphic>
              <a:graphicData uri="http://schemas.openxmlformats.org/drawingml/2006/picture">
                <pic:pic>
                  <pic:nvPicPr>
                    <pic:cNvPr id="0" name="fig4_radar_persona_profiles.png"/>
                    <pic:cNvPicPr/>
                  </pic:nvPicPr>
                  <pic:blipFill>
                    <a:blip r:embed="rId13"/>
                    <a:stretch>
                      <a:fillRect/>
                    </a:stretch>
                  </pic:blipFill>
                  <pic:spPr>
                    <a:xfrm>
                      <a:off x="0" y="0"/>
                      <a:ext cx="2834640" cy="1300003"/>
                    </a:xfrm>
                    <a:prstGeom prst="rect"/>
                  </pic:spPr>
                </pic:pic>
              </a:graphicData>
            </a:graphic>
          </wp:inline>
        </w:drawing>
      </w:r>
    </w:p>
    <w:p>
      <w:pPr>
        <w:spacing w:after="50"/>
        <w:jc w:val="both"/>
      </w:pPr>
      <w:r>
        <w:rPr>
          <w:i/>
          <w:sz w:val="14"/>
        </w:rPr>
        <w:t>Fig. 5. Opportunity recovery precision (Precision@K) across marketing campaign budgets K in {10, 20, 35, 50} comparing HAMTA with frontier and heuristic baselines (10 random seeds, mean ± std).</w:t>
      </w:r>
    </w:p>
    <w:p>
      <w:pPr>
        <w:spacing w:after="30" w:line="235" w:lineRule="auto"/>
        <w:ind w:firstLine="202"/>
        <w:jc w:val="both"/>
      </w:pPr>
      <w:r>
        <w:rPr>
          <w:sz w:val="16"/>
        </w:rPr>
        <w:t>Micro-Merchant Bias &amp; Activity Threshold Sensitivity: Because M-GATO calculates a relative performance ratio, 56.0% ± 16.5% of top candidates in the unconstrained formulation are micro-merchants (&lt; 10 transactions) due to ratio sensitivity with small denominators. Evaluating activity thresholds reveals clear operational trade-offs: Y &gt;= 5 retains 22.4% low-volume terminals with NDCG@35 = 0.355 ± 0.082; Y &gt;= 10 eliminates micro-merchants entirely while maintaining competitive targeting (NDCG@35 = 0.327 ± 0.077, P@35 = 0.286 ± 0.056); and Y &gt;= 20 restricts targeting to mature enterprises (NDCG = 0.298, P@35 = 0.245). Alternatively, incorporating a continuous exponential discount factor Q_total = Q_graph · (1 - exp(-Y_m / τ_a)) with τ_a = 15 is recommended as the operational deployment formulation to smoothly dampen low-volume noise without hard threshold cuts.</w:t>
      </w:r>
    </w:p>
    <w:p>
      <w:pPr>
        <w:spacing w:after="30" w:line="235" w:lineRule="auto"/>
        <w:ind w:firstLine="202"/>
        <w:jc w:val="both"/>
      </w:pPr>
      <w:r>
        <w:rPr>
          <w:sz w:val="16"/>
        </w:rPr>
        <w:t>Threats to Validity: (1) Peer Cannibalization: the framework assumes independent customer demand; localized competitive cannibalization between neighboring POS terminals is not explicitly modeled. (2) Omitted Covariates: observational ledgers are restricted to 5 transaction fields; unobserved attributes (store area, operating hours, staffing) may confound natural performance capacity. (3) Synthetic Benchmark: while synthetic generation enables controlled ground-truth benchmarking across 10 seeds, production PSP environments exhibit greater non-stationary macroeconomic drift. (4) Absence of Treatment Labels: M-GATO prioritizes observational opportunity rather than estimating causal uplift; active A/B marketing trials are required to measure causal return on investment.</w:t>
      </w:r>
    </w:p>
    <w:p>
      <w:pPr>
        <w:spacing w:after="30" w:line="235" w:lineRule="auto"/>
        <w:ind w:firstLine="202"/>
        <w:jc w:val="both"/>
      </w:pPr>
      <w:r>
        <w:rPr>
          <w:sz w:val="16"/>
        </w:rPr>
        <w:t>Computational Scalability: Profiling across three graph configurations shows approximately linear empirical scaling over the tested configurations across evaluated benchmark ranges (Intel Core i7, 8 cores, 16 GB RAM, PyTorch 2.4, 5 warm-up passes, 10-repetition mean): Small (100 merchants, 10k tx, 500 cards: 1.54s wall-clock, 6,505 tx/s); Medium (350 merchants, 35k tx, 1.5k cards: 6.28s, 5,570 tx/s); and Large (1,000 merchants, 100k tx, 4k cards: 28.17s wall-clock, 3,550 tx/s). Candidate generation via inverted bipartite card index is bounded by O(|M| · K · d_avg), avoiding quadratic O(|M|^2) overhead.</w:t>
      </w:r>
    </w:p>
    <w:p>
      <w:pPr>
        <w:keepNext/>
        <w:spacing w:before="100" w:after="20"/>
        <w:jc w:val="center"/>
      </w:pPr>
      <w:r>
        <w:rPr>
          <w:b/>
          <w:sz w:val="17"/>
        </w:rPr>
        <w:t>VI. CONCLUSION AND FUTURE WORK</w:t>
      </w:r>
    </w:p>
    <w:p>
      <w:pPr>
        <w:spacing w:after="30" w:line="235" w:lineRule="auto"/>
        <w:ind w:firstLine="202"/>
        <w:jc w:val="both"/>
      </w:pPr>
      <w:r>
        <w:rPr>
          <w:sz w:val="16"/>
        </w:rPr>
        <w:t>This paper presented HAMTA, a merchant-centric Temporal Graph AI framework establishing a three-layer decision framework for treatment-label-free merchant opportunity discovery and campaign targeting in electronic payment systems. Operating strictly on standard five-field payment streams, HAMTA establishes discrete-window temporal bipartite graphs, Top-K peer networks modulated by Forman-Ricci curvature, and Negative Binomial temporal count forecasting. By subtracting calibrated upper natural bounds from conservative peer benchmarks, the M-GATO score identifies merchants exhibiting structural underperformance relative to their topological peers while filtering ungrounded opportunities through graph evidence shrinkage. Simulated experiments across 10 random seeds validate the recovery of predefined structural-underperformance targets across multiple campaign budgets, demonstrating statistically significant improvements on selected pairwise comparisons against specific baselines. Importantly, this controlled experiment validates the recovery of a predefined structural perturbation signal, not actual incremental campaign response.</w:t>
      </w:r>
    </w:p>
    <w:p>
      <w:pPr>
        <w:spacing w:after="30" w:line="235" w:lineRule="auto"/>
        <w:ind w:firstLine="202"/>
        <w:jc w:val="both"/>
      </w:pPr>
      <w:r>
        <w:rPr>
          <w:sz w:val="16"/>
        </w:rPr>
        <w:t>Future Work: Current validation relies on controlled synthetic streams to establish verified ground truth. Future research will explore coupling HAMTA's observational opportunity prioritization with causal Individual Treatment Effect (ITE) uplift estimation once active campaign response data is collected in production acquiring environments.</w:t>
      </w:r>
    </w:p>
    <w:p>
      <w:pPr>
        <w:spacing w:after="30" w:line="235" w:lineRule="auto"/>
        <w:ind w:firstLine="202"/>
        <w:jc w:val="both"/>
      </w:pPr>
      <w:r>
        <w:rPr>
          <w:sz w:val="16"/>
        </w:rPr>
        <w:t>Data and Code Availability: The complete Python implementation of HAMTA, baseline algorithms, and synthetic experiment pipelines will be made available upon publication in our open-source GitHub repository. All synthetic experiment streams are fully reproducible via logged random seeds [42, 101, 202, 303, 404, 505, 606, 707, 808, 909]. Proprietary bank/PSP payment ledger extracts cannot be released due to banking secrecy and PCI-DSS compliance regulations.</w:t>
      </w:r>
    </w:p>
    <w:p>
      <w:pPr>
        <w:keepNext/>
        <w:spacing w:before="100" w:after="20"/>
        <w:jc w:val="center"/>
      </w:pPr>
      <w:r>
        <w:rPr>
          <w:b/>
          <w:sz w:val="17"/>
        </w:rPr>
        <w:t>REFERENCES</w:t>
      </w:r>
    </w:p>
    <w:p>
      <w:pPr>
        <w:spacing w:after="10" w:line="228" w:lineRule="auto"/>
        <w:ind w:left="259" w:hanging="259"/>
        <w:jc w:val="both"/>
      </w:pPr>
      <w:r>
        <w:rPr>
          <w:sz w:val="13"/>
        </w:rPr>
        <w:t>[1] Bank for International Settlements (BIS), "Red Book: Statistics on payment, clearing and settlement systems," CPMI, Basel, Tech. Rep., 2023.</w:t>
      </w:r>
    </w:p>
    <w:p>
      <w:pPr>
        <w:spacing w:after="10" w:line="228" w:lineRule="auto"/>
        <w:ind w:left="259" w:hanging="259"/>
        <w:jc w:val="both"/>
      </w:pPr>
      <w:r>
        <w:rPr>
          <w:sz w:val="13"/>
        </w:rPr>
        <w:t>[2] European Central Bank (ECB), "Study on payment attitudes of consumers in the euro area (SPACE)," ECB, Frankfurt, Tech. Rep., Dec. 2022.</w:t>
      </w:r>
    </w:p>
    <w:p>
      <w:pPr>
        <w:spacing w:after="10" w:line="228" w:lineRule="auto"/>
        <w:ind w:left="259" w:hanging="259"/>
        <w:jc w:val="both"/>
      </w:pPr>
      <w:r>
        <w:rPr>
          <w:sz w:val="13"/>
        </w:rPr>
        <w:t>[3] J. T. Wei, S. Y. Lin, and H. H. Wu, "A review of the application of RFM model," African J. Bus. Manag., vol. 4, no. 19, pp. 4199–4206, 2010.</w:t>
      </w:r>
    </w:p>
    <w:p>
      <w:pPr>
        <w:spacing w:after="10" w:line="228" w:lineRule="auto"/>
        <w:ind w:left="259" w:hanging="259"/>
        <w:jc w:val="both"/>
      </w:pPr>
      <w:r>
        <w:rPr>
          <w:sz w:val="13"/>
        </w:rPr>
        <w:t>[4] R. Forman, "Bochner's method for cell complexes and combinatorial Ricci curvature," Discrete Comput. Geom., vol. 29, no. 3, pp. 323–374, 2003.</w:t>
      </w:r>
    </w:p>
    <w:p>
      <w:pPr>
        <w:spacing w:after="10" w:line="228" w:lineRule="auto"/>
        <w:ind w:left="259" w:hanging="259"/>
        <w:jc w:val="both"/>
      </w:pPr>
      <w:r>
        <w:rPr>
          <w:sz w:val="13"/>
        </w:rPr>
        <w:t>[5] M. Weber, E. Saucan, and J. Jost, "Characterizing complex networks with Forman-Ricci curvature," J. Complex Netw., vol. 5, no. 4, pp. 527–550, 2017.</w:t>
      </w:r>
    </w:p>
    <w:p>
      <w:pPr>
        <w:spacing w:after="10" w:line="228" w:lineRule="auto"/>
        <w:ind w:left="259" w:hanging="259"/>
        <w:jc w:val="both"/>
      </w:pPr>
      <w:r>
        <w:rPr>
          <w:sz w:val="13"/>
        </w:rPr>
        <w:t>[6] J. Topping, F. Di Giovanni, B. P. Chamberlain, X. Dong, and M. M. Bronstein, "Understanding over-squashing and bottlenecks via curvature," in Proc. ICLR, 2022.</w:t>
      </w:r>
    </w:p>
    <w:p>
      <w:pPr>
        <w:spacing w:after="10" w:line="228" w:lineRule="auto"/>
        <w:ind w:left="259" w:hanging="259"/>
        <w:jc w:val="both"/>
      </w:pPr>
      <w:r>
        <w:rPr>
          <w:sz w:val="13"/>
        </w:rPr>
        <w:t>[7] I. Marisca, J. Bamberger, C. Alippi, and M. M. Bronstein, "Over-squashing in spatiotemporal graph neural networks," in Adv. Neural Inf. Process. Syst. (NeurIPS), vol. 38, pp. 38213–38243, 2025 (publ. 2025).</w:t>
      </w:r>
    </w:p>
    <w:p>
      <w:pPr>
        <w:spacing w:after="10" w:line="228" w:lineRule="auto"/>
        <w:ind w:left="259" w:hanging="259"/>
        <w:jc w:val="both"/>
      </w:pPr>
      <w:r>
        <w:rPr>
          <w:sz w:val="13"/>
        </w:rPr>
        <w:t>[8] A. N. Angelopoulos and S. Bates, "A gentle introduction to conformal prediction and distribution-free uncertainty," arXiv:2107.07511, 2021.</w:t>
      </w:r>
    </w:p>
    <w:p>
      <w:pPr>
        <w:spacing w:after="10" w:line="228" w:lineRule="auto"/>
        <w:ind w:left="259" w:hanging="259"/>
        <w:jc w:val="both"/>
      </w:pPr>
      <w:r>
        <w:rPr>
          <w:sz w:val="13"/>
        </w:rPr>
        <w:t>[9] Z. Liu, C. Chen, X. Yang, J. Zhou, X. Li, and L. Song, "Graph representation learning for merchant incentive optimization in mobile payment marketing," in Proc. 28th ACM Int. Conf. Inf. Knowl. Manage. (CIKM), 2019, pp. 2577–2584.</w:t>
      </w:r>
    </w:p>
    <w:p>
      <w:pPr>
        <w:spacing w:after="10" w:line="228" w:lineRule="auto"/>
        <w:ind w:left="259" w:hanging="259"/>
        <w:jc w:val="both"/>
      </w:pPr>
      <w:r>
        <w:rPr>
          <w:sz w:val="13"/>
        </w:rPr>
        <w:t>[10] M. Weber et al., "Anti-money laundering in Bitcoin: Experimenting with graph convolutional networks," in Proc. KDD Workshop Anomaly Detection in Finance, 2019.</w:t>
      </w:r>
    </w:p>
    <w:p>
      <w:pPr>
        <w:spacing w:after="10" w:line="228" w:lineRule="auto"/>
        <w:ind w:left="259" w:hanging="259"/>
        <w:jc w:val="both"/>
      </w:pPr>
      <w:r>
        <w:rPr>
          <w:sz w:val="13"/>
        </w:rPr>
        <w:t>[11] Y. Dou, Z. Liu, L. Sun, Y. Deng, H. Peng, and P. S. Yu, "Enhancing graph neural network-based fraud detectors against camouflaged fraudsters," in Proc. 29th ACM Int. Conf. Inf. Knowl. Manage. (CIKM), 2020, pp. 315–324.</w:t>
      </w:r>
    </w:p>
    <w:p>
      <w:pPr>
        <w:spacing w:after="10" w:line="228" w:lineRule="auto"/>
        <w:ind w:left="259" w:hanging="259"/>
        <w:jc w:val="both"/>
      </w:pPr>
      <w:r>
        <w:rPr>
          <w:sz w:val="13"/>
        </w:rPr>
        <w:t>[12] P. Veličković, G. Cucurull, A. Casanova, A. Romero, P. Liò, and Y. Bengio, "Graph attention networks," in Proc. ICLR, 2018.</w:t>
      </w:r>
    </w:p>
    <w:p>
      <w:pPr>
        <w:spacing w:after="10" w:line="228" w:lineRule="auto"/>
        <w:ind w:left="259" w:hanging="259"/>
        <w:jc w:val="both"/>
      </w:pPr>
      <w:r>
        <w:rPr>
          <w:sz w:val="13"/>
        </w:rPr>
        <w:t>[13] W. L. Hamilton, R. Ying, and J. Leskovec, "Inductive representation learning on large graphs," in Adv. Neural Inf. Process. Syst. (NeurIPS), 2017, pp. 1024–1034.</w:t>
      </w:r>
    </w:p>
    <w:p>
      <w:pPr>
        <w:spacing w:after="10" w:line="228" w:lineRule="auto"/>
        <w:ind w:left="259" w:hanging="259"/>
        <w:jc w:val="both"/>
      </w:pPr>
      <w:r>
        <w:rPr>
          <w:sz w:val="13"/>
        </w:rPr>
        <w:t>[14] T. N. Kipf and M. Welling, "Variational graph auto-encoders," in NIPS Workshop Bayesian Deep Learning, 2016.</w:t>
      </w:r>
    </w:p>
    <w:p>
      <w:pPr>
        <w:spacing w:after="10" w:line="228" w:lineRule="auto"/>
        <w:ind w:left="259" w:hanging="259"/>
        <w:jc w:val="both"/>
      </w:pPr>
      <w:r>
        <w:rPr>
          <w:sz w:val="13"/>
        </w:rPr>
        <w:t>[15] M. Tare, C. Rattasits, Y. Wu, and E. Wielewski, "Harnessing GraphSAGE for Learning Representations of Massive Transactional Networks," in Proc. IAPR Workshop Graph-Based Representations in Pattern Recognition (GbRPR), Springer, 2025, pp. 179–188.</w:t>
      </w:r>
    </w:p>
    <w:p>
      <w:pPr>
        <w:spacing w:after="10" w:line="228" w:lineRule="auto"/>
        <w:ind w:left="259" w:hanging="259"/>
        <w:jc w:val="both"/>
      </w:pPr>
      <w:r>
        <w:rPr>
          <w:sz w:val="13"/>
        </w:rPr>
        <w:t>[16] D. Xu, C. Ruan, E. Korpeoglu, S. Kumar, and K. Achan, "Inductive representation learning on temporal graphs," in Proc. ICLR, 2020.</w:t>
      </w:r>
    </w:p>
    <w:p>
      <w:pPr>
        <w:spacing w:after="10" w:line="228" w:lineRule="auto"/>
        <w:ind w:left="259" w:hanging="259"/>
        <w:jc w:val="both"/>
      </w:pPr>
      <w:r>
        <w:rPr>
          <w:sz w:val="13"/>
        </w:rPr>
        <w:t>[17] E. Rossi, B. Chamberlain, F. Frasca, D. Eynard, F. Monti, and M. Bronstein, "Temporal graph networks on dynamic graphs," in ICML Workshop Graph Representation Learning, 2020.</w:t>
      </w:r>
    </w:p>
    <w:p>
      <w:pPr>
        <w:spacing w:after="10" w:line="228" w:lineRule="auto"/>
        <w:ind w:left="259" w:hanging="259"/>
        <w:jc w:val="both"/>
      </w:pPr>
      <w:r>
        <w:rPr>
          <w:sz w:val="13"/>
        </w:rPr>
        <w:t>[18] A. Pareja et al., "EvolveGCN: Evolving graph convolutional networks for dynamic graphs," in Proc. 34th AAAI Conf. Artif. Intell., 2020, pp. 5363–5370.</w:t>
      </w:r>
    </w:p>
    <w:p>
      <w:pPr>
        <w:spacing w:after="10" w:line="228" w:lineRule="auto"/>
        <w:ind w:left="259" w:hanging="259"/>
        <w:jc w:val="both"/>
      </w:pPr>
      <w:r>
        <w:rPr>
          <w:sz w:val="13"/>
        </w:rPr>
        <w:t>[19] J. Zhang et al., "A survey on dynamic graph neural networks," Front. Comput. Sci., vol. 19, no. 1, p. 191301, 2025.</w:t>
      </w:r>
    </w:p>
    <w:p>
      <w:pPr>
        <w:spacing w:after="10" w:line="228" w:lineRule="auto"/>
        <w:ind w:left="259" w:hanging="259"/>
        <w:jc w:val="both"/>
      </w:pPr>
      <w:r>
        <w:rPr>
          <w:sz w:val="13"/>
        </w:rPr>
        <w:t>[20] M. M. Bronstein, J. Bruna, Y. LeCun, A. Szlam, and P. Vandergheynst, "Geometric deep learning: Going beyond Euclidean data," IEEE Signal Process. Mag., vol. 34, no. 4, pp. 18–42, 2017.</w:t>
      </w:r>
    </w:p>
    <w:p>
      <w:pPr>
        <w:spacing w:after="10" w:line="228" w:lineRule="auto"/>
        <w:ind w:left="259" w:hanging="259"/>
        <w:jc w:val="both"/>
      </w:pPr>
      <w:r>
        <w:rPr>
          <w:sz w:val="13"/>
        </w:rPr>
        <w:t>[21] V. D. Blondel, J.-L. Guillaume, R. Lambiotte, and E. Lefebvre, "Fast unfolding of communities in large networks," J. Stat. Mech. Theory Exp., 2008.</w:t>
      </w:r>
    </w:p>
    <w:p>
      <w:pPr>
        <w:spacing w:after="10" w:line="228" w:lineRule="auto"/>
        <w:ind w:left="259" w:hanging="259"/>
        <w:jc w:val="both"/>
      </w:pPr>
      <w:r>
        <w:rPr>
          <w:sz w:val="13"/>
        </w:rPr>
        <w:t>[22] F. Di Giovanni, J. Rowbottom, B. P. Chamberlain, T. Markovich, and M. M. Bronstein, "Graph neural networks as gradient flows: understanding over-smoothing and over-squashing via total variation," in Proc. ICLR, 2023.</w:t>
      </w:r>
    </w:p>
    <w:p>
      <w:pPr>
        <w:spacing w:after="10" w:line="228" w:lineRule="auto"/>
        <w:ind w:left="259" w:hanging="259"/>
        <w:jc w:val="both"/>
      </w:pPr>
      <w:r>
        <w:rPr>
          <w:sz w:val="13"/>
        </w:rPr>
        <w:t>[23] T. Wang, J. Kang, Y. Yan, A. Kulkarni, and D. Zhou, 'Non-exchangeable Conformal Prediction for Temporal Graph Neural Networks,' in Proc. 31st ACM SIGKDD Conf. Knowl. Discov. Data Min. (KDD), 2025, pp. 3031–3042.</w:t>
      </w:r>
    </w:p>
    <w:p>
      <w:pPr>
        <w:spacing w:after="10" w:line="228" w:lineRule="auto"/>
        <w:ind w:left="259" w:hanging="259"/>
        <w:jc w:val="both"/>
      </w:pPr>
      <w:r>
        <w:rPr>
          <w:sz w:val="13"/>
        </w:rPr>
        <w:t>[24] S. C. Kumbhakar and C. A. K. Lovell, Stochastic Frontier Analysis. Cambridge, U.K.: Cambridge Univ. Press, 2000.</w:t>
      </w:r>
    </w:p>
    <w:p>
      <w:pPr>
        <w:spacing w:after="10" w:line="228" w:lineRule="auto"/>
        <w:ind w:left="259" w:hanging="259"/>
        <w:jc w:val="both"/>
      </w:pPr>
      <w:r>
        <w:rPr>
          <w:sz w:val="13"/>
        </w:rPr>
        <w:t>[25] A. C. Cameron and P. K. Trivedi, Regression Analysis of Count Data, 2nd ed. Cambridge, U.K.: Cambridge Univ. Press, 2013.</w:t>
      </w:r>
    </w:p>
    <w:p>
      <w:pPr>
        <w:spacing w:after="10" w:line="228" w:lineRule="auto"/>
        <w:ind w:left="259" w:hanging="259"/>
        <w:jc w:val="both"/>
      </w:pPr>
      <w:r>
        <w:rPr>
          <w:sz w:val="13"/>
        </w:rPr>
        <w:t>[26] E. Ascarza, "Retention first, but for whom? Identifying targets for churn management," J. Mark. Res., vol. 55, no. 2, pp. 181–198, 2018.</w:t>
      </w:r>
    </w:p>
    <w:p>
      <w:pPr>
        <w:spacing w:after="10" w:line="228" w:lineRule="auto"/>
        <w:ind w:left="259" w:hanging="259"/>
        <w:jc w:val="both"/>
      </w:pPr>
      <w:r>
        <w:rPr>
          <w:sz w:val="13"/>
        </w:rPr>
        <w:t>[27] F. Devriendt, D. Moldovan, and W. Verbeke, "Why you should stop using cross-entropy for uplift modeling," Inf. Sci., vol. 535, pp. 110–126, 2020.</w:t>
      </w:r>
    </w:p>
    <w:sectPr w:rsidR="00FC693F" w:rsidRPr="0006063C" w:rsidSect="00034616">
      <w:type w:val="continuous"/>
      <w:pgSz w:w="11906" w:h="16838"/>
      <w:pgMar w:top="1077" w:right="896" w:bottom="1440" w:left="896" w:header="720" w:footer="720" w:gutter="0"/>
      <w:cols w:space="2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