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چارچوب گراف زمانی برای کشف فرصت رشد تراکنش پذیرندگان و اولویت‌بندی کمپین</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 xml:space="preserve">چارچوب </w:t>
      </w:r>
      <w:r>
        <w:rPr>
          <w:rFonts w:ascii="Times New Roman" w:hAnsi="Times New Roman" w:cs="Times New Roman"/>
          <w:bidi w:val="0"/>
        </w:rPr>
        <w:t>HAMTA</w:t>
      </w:r>
      <w:r>
        <w:rPr>
          <w:rFonts w:hint="cs" w:ascii="B Mitra" w:hAnsi="B Mitra" w:cs="B Mitra"/>
          <w:rtl/>
        </w:rPr>
        <w:t xml:space="preserve"> تنها یک مدل یادگیری ماشین نیست، بلکه یک مؤلفه تصمیم‌یار (</w:t>
      </w:r>
      <w:r>
        <w:rPr>
          <w:rFonts w:ascii="Times New Roman" w:hAnsi="Times New Roman" w:cs="Times New Roman"/>
          <w:bidi w:val="0"/>
        </w:rPr>
        <w:t>Decision-support component</w:t>
      </w:r>
      <w:r>
        <w:rPr>
          <w:rFonts w:hint="cs" w:ascii="B Mitra" w:hAnsi="B Mitra" w:cs="B Mitra"/>
          <w:rtl/>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rPr>
        <w:t>M-GATO</w:t>
      </w:r>
      <w:r>
        <w:rPr>
          <w:rFonts w:hint="cs" w:ascii="B Mitra" w:hAnsi="B Mitra" w:cs="B Mitra"/>
          <w:rtl/>
        </w:rPr>
        <w:t xml:space="preserve"> به واحد بازاریابی جهت اجرای کمپین و دریافت بازخورد سازمانی متصل می‌شود.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[12]</w:t>
      </w:r>
      <w:r>
        <w:rPr>
          <w:rFonts w:hint="cs" w:ascii="B Mitra" w:hAnsi="B Mitra" w:cs="B Mitra"/>
          <w:rtl/>
        </w:rPr>
        <w:t xml:space="preserve"> و ساختارهای استقرایی شبکه تراکنشی </w:t>
      </w:r>
      <w:r>
        <w:rPr>
          <w:rFonts w:ascii="Times New Roman" w:hAnsi="Times New Roman" w:cs="Times New Roman"/>
          <w:bidi w:val="0"/>
        </w:rPr>
        <w:t>[13]</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14</w:t>
      </w:r>
      <w:r>
        <w:rPr>
          <w:rFonts w:hint="cs" w:ascii="B Mitra" w:hAnsi="B Mitra" w:cs="B Mitra"/>
          <w:rtl/>
        </w:rPr>
        <w:t xml:space="preserve">, </w:t>
      </w:r>
      <w:r>
        <w:rPr>
          <w:rFonts w:ascii="Times New Roman" w:hAnsi="Times New Roman" w:cs="Times New Roman"/>
          <w:bidi w:val="0"/>
        </w:rPr>
        <w:t>15</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بنابراین واسنجی بازه پیش‌بینی یک‌طرفه زمانی (</w:t>
      </w:r>
      <w:r>
        <w:rPr>
          <w:rFonts w:ascii="Times New Roman" w:hAnsi="Times New Roman" w:cs="Times New Roman"/>
          <w:bidi w:val="0"/>
        </w:rPr>
        <w:t>One-sided temporal prediction-interval calibration</w:t>
      </w:r>
      <w:r>
        <w:rPr>
          <w:rFonts w:hint="cs" w:ascii="B Mitra" w:hAnsi="B Mitra" w:cs="B Mitra"/>
          <w:rtl/>
        </w:rPr>
        <w:t>) به صورت تجربی صورت می‌گیرد.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727501"/>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72750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گراف‌های تاریخی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توجه شود که محاسبه انحنا روی گراف همتایان متقارن‌شده (</w:t>
      </w:r>
      <w:r>
        <w:rPr>
          <w:rFonts w:ascii="Times New Roman" w:hAnsi="Times New Roman" w:cs="Times New Roman"/>
          <w:bidi w:val="0"/>
        </w:rPr>
        <w:t>symmetrized peer graph</w:t>
      </w:r>
      <w:r>
        <w:rPr>
          <w:rFonts w:hint="cs" w:ascii="B Mitra" w:hAnsi="B Mitra" w:cs="B Mitra"/>
          <w:rtl/>
        </w:rPr>
        <w:t>) انجام می‌شود. سپس انحنای فرمن-ریچی نرمال‌شده افزوده (</w:t>
      </w:r>
      <w:r>
        <w:rPr>
          <w:rFonts w:ascii="Times New Roman" w:hAnsi="Times New Roman" w:cs="Times New Roman"/>
          <w:bidi w:val="0"/>
        </w:rPr>
        <w:t>normalized augmented Forman-Ricci score used in this study</w:t>
      </w:r>
      <w:r>
        <w:rPr>
          <w:rFonts w:hint="cs" w:ascii="B Mitra" w:hAnsi="B Mitra" w:cs="B Mitra"/>
          <w:rtl/>
        </w:rPr>
        <w:t xml:space="preserve">)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پارامتر اندازه یا پراکندگی معکوس (</w:t>
      </w:r>
      <w:r>
        <w:rPr>
          <w:rFonts w:ascii="Times New Roman" w:hAnsi="Times New Roman" w:cs="Times New Roman"/>
          <w:bidi w:val="0"/>
        </w:rPr>
        <w:t>inverse-dispersion/size parameter</w:t>
      </w:r>
      <w:r>
        <w:rPr>
          <w:rFonts w:hint="cs" w:ascii="B Mitra" w:hAnsi="B Mitra" w:cs="B Mitra"/>
          <w:rtl/>
        </w:rPr>
        <w:t xml:space="preserve">)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دوره ۳ انجام شده و سپس بر روی داده‌های </w:t>
      </w:r>
      <w:r>
        <w:rPr>
          <w:rFonts w:ascii="Times New Roman" w:hAnsi="Times New Roman" w:cs="Times New Roman"/>
          <w:bidi w:val="0"/>
        </w:rPr>
        <w:t>P0</w:t>
      </w:r>
      <w:r>
        <w:rPr>
          <w:rFonts w:hint="cs" w:ascii="B Mitra" w:hAnsi="B Mitra" w:cs="B Mitra"/>
          <w:rtl/>
        </w:rPr>
        <w:t xml:space="preserve"> تا دوره ۳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rPr>
        <w:t>P0</w:t>
      </w:r>
      <w:r>
        <w:rPr>
          <w:rFonts w:hint="cs" w:ascii="B Mitra" w:hAnsi="B Mitra" w:cs="B Mitra"/>
          <w:rtl/>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60712"/>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6071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w:t>
      </w:r>
      <w:r>
        <w:rPr>
          <w:rFonts w:hint="cs" w:ascii="B Mitra" w:hAnsi="B Mitra" w:cs="B Mitra"/>
          <w:rtl/>
        </w:rPr>
        <w:t xml:space="preserve">-دوره ۳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442913"/>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44291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۵۲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