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2.46-fold improvement over portfolio random expectation (and 2.10-fold over candidate pool baseline)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Temporal Prediction Intervals,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prior works like Liu et al. [9] rely on supervised intervention logs, HAMTA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GAT [12] and GraphSAGE [13] model entities as nodes and transactions as edges. Foundational formulations such as variational graph auto-encoders [14] and inductive representation learning on transaction networks [15]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123641"/>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123641"/>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154523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1545231"/>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3"/>
              </w:rPr>
              <w:t>L_NB = - ∑_m [ ln Γ(Y_m + φ) - ln Γ(φ) - ln Γ(Y_m + 1)</w:t>
              <w:br/>
              <w:t xml:space="preserve">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Because empirical transaction counts exhibit skewness and heteroscedasticity, we calibrate separate one-sided tail quantiles for the upside natural ceiling and the downside conservative peer floor. Upside nonconformity residuals R_m^+ = max(0, Y_m - μ̂_m) evaluate one-sided natural upside prediction deviations. For nominal miscoverage rate α = 0.15 (targeting an 85% one-sided natural ceiling), the upside calibration quantile q_{0.85}^+ = Quantile_{1-α}({R_m^+})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Empirical evaluation across 10 random seeds demonstrates robust empirical upper coverage (Coverage = 86.2% ± 3.1% with mean interval width 4.6 ± 0.3 transactions), confirming practical one-sided temporal interval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Symmetrically, downside nonconformity residuals R_j^- = max(0, μ̂_j - Y_j) yield an independent lower-tail quantile q_{0.85}^- = Quantile_{1-α}({R_j^-}), establishing the conservative lower prediction bound for peer j: L_{j, t+1} = max(0, μ̂_{j, t+1}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4"/>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710798"/>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710798"/>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emerging in monitoring Period 4 and persisting into test Period 5. Exactly 52 out of 350 merchants (~14.9%) across all 8 business categories are selected via stratified random sampling from candidates with active peer baselines (average candidate pool 299 merchants across 10 seeds, yielding 17.4% in-pool random expectation).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4.41 ± 0.20</w:t>
            </w:r>
          </w:p>
        </w:tc>
        <w:tc>
          <w:tcPr>
            <w:tcW w:w="750" w:type="dxa"/>
            <w:tcMar>
              <w:top w:w="15" w:type="dxa"/>
              <w:bottom w:w="15" w:type="dxa"/>
              <w:left w:w="20" w:type="dxa"/>
              <w:right w:w="20" w:type="dxa"/>
            </w:tcMar>
          </w:tcPr>
          <w:p>
            <w:pPr>
              <w:jc w:val="right"/>
            </w:pPr>
            <w:r>
              <w:rPr>
                <w:sz w:val="12"/>
              </w:rPr>
              <w:t>5.78 ± 0.37</w:t>
            </w:r>
          </w:p>
        </w:tc>
        <w:tc>
          <w:tcPr>
            <w:tcW w:w="850" w:type="dxa"/>
            <w:tcMar>
              <w:top w:w="15" w:type="dxa"/>
              <w:bottom w:w="15" w:type="dxa"/>
              <w:left w:w="20" w:type="dxa"/>
              <w:right w:w="20" w:type="dxa"/>
            </w:tcMar>
          </w:tcPr>
          <w:p>
            <w:pPr>
              <w:jc w:val="right"/>
            </w:pPr>
            <w:r>
              <w:rPr>
                <w:sz w:val="12"/>
              </w:rPr>
              <w:t>32.40 ± 1.49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3.51 ± 0.19</w:t>
            </w:r>
          </w:p>
        </w:tc>
        <w:tc>
          <w:tcPr>
            <w:tcW w:w="750" w:type="dxa"/>
            <w:tcMar>
              <w:top w:w="15" w:type="dxa"/>
              <w:bottom w:w="15" w:type="dxa"/>
              <w:left w:w="20" w:type="dxa"/>
              <w:right w:w="20" w:type="dxa"/>
            </w:tcMar>
          </w:tcPr>
          <w:p>
            <w:pPr>
              <w:jc w:val="right"/>
            </w:pPr>
            <w:r>
              <w:rPr>
                <w:sz w:val="12"/>
              </w:rPr>
              <w:t>4.58 ± 0.28</w:t>
            </w:r>
          </w:p>
        </w:tc>
        <w:tc>
          <w:tcPr>
            <w:tcW w:w="850" w:type="dxa"/>
            <w:tcMar>
              <w:top w:w="15" w:type="dxa"/>
              <w:bottom w:w="15" w:type="dxa"/>
              <w:left w:w="20" w:type="dxa"/>
              <w:right w:w="20" w:type="dxa"/>
            </w:tcMar>
          </w:tcPr>
          <w:p>
            <w:pPr>
              <w:jc w:val="right"/>
            </w:pPr>
            <w:r>
              <w:rPr>
                <w:sz w:val="12"/>
              </w:rPr>
              <w:t>26.05 ± 1.03</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3.41 ± 0.16</w:t>
            </w:r>
          </w:p>
        </w:tc>
        <w:tc>
          <w:tcPr>
            <w:tcW w:w="750" w:type="dxa"/>
            <w:tcMar>
              <w:top w:w="15" w:type="dxa"/>
              <w:bottom w:w="15" w:type="dxa"/>
              <w:left w:w="20" w:type="dxa"/>
              <w:right w:w="20" w:type="dxa"/>
            </w:tcMar>
          </w:tcPr>
          <w:p>
            <w:pPr>
              <w:jc w:val="right"/>
            </w:pPr>
            <w:r>
              <w:rPr>
                <w:sz w:val="12"/>
              </w:rPr>
              <w:t>4.46 ± 0.28</w:t>
            </w:r>
          </w:p>
        </w:tc>
        <w:tc>
          <w:tcPr>
            <w:tcW w:w="850" w:type="dxa"/>
            <w:tcMar>
              <w:top w:w="15" w:type="dxa"/>
              <w:bottom w:w="15" w:type="dxa"/>
              <w:left w:w="20" w:type="dxa"/>
              <w:right w:w="20" w:type="dxa"/>
            </w:tcMar>
          </w:tcPr>
          <w:p>
            <w:pPr>
              <w:jc w:val="right"/>
            </w:pPr>
            <w:r>
              <w:rPr>
                <w:sz w:val="12"/>
              </w:rPr>
              <w:t>25.42 ± 0.92</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3.89 ± 0.12</w:t>
            </w:r>
          </w:p>
        </w:tc>
        <w:tc>
          <w:tcPr>
            <w:tcW w:w="750" w:type="dxa"/>
            <w:tcMar>
              <w:top w:w="15" w:type="dxa"/>
              <w:bottom w:w="15" w:type="dxa"/>
              <w:left w:w="20" w:type="dxa"/>
              <w:right w:w="20" w:type="dxa"/>
            </w:tcMar>
          </w:tcPr>
          <w:p>
            <w:pPr>
              <w:jc w:val="right"/>
            </w:pPr>
            <w:r>
              <w:rPr>
                <w:sz w:val="12"/>
              </w:rPr>
              <w:t>5.31 ± 0.42</w:t>
            </w:r>
          </w:p>
        </w:tc>
        <w:tc>
          <w:tcPr>
            <w:tcW w:w="850" w:type="dxa"/>
            <w:tcMar>
              <w:top w:w="15" w:type="dxa"/>
              <w:bottom w:w="15" w:type="dxa"/>
              <w:left w:w="20" w:type="dxa"/>
              <w:right w:w="20" w:type="dxa"/>
            </w:tcMar>
          </w:tcPr>
          <w:p>
            <w:pPr>
              <w:jc w:val="right"/>
            </w:pPr>
            <w:r>
              <w:rPr>
                <w:sz w:val="12"/>
              </w:rPr>
              <w:t>27.68 ± 0.79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NB-GLM (Category)</w:t>
            </w:r>
          </w:p>
        </w:tc>
        <w:tc>
          <w:tcPr>
            <w:tcW w:w="750" w:type="dxa"/>
            <w:tcMar>
              <w:top w:w="15" w:type="dxa"/>
              <w:bottom w:w="15" w:type="dxa"/>
              <w:left w:w="20" w:type="dxa"/>
              <w:right w:w="20" w:type="dxa"/>
            </w:tcMar>
          </w:tcPr>
          <w:p>
            <w:pPr>
              <w:jc w:val="right"/>
            </w:pPr>
            <w:r>
              <w:rPr>
                <w:sz w:val="12"/>
              </w:rPr>
              <w:t>3.78 ± 0.20</w:t>
            </w:r>
          </w:p>
        </w:tc>
        <w:tc>
          <w:tcPr>
            <w:tcW w:w="750" w:type="dxa"/>
            <w:tcMar>
              <w:top w:w="15" w:type="dxa"/>
              <w:bottom w:w="15" w:type="dxa"/>
              <w:left w:w="20" w:type="dxa"/>
              <w:right w:w="20" w:type="dxa"/>
            </w:tcMar>
          </w:tcPr>
          <w:p>
            <w:pPr>
              <w:jc w:val="right"/>
            </w:pPr>
            <w:r>
              <w:rPr>
                <w:sz w:val="12"/>
              </w:rPr>
              <w:t>4.96 ± 0.38</w:t>
            </w:r>
          </w:p>
        </w:tc>
        <w:tc>
          <w:tcPr>
            <w:tcW w:w="850" w:type="dxa"/>
            <w:tcMar>
              <w:top w:w="15" w:type="dxa"/>
              <w:bottom w:w="15" w:type="dxa"/>
              <w:left w:w="20" w:type="dxa"/>
              <w:right w:w="20" w:type="dxa"/>
            </w:tcMar>
          </w:tcPr>
          <w:p>
            <w:pPr>
              <w:jc w:val="right"/>
            </w:pPr>
            <w:r>
              <w:rPr>
                <w:sz w:val="12"/>
              </w:rPr>
              <w:t>27.55 ± 1.06</w:t>
            </w:r>
          </w:p>
        </w:tc>
        <w:tc>
          <w:tcPr>
            <w:tcW w:w="750" w:type="dxa"/>
            <w:tcMar>
              <w:top w:w="15" w:type="dxa"/>
              <w:bottom w:w="15" w:type="dxa"/>
              <w:left w:w="20" w:type="dxa"/>
              <w:right w:w="20" w:type="dxa"/>
            </w:tcMar>
          </w:tcPr>
          <w:p>
            <w:pPr>
              <w:jc w:val="right"/>
            </w:pPr>
            <w:r>
              <w:rPr>
                <w:sz w:val="12"/>
              </w:rPr>
              <w:t>3.17 ± 0.02</w:t>
            </w:r>
          </w:p>
        </w:tc>
      </w:tr>
      <w:tr>
        <w:trPr>
          <w:cantSplit/>
        </w:trPr>
        <w:tc>
          <w:tcPr>
            <w:tcW w:w="1700" w:type="dxa"/>
            <w:tcMar>
              <w:top w:w="15" w:type="dxa"/>
              <w:bottom w:w="15" w:type="dxa"/>
              <w:left w:w="20" w:type="dxa"/>
              <w:right w:w="20" w:type="dxa"/>
            </w:tcMar>
          </w:tcPr>
          <w:p>
            <w:pPr>
              <w:jc w:val="left"/>
            </w:pPr>
            <w:r>
              <w:rPr>
                <w:sz w:val="12"/>
              </w:rPr>
              <w:t>Static GNN (Bipartite)</w:t>
            </w:r>
          </w:p>
        </w:tc>
        <w:tc>
          <w:tcPr>
            <w:tcW w:w="750" w:type="dxa"/>
            <w:tcMar>
              <w:top w:w="15" w:type="dxa"/>
              <w:bottom w:w="15" w:type="dxa"/>
              <w:left w:w="20" w:type="dxa"/>
              <w:right w:w="20" w:type="dxa"/>
            </w:tcMar>
          </w:tcPr>
          <w:p>
            <w:pPr>
              <w:jc w:val="right"/>
            </w:pPr>
            <w:r>
              <w:rPr>
                <w:sz w:val="12"/>
              </w:rPr>
              <w:t>5.98 ± 0.54</w:t>
            </w:r>
          </w:p>
        </w:tc>
        <w:tc>
          <w:tcPr>
            <w:tcW w:w="750" w:type="dxa"/>
            <w:tcMar>
              <w:top w:w="15" w:type="dxa"/>
              <w:bottom w:w="15" w:type="dxa"/>
              <w:left w:w="20" w:type="dxa"/>
              <w:right w:w="20" w:type="dxa"/>
            </w:tcMar>
          </w:tcPr>
          <w:p>
            <w:pPr>
              <w:jc w:val="right"/>
            </w:pPr>
            <w:r>
              <w:rPr>
                <w:sz w:val="12"/>
              </w:rPr>
              <w:t>7.56 ± 0.77</w:t>
            </w:r>
          </w:p>
        </w:tc>
        <w:tc>
          <w:tcPr>
            <w:tcW w:w="850" w:type="dxa"/>
            <w:tcMar>
              <w:top w:w="15" w:type="dxa"/>
              <w:bottom w:w="15" w:type="dxa"/>
              <w:left w:w="20" w:type="dxa"/>
              <w:right w:w="20" w:type="dxa"/>
            </w:tcMar>
          </w:tcPr>
          <w:p>
            <w:pPr>
              <w:jc w:val="right"/>
            </w:pPr>
            <w:r>
              <w:rPr>
                <w:sz w:val="12"/>
              </w:rPr>
              <w:t>38.67 ± 2.13</w:t>
            </w:r>
          </w:p>
        </w:tc>
        <w:tc>
          <w:tcPr>
            <w:tcW w:w="750" w:type="dxa"/>
            <w:tcMar>
              <w:top w:w="15" w:type="dxa"/>
              <w:bottom w:w="15" w:type="dxa"/>
              <w:left w:w="20" w:type="dxa"/>
              <w:right w:w="20" w:type="dxa"/>
            </w:tcMar>
          </w:tcPr>
          <w:p>
            <w:pPr>
              <w:jc w:val="right"/>
            </w:pPr>
            <w:r>
              <w:rPr>
                <w:sz w:val="12"/>
              </w:rPr>
              <w:t>3.31 ± 0.03</w:t>
            </w:r>
          </w:p>
        </w:tc>
      </w:tr>
      <w:tr>
        <w:trPr>
          <w:cantSplit/>
        </w:trPr>
        <w:tc>
          <w:tcPr>
            <w:tcW w:w="1700" w:type="dxa"/>
            <w:shd w:fill="E8F5E9"/>
            <w:tcMar>
              <w:top w:w="15" w:type="dxa"/>
              <w:bottom w:w="15" w:type="dxa"/>
              <w:left w:w="20" w:type="dxa"/>
              <w:right w:w="20" w:type="dxa"/>
            </w:tcMar>
          </w:tcPr>
          <w:p>
            <w:pPr>
              <w:jc w:val="left"/>
            </w:pPr>
            <w:r>
              <w:rPr>
                <w:b/>
                <w:sz w:val="12"/>
              </w:rPr>
              <w:t>HAMTA Temporal (Ours)</w:t>
            </w:r>
          </w:p>
        </w:tc>
        <w:tc>
          <w:tcPr>
            <w:tcW w:w="750" w:type="dxa"/>
            <w:shd w:fill="E8F5E9"/>
            <w:tcMar>
              <w:top w:w="15" w:type="dxa"/>
              <w:bottom w:w="15" w:type="dxa"/>
              <w:left w:w="20" w:type="dxa"/>
              <w:right w:w="20" w:type="dxa"/>
            </w:tcMar>
          </w:tcPr>
          <w:p>
            <w:pPr>
              <w:jc w:val="right"/>
            </w:pPr>
            <w:r>
              <w:rPr>
                <w:b/>
                <w:sz w:val="12"/>
              </w:rPr>
              <w:t>4.48 ± 0.42</w:t>
            </w:r>
          </w:p>
        </w:tc>
        <w:tc>
          <w:tcPr>
            <w:tcW w:w="750" w:type="dxa"/>
            <w:shd w:fill="E8F5E9"/>
            <w:tcMar>
              <w:top w:w="15" w:type="dxa"/>
              <w:bottom w:w="15" w:type="dxa"/>
              <w:left w:w="20" w:type="dxa"/>
              <w:right w:w="20" w:type="dxa"/>
            </w:tcMar>
          </w:tcPr>
          <w:p>
            <w:pPr>
              <w:jc w:val="right"/>
            </w:pPr>
            <w:r>
              <w:rPr>
                <w:b/>
                <w:sz w:val="12"/>
              </w:rPr>
              <w:t>5.86 ± 0.58</w:t>
            </w:r>
          </w:p>
        </w:tc>
        <w:tc>
          <w:tcPr>
            <w:tcW w:w="850" w:type="dxa"/>
            <w:shd w:fill="E8F5E9"/>
            <w:tcMar>
              <w:top w:w="15" w:type="dxa"/>
              <w:bottom w:w="15" w:type="dxa"/>
              <w:left w:w="20" w:type="dxa"/>
              <w:right w:w="20" w:type="dxa"/>
            </w:tcMar>
          </w:tcPr>
          <w:p>
            <w:pPr>
              <w:jc w:val="right"/>
            </w:pPr>
            <w:r>
              <w:rPr>
                <w:b/>
                <w:sz w:val="12"/>
              </w:rPr>
              <w:t>31.37 ± 2.11</w:t>
            </w:r>
          </w:p>
        </w:tc>
        <w:tc>
          <w:tcPr>
            <w:tcW w:w="750" w:type="dxa"/>
            <w:shd w:fill="E8F5E9"/>
            <w:tcMar>
              <w:top w:w="15" w:type="dxa"/>
              <w:bottom w:w="15" w:type="dxa"/>
              <w:left w:w="20" w:type="dxa"/>
              <w:right w:w="20" w:type="dxa"/>
            </w:tcMar>
          </w:tcPr>
          <w:p>
            <w:pPr>
              <w:jc w:val="right"/>
            </w:pPr>
            <w:r>
              <w:rPr>
                <w:b/>
                <w:sz w:val="12"/>
              </w:rPr>
              <w:t>3.51 ± 0.31</w:t>
            </w:r>
          </w:p>
        </w:tc>
      </w:tr>
    </w:tbl>
    <w:p>
      <w:pPr>
        <w:spacing w:after="30" w:line="235" w:lineRule="auto"/>
        <w:ind w:firstLine="202"/>
        <w:jc w:val="both"/>
      </w:pPr>
      <w:r>
        <w:rPr>
          <w:sz w:val="16"/>
        </w:rPr>
        <w:t>As reported in Table I, HAMTA achieves a forecasting MAE of 4.48 ± 0.42 and RMSE of 5.86 ± 0.58 under leak-free chronological evaluation. Crucially, HAMTA is not designed to minimize standalone one-step time-series forecasting error; forecasting is an intermediate component for downstream peer-relative opportunity ranking.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0.197 ± 0.053</w:t>
            </w:r>
          </w:p>
        </w:tc>
        <w:tc>
          <w:tcPr>
            <w:tcW w:w="690" w:type="dxa"/>
            <w:tcMar>
              <w:top w:w="12" w:type="dxa"/>
              <w:bottom w:w="12" w:type="dxa"/>
              <w:left w:w="8" w:type="dxa"/>
              <w:right w:w="8" w:type="dxa"/>
            </w:tcMar>
          </w:tcPr>
          <w:p>
            <w:pPr>
              <w:jc w:val="right"/>
            </w:pPr>
            <w:r>
              <w:rPr>
                <w:sz w:val="11"/>
              </w:rPr>
              <w:t>0.133 ± 0.036</w:t>
            </w:r>
          </w:p>
        </w:tc>
        <w:tc>
          <w:tcPr>
            <w:tcW w:w="690" w:type="dxa"/>
            <w:tcMar>
              <w:top w:w="12" w:type="dxa"/>
              <w:bottom w:w="12" w:type="dxa"/>
              <w:left w:w="8" w:type="dxa"/>
              <w:right w:w="8" w:type="dxa"/>
            </w:tcMar>
          </w:tcPr>
          <w:p>
            <w:pPr>
              <w:jc w:val="right"/>
            </w:pPr>
            <w:r>
              <w:rPr>
                <w:sz w:val="11"/>
              </w:rPr>
              <w:t>0.194 ± 0.052</w:t>
            </w:r>
          </w:p>
        </w:tc>
        <w:tc>
          <w:tcPr>
            <w:tcW w:w="690" w:type="dxa"/>
            <w:tcMar>
              <w:top w:w="12" w:type="dxa"/>
              <w:bottom w:w="12" w:type="dxa"/>
              <w:left w:w="8" w:type="dxa"/>
              <w:right w:w="8" w:type="dxa"/>
            </w:tcMar>
          </w:tcPr>
          <w:p>
            <w:pPr>
              <w:jc w:val="right"/>
            </w:pPr>
            <w:r>
              <w:rPr>
                <w:sz w:val="11"/>
              </w:rPr>
              <w:t>0.203 ± 0.056</w:t>
            </w:r>
          </w:p>
        </w:tc>
        <w:tc>
          <w:tcPr>
            <w:tcW w:w="690" w:type="dxa"/>
            <w:tcMar>
              <w:top w:w="12" w:type="dxa"/>
              <w:bottom w:w="12" w:type="dxa"/>
              <w:left w:w="8" w:type="dxa"/>
              <w:right w:w="8" w:type="dxa"/>
            </w:tcMar>
          </w:tcPr>
          <w:p>
            <w:pPr>
              <w:jc w:val="right"/>
            </w:pPr>
            <w:r>
              <w:rPr>
                <w:sz w:val="11"/>
              </w:rPr>
              <w:t>0.059 ± 0.030</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0.220 ± 0.054</w:t>
            </w:r>
          </w:p>
        </w:tc>
        <w:tc>
          <w:tcPr>
            <w:tcW w:w="690" w:type="dxa"/>
            <w:tcMar>
              <w:top w:w="12" w:type="dxa"/>
              <w:bottom w:w="12" w:type="dxa"/>
              <w:left w:w="8" w:type="dxa"/>
              <w:right w:w="8" w:type="dxa"/>
            </w:tcMar>
          </w:tcPr>
          <w:p>
            <w:pPr>
              <w:jc w:val="right"/>
            </w:pPr>
            <w:r>
              <w:rPr>
                <w:sz w:val="11"/>
              </w:rPr>
              <w:t>0.148 ± 0.036</w:t>
            </w:r>
          </w:p>
        </w:tc>
        <w:tc>
          <w:tcPr>
            <w:tcW w:w="690" w:type="dxa"/>
            <w:tcMar>
              <w:top w:w="12" w:type="dxa"/>
              <w:bottom w:w="12" w:type="dxa"/>
              <w:left w:w="8" w:type="dxa"/>
              <w:right w:w="8" w:type="dxa"/>
            </w:tcMar>
          </w:tcPr>
          <w:p>
            <w:pPr>
              <w:jc w:val="right"/>
            </w:pPr>
            <w:r>
              <w:rPr>
                <w:sz w:val="11"/>
              </w:rPr>
              <w:t>0.202 ± 0.032</w:t>
            </w:r>
          </w:p>
        </w:tc>
        <w:tc>
          <w:tcPr>
            <w:tcW w:w="690" w:type="dxa"/>
            <w:tcMar>
              <w:top w:w="12" w:type="dxa"/>
              <w:bottom w:w="12" w:type="dxa"/>
              <w:left w:w="8" w:type="dxa"/>
              <w:right w:w="8" w:type="dxa"/>
            </w:tcMar>
          </w:tcPr>
          <w:p>
            <w:pPr>
              <w:jc w:val="right"/>
            </w:pPr>
            <w:r>
              <w:rPr>
                <w:sz w:val="11"/>
              </w:rPr>
              <w:t>0.245 ± 0.074</w:t>
            </w:r>
          </w:p>
        </w:tc>
        <w:tc>
          <w:tcPr>
            <w:tcW w:w="690" w:type="dxa"/>
            <w:tcMar>
              <w:top w:w="12" w:type="dxa"/>
              <w:bottom w:w="12" w:type="dxa"/>
              <w:left w:w="8" w:type="dxa"/>
              <w:right w:w="8" w:type="dxa"/>
            </w:tcMar>
          </w:tcPr>
          <w:p>
            <w:pPr>
              <w:jc w:val="right"/>
            </w:pPr>
            <w:r>
              <w:rPr>
                <w:sz w:val="11"/>
              </w:rPr>
              <w:t>0.082 ± 0.039</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0.214 ± 0.064</w:t>
            </w:r>
          </w:p>
        </w:tc>
        <w:tc>
          <w:tcPr>
            <w:tcW w:w="690" w:type="dxa"/>
            <w:tcMar>
              <w:top w:w="12" w:type="dxa"/>
              <w:bottom w:w="12" w:type="dxa"/>
              <w:left w:w="8" w:type="dxa"/>
              <w:right w:w="8" w:type="dxa"/>
            </w:tcMar>
          </w:tcPr>
          <w:p>
            <w:pPr>
              <w:jc w:val="right"/>
            </w:pPr>
            <w:r>
              <w:rPr>
                <w:sz w:val="11"/>
              </w:rPr>
              <w:t>0.144 ± 0.043</w:t>
            </w:r>
          </w:p>
        </w:tc>
        <w:tc>
          <w:tcPr>
            <w:tcW w:w="690" w:type="dxa"/>
            <w:tcMar>
              <w:top w:w="12" w:type="dxa"/>
              <w:bottom w:w="12" w:type="dxa"/>
              <w:left w:w="8" w:type="dxa"/>
              <w:right w:w="8" w:type="dxa"/>
            </w:tcMar>
          </w:tcPr>
          <w:p>
            <w:pPr>
              <w:jc w:val="right"/>
            </w:pPr>
            <w:r>
              <w:rPr>
                <w:sz w:val="11"/>
              </w:rPr>
              <w:t>0.188 ± 0.042</w:t>
            </w:r>
          </w:p>
        </w:tc>
        <w:tc>
          <w:tcPr>
            <w:tcW w:w="690" w:type="dxa"/>
            <w:tcMar>
              <w:top w:w="12" w:type="dxa"/>
              <w:bottom w:w="12" w:type="dxa"/>
              <w:left w:w="8" w:type="dxa"/>
              <w:right w:w="8" w:type="dxa"/>
            </w:tcMar>
          </w:tcPr>
          <w:p>
            <w:pPr>
              <w:jc w:val="right"/>
            </w:pPr>
            <w:r>
              <w:rPr>
                <w:sz w:val="11"/>
              </w:rPr>
              <w:t>0.237 ± 0.083</w:t>
            </w:r>
          </w:p>
        </w:tc>
        <w:tc>
          <w:tcPr>
            <w:tcW w:w="690" w:type="dxa"/>
            <w:tcMar>
              <w:top w:w="12" w:type="dxa"/>
              <w:bottom w:w="12" w:type="dxa"/>
              <w:left w:w="8" w:type="dxa"/>
              <w:right w:w="8" w:type="dxa"/>
            </w:tcMar>
          </w:tcPr>
          <w:p>
            <w:pPr>
              <w:jc w:val="right"/>
            </w:pPr>
            <w:r>
              <w:rPr>
                <w:sz w:val="11"/>
              </w:rPr>
              <w:t>0.082 ± 0.049</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0.231 ± 0.053</w:t>
            </w:r>
          </w:p>
        </w:tc>
        <w:tc>
          <w:tcPr>
            <w:tcW w:w="690" w:type="dxa"/>
            <w:tcMar>
              <w:top w:w="12" w:type="dxa"/>
              <w:bottom w:w="12" w:type="dxa"/>
              <w:left w:w="8" w:type="dxa"/>
              <w:right w:w="8" w:type="dxa"/>
            </w:tcMar>
          </w:tcPr>
          <w:p>
            <w:pPr>
              <w:jc w:val="right"/>
            </w:pPr>
            <w:r>
              <w:rPr>
                <w:sz w:val="11"/>
              </w:rPr>
              <w:t>0.156 ± 0.036</w:t>
            </w:r>
          </w:p>
        </w:tc>
        <w:tc>
          <w:tcPr>
            <w:tcW w:w="690" w:type="dxa"/>
            <w:tcMar>
              <w:top w:w="12" w:type="dxa"/>
              <w:bottom w:w="12" w:type="dxa"/>
              <w:left w:w="8" w:type="dxa"/>
              <w:right w:w="8" w:type="dxa"/>
            </w:tcMar>
          </w:tcPr>
          <w:p>
            <w:pPr>
              <w:jc w:val="right"/>
            </w:pPr>
            <w:r>
              <w:rPr>
                <w:sz w:val="11"/>
              </w:rPr>
              <w:t>0.221 ± 0.035</w:t>
            </w:r>
          </w:p>
        </w:tc>
        <w:tc>
          <w:tcPr>
            <w:tcW w:w="690" w:type="dxa"/>
            <w:tcMar>
              <w:top w:w="12" w:type="dxa"/>
              <w:bottom w:w="12" w:type="dxa"/>
              <w:left w:w="8" w:type="dxa"/>
              <w:right w:w="8" w:type="dxa"/>
            </w:tcMar>
          </w:tcPr>
          <w:p>
            <w:pPr>
              <w:jc w:val="right"/>
            </w:pPr>
            <w:r>
              <w:rPr>
                <w:sz w:val="11"/>
              </w:rPr>
              <w:t>0.241 ± 0.071</w:t>
            </w:r>
          </w:p>
        </w:tc>
        <w:tc>
          <w:tcPr>
            <w:tcW w:w="690" w:type="dxa"/>
            <w:tcMar>
              <w:top w:w="12" w:type="dxa"/>
              <w:bottom w:w="12" w:type="dxa"/>
              <w:left w:w="8" w:type="dxa"/>
              <w:right w:w="8" w:type="dxa"/>
            </w:tcMar>
          </w:tcPr>
          <w:p>
            <w:pPr>
              <w:jc w:val="right"/>
            </w:pPr>
            <w:r>
              <w:rPr>
                <w:sz w:val="11"/>
              </w:rPr>
              <w:t>0.080 ± 0.039</w:t>
            </w:r>
          </w:p>
        </w:tc>
      </w:tr>
      <w:tr>
        <w:trPr>
          <w:cantSplit/>
        </w:trPr>
        <w:tc>
          <w:tcPr>
            <w:tcW w:w="1350" w:type="dxa"/>
            <w:tcMar>
              <w:top w:w="12" w:type="dxa"/>
              <w:bottom w:w="12" w:type="dxa"/>
              <w:left w:w="8" w:type="dxa"/>
              <w:right w:w="8" w:type="dxa"/>
            </w:tcMar>
          </w:tcPr>
          <w:p>
            <w:pPr>
              <w:jc w:val="left"/>
            </w:pPr>
            <w:r>
              <w:rPr>
                <w:sz w:val="11"/>
              </w:rPr>
              <w:t>Static GNN</w:t>
            </w:r>
          </w:p>
        </w:tc>
        <w:tc>
          <w:tcPr>
            <w:tcW w:w="690" w:type="dxa"/>
            <w:tcMar>
              <w:top w:w="12" w:type="dxa"/>
              <w:bottom w:w="12" w:type="dxa"/>
              <w:left w:w="8" w:type="dxa"/>
              <w:right w:w="8" w:type="dxa"/>
            </w:tcMar>
          </w:tcPr>
          <w:p>
            <w:pPr>
              <w:jc w:val="right"/>
            </w:pPr>
            <w:r>
              <w:rPr>
                <w:sz w:val="11"/>
              </w:rPr>
              <w:t>0.286 ± 0.071</w:t>
            </w:r>
          </w:p>
        </w:tc>
        <w:tc>
          <w:tcPr>
            <w:tcW w:w="690" w:type="dxa"/>
            <w:tcMar>
              <w:top w:w="12" w:type="dxa"/>
              <w:bottom w:w="12" w:type="dxa"/>
              <w:left w:w="8" w:type="dxa"/>
              <w:right w:w="8" w:type="dxa"/>
            </w:tcMar>
          </w:tcPr>
          <w:p>
            <w:pPr>
              <w:jc w:val="right"/>
            </w:pPr>
            <w:r>
              <w:rPr>
                <w:sz w:val="11"/>
              </w:rPr>
              <w:t>0.192 ± 0.048</w:t>
            </w:r>
          </w:p>
        </w:tc>
        <w:tc>
          <w:tcPr>
            <w:tcW w:w="690" w:type="dxa"/>
            <w:tcMar>
              <w:top w:w="12" w:type="dxa"/>
              <w:bottom w:w="12" w:type="dxa"/>
              <w:left w:w="8" w:type="dxa"/>
              <w:right w:w="8" w:type="dxa"/>
            </w:tcMar>
          </w:tcPr>
          <w:p>
            <w:pPr>
              <w:jc w:val="right"/>
            </w:pPr>
            <w:r>
              <w:rPr>
                <w:sz w:val="11"/>
              </w:rPr>
              <w:t>0.287 ± 0.056</w:t>
            </w:r>
          </w:p>
        </w:tc>
        <w:tc>
          <w:tcPr>
            <w:tcW w:w="690" w:type="dxa"/>
            <w:tcMar>
              <w:top w:w="12" w:type="dxa"/>
              <w:bottom w:w="12" w:type="dxa"/>
              <w:left w:w="8" w:type="dxa"/>
              <w:right w:w="8" w:type="dxa"/>
            </w:tcMar>
          </w:tcPr>
          <w:p>
            <w:pPr>
              <w:jc w:val="right"/>
            </w:pPr>
            <w:r>
              <w:rPr>
                <w:sz w:val="11"/>
              </w:rPr>
              <w:t>0.310 ± 0.079</w:t>
            </w:r>
          </w:p>
        </w:tc>
        <w:tc>
          <w:tcPr>
            <w:tcW w:w="690" w:type="dxa"/>
            <w:tcMar>
              <w:top w:w="12" w:type="dxa"/>
              <w:bottom w:w="12" w:type="dxa"/>
              <w:left w:w="8" w:type="dxa"/>
              <w:right w:w="8" w:type="dxa"/>
            </w:tcMar>
          </w:tcPr>
          <w:p>
            <w:pPr>
              <w:jc w:val="right"/>
            </w:pPr>
            <w:r>
              <w:rPr>
                <w:sz w:val="11"/>
              </w:rPr>
              <w:t>0.124 ± 0.055</w:t>
            </w:r>
          </w:p>
        </w:tc>
      </w:tr>
      <w:tr>
        <w:trPr>
          <w:cantSplit/>
        </w:trPr>
        <w:tc>
          <w:tcPr>
            <w:tcW w:w="1350" w:type="dxa"/>
            <w:tcMar>
              <w:top w:w="12" w:type="dxa"/>
              <w:bottom w:w="12" w:type="dxa"/>
              <w:left w:w="8" w:type="dxa"/>
              <w:right w:w="8" w:type="dxa"/>
            </w:tcMar>
          </w:tcPr>
          <w:p>
            <w:pPr>
              <w:jc w:val="left"/>
            </w:pPr>
            <w:r>
              <w:rPr>
                <w:sz w:val="11"/>
              </w:rPr>
              <w:t>SFA Frontier</w:t>
            </w:r>
          </w:p>
        </w:tc>
        <w:tc>
          <w:tcPr>
            <w:tcW w:w="690" w:type="dxa"/>
            <w:tcMar>
              <w:top w:w="12" w:type="dxa"/>
              <w:bottom w:w="12" w:type="dxa"/>
              <w:left w:w="8" w:type="dxa"/>
              <w:right w:w="8" w:type="dxa"/>
            </w:tcMar>
          </w:tcPr>
          <w:p>
            <w:pPr>
              <w:jc w:val="right"/>
            </w:pPr>
            <w:r>
              <w:rPr>
                <w:sz w:val="11"/>
              </w:rPr>
              <w:t>0.357 ± 0.083</w:t>
            </w:r>
          </w:p>
        </w:tc>
        <w:tc>
          <w:tcPr>
            <w:tcW w:w="690" w:type="dxa"/>
            <w:tcMar>
              <w:top w:w="12" w:type="dxa"/>
              <w:bottom w:w="12" w:type="dxa"/>
              <w:left w:w="8" w:type="dxa"/>
              <w:right w:w="8" w:type="dxa"/>
            </w:tcMar>
          </w:tcPr>
          <w:p>
            <w:pPr>
              <w:jc w:val="right"/>
            </w:pPr>
            <w:r>
              <w:rPr>
                <w:sz w:val="11"/>
              </w:rPr>
              <w:t>0.240 ± 0.056</w:t>
            </w:r>
          </w:p>
        </w:tc>
        <w:tc>
          <w:tcPr>
            <w:tcW w:w="690" w:type="dxa"/>
            <w:tcMar>
              <w:top w:w="12" w:type="dxa"/>
              <w:bottom w:w="12" w:type="dxa"/>
              <w:left w:w="8" w:type="dxa"/>
              <w:right w:w="8" w:type="dxa"/>
            </w:tcMar>
          </w:tcPr>
          <w:p>
            <w:pPr>
              <w:jc w:val="right"/>
            </w:pPr>
            <w:r>
              <w:rPr>
                <w:sz w:val="11"/>
              </w:rPr>
              <w:t>0.323 ± 0.075</w:t>
            </w:r>
          </w:p>
        </w:tc>
        <w:tc>
          <w:tcPr>
            <w:tcW w:w="690" w:type="dxa"/>
            <w:tcMar>
              <w:top w:w="12" w:type="dxa"/>
              <w:bottom w:w="12" w:type="dxa"/>
              <w:left w:w="8" w:type="dxa"/>
              <w:right w:w="8" w:type="dxa"/>
            </w:tcMar>
          </w:tcPr>
          <w:p>
            <w:pPr>
              <w:jc w:val="right"/>
            </w:pPr>
            <w:r>
              <w:rPr>
                <w:sz w:val="11"/>
              </w:rPr>
              <w:t>0.383 ± 0.085</w:t>
            </w:r>
          </w:p>
        </w:tc>
        <w:tc>
          <w:tcPr>
            <w:tcW w:w="690" w:type="dxa"/>
            <w:tcMar>
              <w:top w:w="12" w:type="dxa"/>
              <w:bottom w:w="12" w:type="dxa"/>
              <w:left w:w="8" w:type="dxa"/>
              <w:right w:w="8" w:type="dxa"/>
            </w:tcMar>
          </w:tcPr>
          <w:p>
            <w:pPr>
              <w:jc w:val="right"/>
            </w:pPr>
            <w:r>
              <w:rPr>
                <w:sz w:val="11"/>
              </w:rPr>
              <w:t>0.171 ± 0.058</w:t>
            </w:r>
          </w:p>
        </w:tc>
      </w:tr>
      <w:tr>
        <w:trPr>
          <w:cantSplit/>
        </w:trPr>
        <w:tc>
          <w:tcPr>
            <w:tcW w:w="1350" w:type="dxa"/>
            <w:tcMar>
              <w:top w:w="12" w:type="dxa"/>
              <w:bottom w:w="12" w:type="dxa"/>
              <w:left w:w="8" w:type="dxa"/>
              <w:right w:w="8" w:type="dxa"/>
            </w:tcMar>
          </w:tcPr>
          <w:p>
            <w:pPr>
              <w:jc w:val="left"/>
            </w:pPr>
            <w:r>
              <w:rPr>
                <w:sz w:val="11"/>
              </w:rPr>
              <w:t>M-GATO (w/o Q)</w:t>
            </w:r>
          </w:p>
        </w:tc>
        <w:tc>
          <w:tcPr>
            <w:tcW w:w="690" w:type="dxa"/>
            <w:tcMar>
              <w:top w:w="12" w:type="dxa"/>
              <w:bottom w:w="12" w:type="dxa"/>
              <w:left w:w="8" w:type="dxa"/>
              <w:right w:w="8" w:type="dxa"/>
            </w:tcMar>
          </w:tcPr>
          <w:p>
            <w:pPr>
              <w:jc w:val="right"/>
            </w:pPr>
            <w:r>
              <w:rPr>
                <w:sz w:val="11"/>
              </w:rPr>
              <w:t>0.374 ± 0.117</w:t>
            </w:r>
          </w:p>
        </w:tc>
        <w:tc>
          <w:tcPr>
            <w:tcW w:w="690" w:type="dxa"/>
            <w:tcMar>
              <w:top w:w="12" w:type="dxa"/>
              <w:bottom w:w="12" w:type="dxa"/>
              <w:left w:w="8" w:type="dxa"/>
              <w:right w:w="8" w:type="dxa"/>
            </w:tcMar>
          </w:tcPr>
          <w:p>
            <w:pPr>
              <w:jc w:val="right"/>
            </w:pPr>
            <w:r>
              <w:rPr>
                <w:sz w:val="11"/>
              </w:rPr>
              <w:t>0.252 ± 0.079</w:t>
            </w:r>
          </w:p>
        </w:tc>
        <w:tc>
          <w:tcPr>
            <w:tcW w:w="690" w:type="dxa"/>
            <w:tcMar>
              <w:top w:w="12" w:type="dxa"/>
              <w:bottom w:w="12" w:type="dxa"/>
              <w:left w:w="8" w:type="dxa"/>
              <w:right w:w="8" w:type="dxa"/>
            </w:tcMar>
          </w:tcPr>
          <w:p>
            <w:pPr>
              <w:jc w:val="right"/>
            </w:pPr>
            <w:r>
              <w:rPr>
                <w:sz w:val="11"/>
              </w:rPr>
              <w:t>0.342 ± 0.069</w:t>
            </w:r>
          </w:p>
        </w:tc>
        <w:tc>
          <w:tcPr>
            <w:tcW w:w="690" w:type="dxa"/>
            <w:tcMar>
              <w:top w:w="12" w:type="dxa"/>
              <w:bottom w:w="12" w:type="dxa"/>
              <w:left w:w="8" w:type="dxa"/>
              <w:right w:w="8" w:type="dxa"/>
            </w:tcMar>
          </w:tcPr>
          <w:p>
            <w:pPr>
              <w:jc w:val="right"/>
            </w:pPr>
            <w:r>
              <w:rPr>
                <w:sz w:val="11"/>
              </w:rPr>
              <w:t>0.396 ± 0.102</w:t>
            </w:r>
          </w:p>
        </w:tc>
        <w:tc>
          <w:tcPr>
            <w:tcW w:w="690" w:type="dxa"/>
            <w:tcMar>
              <w:top w:w="12" w:type="dxa"/>
              <w:bottom w:w="12" w:type="dxa"/>
              <w:left w:w="8" w:type="dxa"/>
              <w:right w:w="8" w:type="dxa"/>
            </w:tcMar>
          </w:tcPr>
          <w:p>
            <w:pPr>
              <w:jc w:val="right"/>
            </w:pPr>
            <w:r>
              <w:rPr>
                <w:sz w:val="11"/>
              </w:rPr>
              <w:t>0.184 ± 0.083</w:t>
            </w:r>
          </w:p>
        </w:tc>
      </w:tr>
      <w:tr>
        <w:trPr>
          <w:cantSplit/>
        </w:trPr>
        <w:tc>
          <w:tcPr>
            <w:tcW w:w="1350" w:type="dxa"/>
            <w:shd w:fill="E8F5E9"/>
            <w:tcMar>
              <w:top w:w="12" w:type="dxa"/>
              <w:bottom w:w="12" w:type="dxa"/>
              <w:left w:w="8" w:type="dxa"/>
              <w:right w:w="8" w:type="dxa"/>
            </w:tcMar>
          </w:tcPr>
          <w:p>
            <w:pPr>
              <w:jc w:val="left"/>
            </w:pPr>
            <w:r>
              <w:rPr>
                <w:b/>
                <w:sz w:val="11"/>
              </w:rPr>
              <w:t>HAMTA Proposed</w:t>
            </w:r>
          </w:p>
        </w:tc>
        <w:tc>
          <w:tcPr>
            <w:tcW w:w="690" w:type="dxa"/>
            <w:shd w:fill="E8F5E9"/>
            <w:tcMar>
              <w:top w:w="12" w:type="dxa"/>
              <w:bottom w:w="12" w:type="dxa"/>
              <w:left w:w="8" w:type="dxa"/>
              <w:right w:w="8" w:type="dxa"/>
            </w:tcMar>
          </w:tcPr>
          <w:p>
            <w:pPr>
              <w:jc w:val="right"/>
            </w:pPr>
            <w:r>
              <w:rPr>
                <w:b/>
                <w:sz w:val="11"/>
              </w:rPr>
              <w:t>0.366 ± 0.120</w:t>
            </w:r>
          </w:p>
        </w:tc>
        <w:tc>
          <w:tcPr>
            <w:tcW w:w="690" w:type="dxa"/>
            <w:shd w:fill="E8F5E9"/>
            <w:tcMar>
              <w:top w:w="12" w:type="dxa"/>
              <w:bottom w:w="12" w:type="dxa"/>
              <w:left w:w="8" w:type="dxa"/>
              <w:right w:w="8" w:type="dxa"/>
            </w:tcMar>
          </w:tcPr>
          <w:p>
            <w:pPr>
              <w:jc w:val="right"/>
            </w:pPr>
            <w:r>
              <w:rPr>
                <w:b/>
                <w:sz w:val="11"/>
              </w:rPr>
              <w:t>0.246 ± 0.081</w:t>
            </w:r>
          </w:p>
        </w:tc>
        <w:tc>
          <w:tcPr>
            <w:tcW w:w="690" w:type="dxa"/>
            <w:shd w:fill="E8F5E9"/>
            <w:tcMar>
              <w:top w:w="12" w:type="dxa"/>
              <w:bottom w:w="12" w:type="dxa"/>
              <w:left w:w="8" w:type="dxa"/>
              <w:right w:w="8" w:type="dxa"/>
            </w:tcMar>
          </w:tcPr>
          <w:p>
            <w:pPr>
              <w:jc w:val="right"/>
            </w:pPr>
            <w:r>
              <w:rPr>
                <w:b/>
                <w:sz w:val="11"/>
              </w:rPr>
              <w:t>0.342 ± 0.077</w:t>
            </w:r>
          </w:p>
        </w:tc>
        <w:tc>
          <w:tcPr>
            <w:tcW w:w="690" w:type="dxa"/>
            <w:shd w:fill="E8F5E9"/>
            <w:tcMar>
              <w:top w:w="12" w:type="dxa"/>
              <w:bottom w:w="12" w:type="dxa"/>
              <w:left w:w="8" w:type="dxa"/>
              <w:right w:w="8" w:type="dxa"/>
            </w:tcMar>
          </w:tcPr>
          <w:p>
            <w:pPr>
              <w:jc w:val="right"/>
            </w:pPr>
            <w:r>
              <w:rPr>
                <w:b/>
                <w:sz w:val="11"/>
              </w:rPr>
              <w:t>0.382 ± 0.116</w:t>
            </w:r>
          </w:p>
        </w:tc>
        <w:tc>
          <w:tcPr>
            <w:tcW w:w="690" w:type="dxa"/>
            <w:shd w:fill="E8F5E9"/>
            <w:tcMar>
              <w:top w:w="12" w:type="dxa"/>
              <w:bottom w:w="12" w:type="dxa"/>
              <w:left w:w="8" w:type="dxa"/>
              <w:right w:w="8" w:type="dxa"/>
            </w:tcMar>
          </w:tcPr>
          <w:p>
            <w:pPr>
              <w:jc w:val="right"/>
            </w:pPr>
            <w:r>
              <w:rPr>
                <w:b/>
                <w:sz w:val="11"/>
              </w:rPr>
              <w:t>0.180 ± 0.092</w:t>
            </w:r>
          </w:p>
        </w:tc>
      </w:tr>
    </w:tbl>
    <w:p>
      <w:pPr>
        <w:keepNext/>
        <w:spacing w:before="50" w:after="20"/>
        <w:jc w:val="center"/>
      </w:pPr>
      <w:r>
        <w:drawing>
          <wp:inline xmlns:a="http://schemas.openxmlformats.org/drawingml/2006/main" xmlns:pic="http://schemas.openxmlformats.org/drawingml/2006/picture">
            <wp:extent cx="2834640" cy="1072616"/>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072616"/>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52/350 (portfolio random expectation = 0.1486, ~14.9%; candidate pool random expectation = 52/299 = 0.174, 17.4%), Table II confirms that HAMTA Proposed (M-GATO) achieves Precision@35 = 0.366 ± 0.120, Recall@35 = 0.246 ± 0.081, R-Precision = 0.342 ± 0.077, NDCG@35 = 0.382 ± 0.116, and MAP@35 = 0.180 ± 0.092. R-Precision evaluates precision at R = 52 targets, while MAP@35 denotes mean average precision truncated at rank 35 across seeds. This represents a 2.46× lift over portfolio random selection (and 2.10× lift over the candidate pool baseline) and substantially outperforms Lowest Volume (P@35 = 0.197 ± 0.053) and Tabular Point Gap (P@35 = 0.214 ± 0.064). Recall@35 reaches 0.246 ± 0.081, noting that maximum possible Recall@35 under 35 slots for 52 targets is capped at 35/52 = 0.673 (67.3%).</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&amp; Significance Testing: At very small budget K = 10, the SFA frontier baseline achieves higher precision (0.430 ± 0.127) than HAMTA (0.400 ± 0.089). However, as campaign capacity expands, HAMTA scales more effectively and overtakes SFA at K = 20 (0.410 vs. 0.345), K = 35 (0.366 vs. 0.357), and K = 50 (0.340 vs. 0.322). Under Holm-Bonferroni adjustment across evaluated baselines, HAMTA maintains statistically significant superiority (p_adj &lt; 0.05) over conventional baselines: at K = 10 against Lowest Volume (p_adj = 0.0156) and Tabular GBDT (p_adj = 0.0293); at K = 20 against Lowest Volume (p_adj = 0.0156) and Tabular GBDT (p_adj = 0.0176); at K = 35 against Lowest Volume (p_adj = 0.0176) and Tabular GBDT (p_adj = 0.0078); and at K = 50 against Lowest Volume (p_adj = 0.0078) and Tabular GBDT (p_adj = 0.0078). Against Static GNN, the comparison is marginally significant at K = 50 (p_adj = 0.0586, raw p = 0.0293) and p_adj = 0.0977 at K = 35 (raw p = 0.0488). Differences between HAMTA and SFA across budgets do not reach statistical significance (e.g., p_adj = 0.6094 at K = 50), establishing SFA as a competitive non-parametric frontier benchmark.</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0.000 ± 0.000</w:t>
            </w:r>
          </w:p>
        </w:tc>
        <w:tc>
          <w:tcPr>
            <w:tcW w:w="750" w:type="dxa"/>
            <w:shd w:fill="FFF9C4"/>
            <w:tcMar>
              <w:top w:w="12" w:type="dxa"/>
              <w:bottom w:w="12" w:type="dxa"/>
              <w:left w:w="8" w:type="dxa"/>
              <w:right w:w="8" w:type="dxa"/>
            </w:tcMar>
          </w:tcPr>
          <w:p>
            <w:pPr>
              <w:jc w:val="right"/>
            </w:pPr>
            <w:r>
              <w:rPr>
                <w:sz w:val="11"/>
              </w:rPr>
              <w:t>0.000 ± 0.000</w:t>
            </w:r>
          </w:p>
        </w:tc>
        <w:tc>
          <w:tcPr>
            <w:tcW w:w="700" w:type="dxa"/>
            <w:shd w:fill="FFF9C4"/>
            <w:tcMar>
              <w:top w:w="12" w:type="dxa"/>
              <w:bottom w:w="12" w:type="dxa"/>
              <w:left w:w="8" w:type="dxa"/>
              <w:right w:w="8" w:type="dxa"/>
            </w:tcMar>
          </w:tcPr>
          <w:p>
            <w:pPr>
              <w:jc w:val="right"/>
            </w:pPr>
            <w:r>
              <w:rPr>
                <w:sz w:val="11"/>
              </w:rPr>
              <w:t>0.100 ± 0.000</w:t>
            </w:r>
          </w:p>
        </w:tc>
        <w:tc>
          <w:tcPr>
            <w:tcW w:w="750" w:type="dxa"/>
            <w:shd w:fill="FFF9C4"/>
            <w:tcMar>
              <w:top w:w="12" w:type="dxa"/>
              <w:bottom w:w="12" w:type="dxa"/>
              <w:left w:w="8" w:type="dxa"/>
              <w:right w:w="8" w:type="dxa"/>
            </w:tcMar>
          </w:tcPr>
          <w:p>
            <w:pPr>
              <w:jc w:val="right"/>
            </w:pPr>
            <w:r>
              <w:rPr>
                <w:sz w:val="11"/>
              </w:rPr>
              <w:t>0.862 ± 0.031</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0.297 ± 0.099</w:t>
            </w:r>
          </w:p>
        </w:tc>
        <w:tc>
          <w:tcPr>
            <w:tcW w:w="750" w:type="dxa"/>
            <w:tcMar>
              <w:top w:w="12" w:type="dxa"/>
              <w:bottom w:w="12" w:type="dxa"/>
              <w:left w:w="8" w:type="dxa"/>
              <w:right w:w="8" w:type="dxa"/>
            </w:tcMar>
          </w:tcPr>
          <w:p>
            <w:pPr>
              <w:jc w:val="right"/>
            </w:pPr>
            <w:r>
              <w:rPr>
                <w:sz w:val="11"/>
              </w:rPr>
              <w:t>0.310 ± 0.098</w:t>
            </w:r>
          </w:p>
        </w:tc>
        <w:tc>
          <w:tcPr>
            <w:tcW w:w="700" w:type="dxa"/>
            <w:tcMar>
              <w:top w:w="12" w:type="dxa"/>
              <w:bottom w:w="12" w:type="dxa"/>
              <w:left w:w="8" w:type="dxa"/>
              <w:right w:w="8" w:type="dxa"/>
            </w:tcMar>
          </w:tcPr>
          <w:p>
            <w:pPr>
              <w:jc w:val="right"/>
            </w:pPr>
            <w:r>
              <w:rPr>
                <w:sz w:val="11"/>
              </w:rPr>
              <w:t>0.083 ± 0.012</w:t>
            </w:r>
          </w:p>
        </w:tc>
        <w:tc>
          <w:tcPr>
            <w:tcW w:w="750" w:type="dxa"/>
            <w:tcMar>
              <w:top w:w="12" w:type="dxa"/>
              <w:bottom w:w="12" w:type="dxa"/>
              <w:left w:w="8" w:type="dxa"/>
              <w:right w:w="8" w:type="dxa"/>
            </w:tcMar>
          </w:tcPr>
          <w:p>
            <w:pPr>
              <w:jc w:val="right"/>
            </w:pPr>
            <w:r>
              <w:rPr>
                <w:sz w:val="11"/>
              </w:rPr>
              <w:t>0.819 ± 0.044</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0.366 ± 0.120</w:t>
            </w:r>
          </w:p>
        </w:tc>
        <w:tc>
          <w:tcPr>
            <w:tcW w:w="750" w:type="dxa"/>
            <w:shd w:fill="E8F5E9"/>
            <w:tcMar>
              <w:top w:w="12" w:type="dxa"/>
              <w:bottom w:w="12" w:type="dxa"/>
              <w:left w:w="8" w:type="dxa"/>
              <w:right w:w="8" w:type="dxa"/>
            </w:tcMar>
          </w:tcPr>
          <w:p>
            <w:pPr>
              <w:jc w:val="right"/>
            </w:pPr>
            <w:r>
              <w:rPr>
                <w:b/>
                <w:sz w:val="11"/>
              </w:rPr>
              <w:t>0.382 ± 0.116</w:t>
            </w:r>
          </w:p>
        </w:tc>
        <w:tc>
          <w:tcPr>
            <w:tcW w:w="700" w:type="dxa"/>
            <w:shd w:fill="E8F5E9"/>
            <w:tcMar>
              <w:top w:w="12" w:type="dxa"/>
              <w:bottom w:w="12" w:type="dxa"/>
              <w:left w:w="8" w:type="dxa"/>
              <w:right w:w="8" w:type="dxa"/>
            </w:tcMar>
          </w:tcPr>
          <w:p>
            <w:pPr>
              <w:jc w:val="right"/>
            </w:pPr>
            <w:r>
              <w:rPr>
                <w:b/>
                <w:sz w:val="11"/>
              </w:rPr>
              <w:t>0.074 ± 0.014</w:t>
            </w:r>
          </w:p>
        </w:tc>
        <w:tc>
          <w:tcPr>
            <w:tcW w:w="750" w:type="dxa"/>
            <w:shd w:fill="E8F5E9"/>
            <w:tcMar>
              <w:top w:w="12" w:type="dxa"/>
              <w:bottom w:w="12" w:type="dxa"/>
              <w:left w:w="8" w:type="dxa"/>
              <w:right w:w="8" w:type="dxa"/>
            </w:tcMar>
          </w:tcPr>
          <w:p>
            <w:pPr>
              <w:jc w:val="right"/>
            </w:pPr>
            <w:r>
              <w:rPr>
                <w:b/>
                <w:sz w:val="11"/>
              </w:rPr>
              <w:t>0.807 ± 0.039</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0.500 ± 0.122</w:t>
            </w:r>
          </w:p>
        </w:tc>
        <w:tc>
          <w:tcPr>
            <w:tcW w:w="750" w:type="dxa"/>
            <w:tcMar>
              <w:top w:w="12" w:type="dxa"/>
              <w:bottom w:w="12" w:type="dxa"/>
              <w:left w:w="8" w:type="dxa"/>
              <w:right w:w="8" w:type="dxa"/>
            </w:tcMar>
          </w:tcPr>
          <w:p>
            <w:pPr>
              <w:jc w:val="right"/>
            </w:pPr>
            <w:r>
              <w:rPr>
                <w:sz w:val="11"/>
              </w:rPr>
              <w:t>0.532 ± 0.120</w:t>
            </w:r>
          </w:p>
        </w:tc>
        <w:tc>
          <w:tcPr>
            <w:tcW w:w="700" w:type="dxa"/>
            <w:tcMar>
              <w:top w:w="12" w:type="dxa"/>
              <w:bottom w:w="12" w:type="dxa"/>
              <w:left w:w="8" w:type="dxa"/>
              <w:right w:w="8" w:type="dxa"/>
            </w:tcMar>
          </w:tcPr>
          <w:p>
            <w:pPr>
              <w:jc w:val="right"/>
            </w:pPr>
            <w:r>
              <w:rPr>
                <w:sz w:val="11"/>
              </w:rPr>
              <w:t>0.059 ± 0.014</w:t>
            </w:r>
          </w:p>
        </w:tc>
        <w:tc>
          <w:tcPr>
            <w:tcW w:w="750" w:type="dxa"/>
            <w:tcMar>
              <w:top w:w="12" w:type="dxa"/>
              <w:bottom w:w="12" w:type="dxa"/>
              <w:left w:w="8" w:type="dxa"/>
              <w:right w:w="8" w:type="dxa"/>
            </w:tcMar>
          </w:tcPr>
          <w:p>
            <w:pPr>
              <w:jc w:val="right"/>
            </w:pPr>
            <w:r>
              <w:rPr>
                <w:sz w:val="11"/>
              </w:rPr>
              <w:t>0.803 ± 0.041</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0.382 ± 0.116</w:t>
            </w:r>
          </w:p>
        </w:tc>
        <w:tc>
          <w:tcPr>
            <w:tcW w:w="750" w:type="dxa"/>
            <w:shd w:fill="E8F5E9"/>
            <w:tcMar>
              <w:top w:w="12" w:type="dxa"/>
              <w:bottom w:w="12" w:type="dxa"/>
              <w:left w:w="8" w:type="dxa"/>
              <w:right w:w="8" w:type="dxa"/>
            </w:tcMar>
          </w:tcPr>
          <w:p>
            <w:pPr>
              <w:jc w:val="right"/>
            </w:pPr>
            <w:r>
              <w:rPr>
                <w:b/>
                <w:sz w:val="11"/>
              </w:rPr>
              <w:t>0.366 ± 0.120</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t>Ref (Ours)</w:t>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0.384 ± 0.117</w:t>
            </w:r>
          </w:p>
        </w:tc>
        <w:tc>
          <w:tcPr>
            <w:tcW w:w="750" w:type="dxa"/>
            <w:tcMar>
              <w:top w:w="12" w:type="dxa"/>
              <w:bottom w:w="12" w:type="dxa"/>
              <w:left w:w="8" w:type="dxa"/>
              <w:right w:w="8" w:type="dxa"/>
            </w:tcMar>
          </w:tcPr>
          <w:p>
            <w:pPr>
              <w:jc w:val="right"/>
            </w:pPr>
            <w:r>
              <w:rPr>
                <w:sz w:val="11"/>
              </w:rPr>
              <w:t>0.369 ± 0.120</w:t>
            </w:r>
          </w:p>
        </w:tc>
        <w:tc>
          <w:tcPr>
            <w:tcW w:w="700" w:type="dxa"/>
            <w:tcMar>
              <w:top w:w="12" w:type="dxa"/>
              <w:bottom w:w="12" w:type="dxa"/>
              <w:left w:w="8" w:type="dxa"/>
              <w:right w:w="8" w:type="dxa"/>
            </w:tcMar>
          </w:tcPr>
          <w:p>
            <w:pPr>
              <w:jc w:val="right"/>
            </w:pPr>
            <w:r>
              <w:rPr>
                <w:sz w:val="11"/>
              </w:rPr>
              <w:t>-0.002</w:t>
            </w:r>
          </w:p>
        </w:tc>
        <w:tc>
          <w:tcPr>
            <w:tcW w:w="1000" w:type="dxa"/>
            <w:tcMar>
              <w:top w:w="12" w:type="dxa"/>
              <w:bottom w:w="12" w:type="dxa"/>
              <w:left w:w="8" w:type="dxa"/>
              <w:right w:w="8" w:type="dxa"/>
            </w:tcMar>
          </w:tcPr>
          <w:p>
            <w:pPr>
              <w:jc w:val="right"/>
            </w:pPr>
            <w:r>
              <w:rPr>
                <w:sz w:val="11"/>
              </w:rPr>
              <w:t>p = 0.846</w:t>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0.396 ± 0.102</w:t>
            </w:r>
          </w:p>
        </w:tc>
        <w:tc>
          <w:tcPr>
            <w:tcW w:w="750" w:type="dxa"/>
            <w:tcMar>
              <w:top w:w="12" w:type="dxa"/>
              <w:bottom w:w="12" w:type="dxa"/>
              <w:left w:w="8" w:type="dxa"/>
              <w:right w:w="8" w:type="dxa"/>
            </w:tcMar>
          </w:tcPr>
          <w:p>
            <w:pPr>
              <w:jc w:val="right"/>
            </w:pPr>
            <w:r>
              <w:rPr>
                <w:sz w:val="11"/>
              </w:rPr>
              <w:t>0.374 ± 0.117</w:t>
            </w:r>
          </w:p>
        </w:tc>
        <w:tc>
          <w:tcPr>
            <w:tcW w:w="700" w:type="dxa"/>
            <w:tcMar>
              <w:top w:w="12" w:type="dxa"/>
              <w:bottom w:w="12" w:type="dxa"/>
              <w:left w:w="8" w:type="dxa"/>
              <w:right w:w="8" w:type="dxa"/>
            </w:tcMar>
          </w:tcPr>
          <w:p>
            <w:pPr>
              <w:jc w:val="right"/>
            </w:pPr>
            <w:r>
              <w:rPr>
                <w:sz w:val="11"/>
              </w:rPr>
              <w:t>-0.014</w:t>
            </w:r>
          </w:p>
        </w:tc>
        <w:tc>
          <w:tcPr>
            <w:tcW w:w="1000" w:type="dxa"/>
            <w:tcMar>
              <w:top w:w="12" w:type="dxa"/>
              <w:bottom w:w="12" w:type="dxa"/>
              <w:left w:w="8" w:type="dxa"/>
              <w:right w:w="8" w:type="dxa"/>
            </w:tcMar>
          </w:tcPr>
          <w:p>
            <w:pPr>
              <w:jc w:val="right"/>
            </w:pPr>
            <w:r>
              <w:rPr>
                <w:sz w:val="11"/>
              </w:rPr>
              <w:t>p = 0.375</w:t>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0.415 ± 0.095</w:t>
            </w:r>
          </w:p>
        </w:tc>
        <w:tc>
          <w:tcPr>
            <w:tcW w:w="750" w:type="dxa"/>
            <w:tcMar>
              <w:top w:w="12" w:type="dxa"/>
              <w:bottom w:w="12" w:type="dxa"/>
              <w:left w:w="8" w:type="dxa"/>
              <w:right w:w="8" w:type="dxa"/>
            </w:tcMar>
          </w:tcPr>
          <w:p>
            <w:pPr>
              <w:jc w:val="right"/>
            </w:pPr>
            <w:r>
              <w:rPr>
                <w:sz w:val="11"/>
              </w:rPr>
              <w:t>0.397 ± 0.096</w:t>
            </w:r>
          </w:p>
        </w:tc>
        <w:tc>
          <w:tcPr>
            <w:tcW w:w="700" w:type="dxa"/>
            <w:tcMar>
              <w:top w:w="12" w:type="dxa"/>
              <w:bottom w:w="12" w:type="dxa"/>
              <w:left w:w="8" w:type="dxa"/>
              <w:right w:w="8" w:type="dxa"/>
            </w:tcMar>
          </w:tcPr>
          <w:p>
            <w:pPr>
              <w:jc w:val="right"/>
            </w:pPr>
            <w:r>
              <w:rPr>
                <w:sz w:val="11"/>
              </w:rPr>
              <w:t>-0.033</w:t>
            </w:r>
          </w:p>
        </w:tc>
        <w:tc>
          <w:tcPr>
            <w:tcW w:w="1000" w:type="dxa"/>
            <w:tcMar>
              <w:top w:w="12" w:type="dxa"/>
              <w:bottom w:w="12" w:type="dxa"/>
              <w:left w:w="8" w:type="dxa"/>
              <w:right w:w="8" w:type="dxa"/>
            </w:tcMar>
          </w:tcPr>
          <w:p>
            <w:pPr>
              <w:jc w:val="right"/>
            </w:pPr>
            <w:r>
              <w:rPr>
                <w:sz w:val="11"/>
              </w:rPr>
              <w:t>p = 0.027</w:t>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0.394 ± 0.096</w:t>
            </w:r>
          </w:p>
        </w:tc>
        <w:tc>
          <w:tcPr>
            <w:tcW w:w="750" w:type="dxa"/>
            <w:tcMar>
              <w:top w:w="12" w:type="dxa"/>
              <w:bottom w:w="12" w:type="dxa"/>
              <w:left w:w="8" w:type="dxa"/>
              <w:right w:w="8" w:type="dxa"/>
            </w:tcMar>
          </w:tcPr>
          <w:p>
            <w:pPr>
              <w:jc w:val="right"/>
            </w:pPr>
            <w:r>
              <w:rPr>
                <w:sz w:val="11"/>
              </w:rPr>
              <w:t>0.354 ± 0.089</w:t>
            </w:r>
          </w:p>
        </w:tc>
        <w:tc>
          <w:tcPr>
            <w:tcW w:w="700" w:type="dxa"/>
            <w:tcMar>
              <w:top w:w="12" w:type="dxa"/>
              <w:bottom w:w="12" w:type="dxa"/>
              <w:left w:w="8" w:type="dxa"/>
              <w:right w:w="8" w:type="dxa"/>
            </w:tcMar>
          </w:tcPr>
          <w:p>
            <w:pPr>
              <w:jc w:val="right"/>
            </w:pPr>
            <w:r>
              <w:rPr>
                <w:sz w:val="11"/>
              </w:rPr>
              <w:t>-0.012</w:t>
            </w:r>
          </w:p>
        </w:tc>
        <w:tc>
          <w:tcPr>
            <w:tcW w:w="1000" w:type="dxa"/>
            <w:tcMar>
              <w:top w:w="12" w:type="dxa"/>
              <w:bottom w:w="12" w:type="dxa"/>
              <w:left w:w="8" w:type="dxa"/>
              <w:right w:w="8" w:type="dxa"/>
            </w:tcMar>
          </w:tcPr>
          <w:p>
            <w:pPr>
              <w:jc w:val="right"/>
            </w:pPr>
            <w:r>
              <w:rPr>
                <w:sz w:val="11"/>
              </w:rPr>
              <w:t>p = 0.695</w:t>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0.310 ± 0.079</w:t>
            </w:r>
          </w:p>
        </w:tc>
        <w:tc>
          <w:tcPr>
            <w:tcW w:w="750" w:type="dxa"/>
            <w:tcMar>
              <w:top w:w="12" w:type="dxa"/>
              <w:bottom w:w="12" w:type="dxa"/>
              <w:left w:w="8" w:type="dxa"/>
              <w:right w:w="8" w:type="dxa"/>
            </w:tcMar>
          </w:tcPr>
          <w:p>
            <w:pPr>
              <w:jc w:val="right"/>
            </w:pPr>
            <w:r>
              <w:rPr>
                <w:sz w:val="11"/>
              </w:rPr>
              <w:t>0.286 ± 0.071</w:t>
            </w:r>
          </w:p>
        </w:tc>
        <w:tc>
          <w:tcPr>
            <w:tcW w:w="700" w:type="dxa"/>
            <w:tcMar>
              <w:top w:w="12" w:type="dxa"/>
              <w:bottom w:w="12" w:type="dxa"/>
              <w:left w:w="8" w:type="dxa"/>
              <w:right w:w="8" w:type="dxa"/>
            </w:tcMar>
          </w:tcPr>
          <w:p>
            <w:pPr>
              <w:jc w:val="right"/>
            </w:pPr>
            <w:r>
              <w:rPr>
                <w:sz w:val="11"/>
              </w:rPr>
              <w:t>+0.072</w:t>
            </w:r>
          </w:p>
        </w:tc>
        <w:tc>
          <w:tcPr>
            <w:tcW w:w="1000" w:type="dxa"/>
            <w:tcMar>
              <w:top w:w="12" w:type="dxa"/>
              <w:bottom w:w="12" w:type="dxa"/>
              <w:left w:w="8" w:type="dxa"/>
              <w:right w:w="8" w:type="dxa"/>
            </w:tcMar>
          </w:tcPr>
          <w:p>
            <w:pPr>
              <w:jc w:val="right"/>
            </w:pPr>
            <w:r>
              <w:rPr>
                <w:sz w:val="11"/>
              </w:rPr>
              <w:t>p = 0.084</w:t>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0.237 ± 0.083</w:t>
            </w:r>
          </w:p>
        </w:tc>
        <w:tc>
          <w:tcPr>
            <w:tcW w:w="750" w:type="dxa"/>
            <w:tcMar>
              <w:top w:w="12" w:type="dxa"/>
              <w:bottom w:w="12" w:type="dxa"/>
              <w:left w:w="8" w:type="dxa"/>
              <w:right w:w="8" w:type="dxa"/>
            </w:tcMar>
          </w:tcPr>
          <w:p>
            <w:pPr>
              <w:jc w:val="right"/>
            </w:pPr>
            <w:r>
              <w:rPr>
                <w:sz w:val="11"/>
              </w:rPr>
              <w:t>0.214 ± 0.064</w:t>
            </w:r>
          </w:p>
        </w:tc>
        <w:tc>
          <w:tcPr>
            <w:tcW w:w="700" w:type="dxa"/>
            <w:tcMar>
              <w:top w:w="12" w:type="dxa"/>
              <w:bottom w:w="12" w:type="dxa"/>
              <w:left w:w="8" w:type="dxa"/>
              <w:right w:w="8" w:type="dxa"/>
            </w:tcMar>
          </w:tcPr>
          <w:p>
            <w:pPr>
              <w:jc w:val="right"/>
            </w:pPr>
            <w:r>
              <w:rPr>
                <w:sz w:val="11"/>
              </w:rPr>
              <w:t>+0.145</w:t>
            </w:r>
          </w:p>
        </w:tc>
        <w:tc>
          <w:tcPr>
            <w:tcW w:w="1000" w:type="dxa"/>
            <w:tcMar>
              <w:top w:w="12" w:type="dxa"/>
              <w:bottom w:w="12" w:type="dxa"/>
              <w:left w:w="8" w:type="dxa"/>
              <w:right w:w="8" w:type="dxa"/>
            </w:tcMar>
          </w:tcPr>
          <w:p>
            <w:pPr>
              <w:jc w:val="right"/>
            </w:pPr>
            <w:r>
              <w:rPr>
                <w:sz w:val="11"/>
              </w:rPr>
              <w:t>p = 0.002</w:t>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empirical topological regularizer against bottleneck over-squashing rather than a primary ranking driver (Δ = -0.002, p = 0.8457). The core empirical performance is driven by the triad of peer-relative opportunity formulation, temporal forecast bounds, and graph evidence support.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0.301</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0.262</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0.247</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0.228</w:t>
            </w:r>
          </w:p>
        </w:tc>
      </w:tr>
    </w:tbl>
    <w:p>
      <w:pPr>
        <w:keepNext/>
        <w:spacing w:before="50" w:after="20"/>
        <w:jc w:val="center"/>
      </w:pPr>
      <w:r>
        <w:drawing>
          <wp:inline xmlns:a="http://schemas.openxmlformats.org/drawingml/2006/main" xmlns:pic="http://schemas.openxmlformats.org/drawingml/2006/picture">
            <wp:extent cx="2834640" cy="1300003"/>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300003"/>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(0.0% ± 0.0%) while maintaining competitive targeting (NDCG@35 = 0.327 ± 0.077, P@35 = 0.286 ± 0.056); and Hybrid Absolute-Relative M-GATO curbs micro-merchant share to 47.7% ± 18.6% while preserving higher ranking performance (NDCG@35 = 0.374 ± 0.104, P@35 = 0.363 ± 0.102).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 (5) Nature of Opportunity Ground-Truth: HAMTA formalizes opportunity prioritization under Protocol A (Persistent Structural Underperformance Recovery), where downward performance divergence emerges during the monitoring period (Period 4) and continues into the campaign decision window (Period 5). The model detects underperformance exhibiting temporal continuity against peer capability baselines. Under Protocol B (Pure Ex-Ante Shocks), where an unobserved merchant suffers a sudden drop strictly in the future with zero historical precursor, no causal model conditioned purely on historical transactions can predict targets above random chance (14.6%) without covariate leading indicators.</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in our open-source GitHub repository.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D. Wang, Q. Yu, Z. Zhang, Y. Shen, J. Ma, W. Zhong, J. Gu, J. Zhou, S. Yang, and Y. Qi,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[14] T. N. Kipf and M. Welling, "Variational graph auto-encoders," in NIPS Workshop Bayesian Deep Learning, 2016.</w:t>
      </w:r>
    </w:p>
    <w:p>
      <w:pPr>
        <w:spacing w:after="10" w:line="228" w:lineRule="auto"/>
        <w:ind w:left="259" w:hanging="259"/>
        <w:jc w:val="both"/>
      </w:pPr>
      <w:r>
        <w:rPr>
          <w:sz w:val="13"/>
        </w:rPr>
        <w:t>[15] M. Tare, C. Rattasits, Y. Wu, and E. Wielewski, "Harnessing GraphSAGE for learning representations of massive transactional networks," in Graph-Based Representations in Pattern Recognition (GbRPR), Lecture Notes in Computer Science, vol. 14782, Springer, Cham, 2025, pp. 179–188.</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Y. Zheng, L. Yi, and Z. Wei, "A survey of dynamic graph neural networks," Front. Comput. Sci., vol. 19, no. 6, Article 196323,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vol. 2,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