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tl w:val="0"/>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rtl w:val="0"/>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rtl w:val="0"/>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rtl w:val="0"/>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rtl w:val="0"/>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rtl w:val="0"/>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rtl w:val="0"/>
          <w:szCs w:val="17"/>
        </w:rPr>
        <w:t>‎HAMTA‎</w:t>
      </w:r>
      <w:r>
        <w:rPr>
          <w:rFonts w:hint="cs" w:ascii="B Mitra" w:hAnsi="B Mitra" w:cs="B Mitra"/>
          <w:sz w:val="18"/>
          <w:rtl/>
          <w:szCs w:val="18"/>
        </w:rPr>
        <w:t xml:space="preserve"> با ثبت خطای میانگین ۴٫۴۸ تراکنش و دقت رتبه‌بندی ۳۶٫۶ درصد، به بهبود ۲٫۴۶ برابری نسبت به شانس تصادفی کل سبد (و ۲٫۱۰ برابری نسبت به جامعه کاندیداها)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rtl w:val="0"/>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rtl w:val="0"/>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rtl w:val="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rtl w:val="0"/>
          <w:szCs w:val="17"/>
        </w:rPr>
        <w:t>‎PSP‎</w:t>
      </w:r>
      <w:r>
        <w:rPr>
          <w:rFonts w:hint="cs" w:ascii="B Mitra" w:hAnsi="B Mitra" w:cs="B Mitra"/>
          <w:sz w:val="18"/>
          <w:rtl/>
          <w:szCs w:val="18"/>
        </w:rPr>
        <w:t xml:space="preserve">) روزانه صدها میلیون تراکنش را بر روی پایانه‌های فروش و درگاه‌های اینترنتی ثبت می‌کنند </w:t>
      </w:r>
      <w:r>
        <w:rPr>
          <w:rFonts w:ascii="Times New Roman" w:hAnsi="Times New Roman" w:cs="Times New Roman"/>
          <w:bidi w:val="0"/>
          <w:sz w:val="17"/>
          <w:rtl w:val="0"/>
          <w:szCs w:val="17"/>
        </w:rPr>
        <w:t>‎[1, 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rtl w:val="0"/>
          <w:szCs w:val="17"/>
        </w:rPr>
        <w:t>‎RFM‎</w:t>
      </w:r>
      <w:r>
        <w:rPr>
          <w:rFonts w:hint="cs" w:ascii="B Mitra" w:hAnsi="B Mitra" w:cs="B Mitra"/>
          <w:sz w:val="18"/>
          <w:rtl/>
          <w:szCs w:val="18"/>
        </w:rPr>
        <w:t xml:space="preserve"> استوار است </w:t>
      </w:r>
      <w:r>
        <w:rPr>
          <w:rFonts w:ascii="Times New Roman" w:hAnsi="Times New Roman" w:cs="Times New Roman"/>
          <w:bidi w:val="0"/>
          <w:sz w:val="17"/>
          <w:rtl w:val="0"/>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rtl w:val="0"/>
          <w:szCs w:val="17"/>
        </w:rPr>
        <w:t>‎Masked PAN‎</w:t>
      </w:r>
      <w:r>
        <w:rPr>
          <w:rFonts w:hint="cs" w:ascii="B Mitra" w:hAnsi="B Mitra" w:cs="B Mitra"/>
          <w:sz w:val="18"/>
          <w:rtl/>
          <w:szCs w:val="18"/>
        </w:rPr>
        <w:t>)، مبلغ تراکنش (</w:t>
      </w:r>
      <w:r>
        <w:rPr>
          <w:rFonts w:ascii="Times New Roman" w:hAnsi="Times New Roman" w:cs="Times New Roman"/>
          <w:bidi w:val="0"/>
          <w:sz w:val="17"/>
          <w:rtl w:val="0"/>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rtl w:val="0"/>
          <w:szCs w:val="17"/>
        </w:rPr>
        <w:t>‎PSP‎</w:t>
      </w:r>
      <w:r>
        <w:rPr>
          <w:rFonts w:hint="cs" w:ascii="B Mitra" w:hAnsi="B Mitra" w:cs="B Mitra"/>
          <w:sz w:val="18"/>
          <w:rtl/>
          <w:szCs w:val="18"/>
        </w:rPr>
        <w:t>، تاریخ و زمان (</w:t>
      </w:r>
      <w:r>
        <w:rPr>
          <w:rFonts w:ascii="Times New Roman" w:hAnsi="Times New Roman" w:cs="Times New Roman"/>
          <w:bidi w:val="0"/>
          <w:sz w:val="17"/>
          <w:rtl w:val="0"/>
          <w:szCs w:val="17"/>
        </w:rPr>
        <w:t>‎Create Date‎</w:t>
      </w:r>
      <w:r>
        <w:rPr>
          <w:rFonts w:hint="cs" w:ascii="B Mitra" w:hAnsi="B Mitra" w:cs="B Mitra"/>
          <w:sz w:val="18"/>
          <w:rtl/>
          <w:szCs w:val="18"/>
        </w:rPr>
        <w:t>) و صنف اقتصادی (</w:t>
      </w:r>
      <w:r>
        <w:rPr>
          <w:rFonts w:ascii="Times New Roman" w:hAnsi="Times New Roman" w:cs="Times New Roman"/>
          <w:bidi w:val="0"/>
          <w:sz w:val="17"/>
          <w:rtl w:val="0"/>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rtl w:val="0"/>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rtl w:val="0"/>
          <w:szCs w:val="17"/>
        </w:rPr>
        <w:t>‎[4, 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rtl w:val="0"/>
          <w:szCs w:val="17"/>
        </w:rPr>
        <w:t>‎[6, 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rtl w:val="0"/>
          <w:szCs w:val="17"/>
        </w:rPr>
        <w:t>‎[8]‎</w:t>
      </w:r>
      <w:r>
        <w:rPr>
          <w:rFonts w:hint="cs" w:ascii="B Mitra" w:hAnsi="B Mitra" w:cs="B Mitra"/>
          <w:sz w:val="18"/>
          <w:rtl/>
          <w:szCs w:val="18"/>
        </w:rPr>
        <w:t xml:space="preserve">، امتیاز </w:t>
      </w:r>
      <w:r>
        <w:rPr>
          <w:rFonts w:ascii="Times New Roman" w:hAnsi="Times New Roman" w:cs="Times New Roman"/>
          <w:bidi w:val="0"/>
          <w:sz w:val="17"/>
          <w:rtl w:val="0"/>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rtl w:val="0"/>
          <w:szCs w:val="17"/>
        </w:rPr>
        <w:t>‎CIKM 2019‎</w:t>
      </w:r>
      <w:r>
        <w:rPr>
          <w:rFonts w:hint="cs" w:ascii="B Mitra" w:hAnsi="B Mitra" w:cs="B Mitra"/>
          <w:sz w:val="18"/>
          <w:rtl/>
          <w:szCs w:val="18"/>
        </w:rPr>
        <w:t xml:space="preserve">) </w:t>
      </w:r>
      <w:r>
        <w:rPr>
          <w:rFonts w:ascii="Times New Roman" w:hAnsi="Times New Roman" w:cs="Times New Roman"/>
          <w:bidi w:val="0"/>
          <w:sz w:val="17"/>
          <w:rtl w:val="0"/>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rtl w:val="0"/>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rtl w:val="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rtl w:val="0"/>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rtl w:val="0"/>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rtl w:val="0"/>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rtl w:val="0"/>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rtl w:val="0"/>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rtl w:val="0"/>
          <w:szCs w:val="17"/>
        </w:rPr>
        <w:t>‎[14, 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rtl w:val="0"/>
          <w:szCs w:val="17"/>
        </w:rPr>
        <w:t>‎CIKM 2019‎</w:t>
      </w:r>
      <w:r>
        <w:rPr>
          <w:rFonts w:hint="cs" w:ascii="B Mitra" w:hAnsi="B Mitra" w:cs="B Mitra"/>
          <w:sz w:val="18"/>
          <w:rtl/>
          <w:szCs w:val="18"/>
        </w:rPr>
        <w:t xml:space="preserve">) </w:t>
      </w:r>
      <w:r>
        <w:rPr>
          <w:rFonts w:ascii="Times New Roman" w:hAnsi="Times New Roman" w:cs="Times New Roman"/>
          <w:bidi w:val="0"/>
          <w:sz w:val="17"/>
          <w:rtl w:val="0"/>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rtl w:val="0"/>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rtl w:val="0"/>
          <w:szCs w:val="17"/>
        </w:rPr>
        <w:t>‎TGAT [16]‎</w:t>
      </w:r>
      <w:r>
        <w:rPr>
          <w:rFonts w:hint="cs" w:ascii="B Mitra" w:hAnsi="B Mitra" w:cs="B Mitra"/>
          <w:sz w:val="18"/>
          <w:rtl/>
          <w:szCs w:val="18"/>
        </w:rPr>
        <w:t xml:space="preserve">، </w:t>
      </w:r>
      <w:r>
        <w:rPr>
          <w:rFonts w:ascii="Times New Roman" w:hAnsi="Times New Roman" w:cs="Times New Roman"/>
          <w:bidi w:val="0"/>
          <w:sz w:val="17"/>
          <w:rtl w:val="0"/>
          <w:szCs w:val="17"/>
        </w:rPr>
        <w:t>‎TGN [17]‎</w:t>
      </w:r>
      <w:r>
        <w:rPr>
          <w:rFonts w:hint="cs" w:ascii="B Mitra" w:hAnsi="B Mitra" w:cs="B Mitra"/>
          <w:sz w:val="18"/>
          <w:rtl/>
          <w:szCs w:val="18"/>
        </w:rPr>
        <w:t xml:space="preserve"> و </w:t>
      </w:r>
      <w:r>
        <w:rPr>
          <w:rFonts w:ascii="Times New Roman" w:hAnsi="Times New Roman" w:cs="Times New Roman"/>
          <w:bidi w:val="0"/>
          <w:sz w:val="17"/>
          <w:rtl w:val="0"/>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rtl w:val="0"/>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rtl w:val="0"/>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 xml:space="preserve">در شبکه‌های تراکنشی مالی، گره‌ها خوشه‌بندی‌های متراکم و گلوگاه‌های ساختاری تشکیل می‌دهند </w:t>
      </w:r>
      <w:r>
        <w:rPr>
          <w:rFonts w:ascii="Times New Roman" w:hAnsi="Times New Roman" w:cs="Times New Roman"/>
          <w:bidi w:val="0"/>
          <w:sz w:val="17"/>
          <w:rtl w:val="0"/>
          <w:szCs w:val="17"/>
        </w:rPr>
        <w:t>‎[20, 21]‎</w:t>
      </w:r>
      <w:r>
        <w:rPr>
          <w:rFonts w:hint="cs" w:ascii="B Mitra" w:hAnsi="B Mitra" w:cs="B Mitra"/>
          <w:sz w:val="18"/>
          <w:rtl/>
          <w:szCs w:val="18"/>
        </w:rPr>
        <w:t xml:space="preserve">. انحنای فرمن-ریچی </w:t>
      </w:r>
      <w:r>
        <w:rPr>
          <w:rFonts w:ascii="Times New Roman" w:hAnsi="Times New Roman" w:cs="Times New Roman"/>
          <w:bidi w:val="0"/>
          <w:sz w:val="17"/>
          <w:rtl w:val="0"/>
          <w:szCs w:val="17"/>
        </w:rPr>
        <w:t>‎[4, 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rtl w:val="0"/>
          <w:szCs w:val="17"/>
        </w:rPr>
        <w:t>‎Over-squashing‎</w:t>
      </w:r>
      <w:r>
        <w:rPr>
          <w:rFonts w:hint="cs" w:ascii="B Mitra" w:hAnsi="B Mitra" w:cs="B Mitra"/>
          <w:sz w:val="18"/>
          <w:rtl/>
          <w:szCs w:val="18"/>
        </w:rPr>
        <w:t xml:space="preserve">) در گراف عمل می‌کند </w:t>
      </w:r>
      <w:r>
        <w:rPr>
          <w:rFonts w:ascii="Times New Roman" w:hAnsi="Times New Roman" w:cs="Times New Roman"/>
          <w:bidi w:val="0"/>
          <w:sz w:val="17"/>
          <w:rtl w:val="0"/>
          <w:szCs w:val="17"/>
        </w:rPr>
        <w:t>‎[6, 7, 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rtl w:val="0"/>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rtl w:val="0"/>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rtl w:val="0"/>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rtl w:val="0"/>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rtl w:val="0"/>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rtl w:val="0"/>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rtl w:val="0"/>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rtl w:val="0"/>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rtl w:val="0"/>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rtl w:val="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rtl w:val="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rtl w:val="0"/>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rtl w:val="0"/>
          <w:szCs w:val="17"/>
        </w:rPr>
        <w:t>‎M-GATO‎</w:t>
      </w:r>
      <w:r>
        <w:rPr>
          <w:rFonts w:hint="cs" w:ascii="B Mitra" w:hAnsi="B Mitra" w:cs="B Mitra"/>
          <w:sz w:val="18"/>
          <w:rtl/>
          <w:szCs w:val="18"/>
        </w:rPr>
        <w:t xml:space="preserve"> (شکل (</w:t>
      </w:r>
      <w:r>
        <w:rPr>
          <w:rFonts w:ascii="Times New Roman" w:hAnsi="Times New Roman" w:cs="Times New Roman"/>
          <w:bidi w:val="0"/>
          <w:sz w:val="17"/>
          <w:rtl w:val="0"/>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1122406"/>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12240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rtl w:val="0"/>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rtl w:val="0"/>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rtl w:val="0"/>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rtl w:val="0"/>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rtl w:val="0"/>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rtl w:val="0"/>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rtl w:val="0"/>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rtl w:val="0"/>
          <w:szCs w:val="17"/>
        </w:rPr>
        <w:t>x</w:t>
      </w:r>
      <w:r>
        <w:rPr>
          <w:rFonts w:ascii="Times New Roman" w:hAnsi="Times New Roman" w:cs="Times New Roman"/>
          <w:bidi w:val="0"/>
          <w:sz w:val="17"/>
          <w:rtl w:val="0"/>
          <w:szCs w:val="17"/>
        </w:rPr>
        <w:t>_{m, t} ∈ ℝ</w:t>
      </w:r>
      <w:r>
        <w:rPr>
          <w:rFonts w:ascii="Times New Roman" w:hAnsi="Times New Roman" w:cs="Times New Roman"/>
          <w:bidi w:val="0"/>
          <w:sz w:val="17"/>
          <w:rtl w:val="0"/>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rtl w:val="0"/>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rtl w:val="0"/>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rtl w:val="0"/>
          <w:szCs w:val="17"/>
        </w:rPr>
        <w:t>Y</w:t>
      </w:r>
      <w:r>
        <w:rPr>
          <w:rFonts w:ascii="Times New Roman" w:hAnsi="Times New Roman" w:cs="Times New Roman"/>
          <w:bidi w:val="0"/>
          <w:sz w:val="17"/>
          <w:rtl w:val="0"/>
          <w:szCs w:val="17"/>
        </w:rPr>
        <w:t>_{m, t+1} ∈ ℕ</w:t>
      </w:r>
      <w:r>
        <w:rPr>
          <w:rFonts w:ascii="Times New Roman" w:hAnsi="Times New Roman" w:cs="Times New Roman"/>
          <w:bidi w:val="0"/>
          <w:sz w:val="17"/>
          <w:rtl w:val="0"/>
          <w:szCs w:val="17"/>
          <w:vertAlign w:val="subscript"/>
        </w:rPr>
        <w:t>0</w:t>
      </w:r>
      <w:r>
        <w:rPr>
          <w:rFonts w:ascii="Times New Roman" w:hAnsi="Times New Roman" w:cs="Times New Roman"/>
          <w:iCs/>
          <w:i/>
          <w:bidi w:val="0"/>
          <w:sz w:val="17"/>
          <w:rtl w:val="0"/>
          <w:szCs w:val="17"/>
        </w:rPr>
        <w:t>,   B</w:t>
      </w:r>
      <w:r>
        <w:rPr>
          <w:rFonts w:ascii="Times New Roman" w:hAnsi="Times New Roman" w:cs="Times New Roman"/>
          <w:bidi w:val="0"/>
          <w:sz w:val="17"/>
          <w:rtl w:val="0"/>
          <w:szCs w:val="17"/>
        </w:rPr>
        <w:t>^G_{m, t+1}</w:t>
      </w:r>
    </w:p>
    <w:p>
      <w:pPr>
        <w:pStyle w:val="Heading2"/>
        <w:spacing w:before="30" w:after="10"/>
      </w:pPr>
      <w:r>
        <w:rPr>
          <w:rFonts w:ascii="Times New Roman" w:hAnsi="Times New Roman" w:cs="Times New Roman"/>
          <w:bidi w:val="0"/>
          <w:sz w:val="18"/>
          <w:rtl w:val="0"/>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rtl w:val="0"/>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rtl w:val="0"/>
          <w:szCs w:val="17"/>
        </w:rPr>
        <w:t>G</w:t>
      </w:r>
      <w:r>
        <w:rPr>
          <w:rFonts w:ascii="Times New Roman" w:hAnsi="Times New Roman" w:cs="Times New Roman"/>
          <w:bidi w:val="0"/>
          <w:sz w:val="17"/>
          <w:rtl w:val="0"/>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rtl w:val="0"/>
          <w:szCs w:val="17"/>
        </w:rPr>
        <w:t>‎c‎</w:t>
      </w:r>
      <w:r>
        <w:rPr>
          <w:rFonts w:hint="cs" w:ascii="B Mitra" w:hAnsi="B Mitra" w:cs="B Mitra"/>
          <w:sz w:val="18"/>
          <w:rtl/>
          <w:szCs w:val="18"/>
        </w:rPr>
        <w:t xml:space="preserve"> در پایانه </w:t>
      </w:r>
      <w:r>
        <w:rPr>
          <w:rFonts w:ascii="Times New Roman" w:hAnsi="Times New Roman" w:cs="Times New Roman"/>
          <w:bidi w:val="0"/>
          <w:sz w:val="17"/>
          <w:rtl w:val="0"/>
          <w:szCs w:val="17"/>
        </w:rPr>
        <w:t>‎m‎</w:t>
      </w:r>
      <w:r>
        <w:rPr>
          <w:rFonts w:hint="cs" w:ascii="B Mitra" w:hAnsi="B Mitra" w:cs="B Mitra"/>
          <w:sz w:val="18"/>
          <w:rtl/>
          <w:szCs w:val="18"/>
        </w:rPr>
        <w:t xml:space="preserve"> در پنجره </w:t>
      </w:r>
      <w:r>
        <w:rPr>
          <w:rFonts w:ascii="Times New Roman" w:hAnsi="Times New Roman" w:cs="Times New Roman"/>
          <w:bidi w:val="0"/>
          <w:sz w:val="17"/>
          <w:rtl w:val="0"/>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rtl w:val="0"/>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rtl w:val="0"/>
          <w:szCs w:val="17"/>
        </w:rPr>
        <w:t>‎O(|M|^2)‎</w:t>
      </w:r>
      <w:r>
        <w:rPr>
          <w:rFonts w:hint="cs" w:ascii="B Mitra" w:hAnsi="B Mitra" w:cs="B Mitra"/>
          <w:sz w:val="18"/>
          <w:rtl/>
          <w:szCs w:val="18"/>
        </w:rPr>
        <w:t xml:space="preserve">، 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rtl w:val="0"/>
          <w:szCs w:val="17"/>
        </w:rPr>
        <w:t>‎I(c)‎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rtl w:val="0"/>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rtl w:val="0"/>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rtl w:val="0"/>
          <w:szCs w:val="17"/>
        </w:rPr>
        <w:t>‎O(|C_m| · d_card)‎</w:t>
      </w:r>
      <w:r>
        <w:rPr>
          <w:rFonts w:hint="cs" w:ascii="B Mitra" w:hAnsi="B Mitra" w:cs="B Mitra"/>
          <w:sz w:val="18"/>
          <w:rtl/>
          <w:szCs w:val="18"/>
        </w:rPr>
        <w:t xml:space="preserve"> استخراج می‌شود:</w:t>
      </w:r>
    </w:p>
    <w:p>
      <w:pPr>
        <w:pStyle w:val="FigureText"/>
        <w:spacing w:before="24" w:after="24" w:line="228" w:lineRule="auto"/>
        <w:ind w:left="170"/>
        <w:jc w:val="left"/>
        <w:bidi w:val="0"/>
      </w:pPr>
      <w:r>
        <w:rPr>
          <w:rFonts w:ascii="Times New Roman" w:hAnsi="Times New Roman" w:cs="Times New Roman"/>
          <w:bidi w:val="0"/>
          <w:sz w:val="17"/>
          <w:rtl w:val="0"/>
          <w:szCs w:val="17"/>
        </w:rPr>
        <w:t>C(m) = ⋃</w:t>
      </w:r>
      <w:r>
        <w:rPr>
          <w:rFonts w:ascii="Times New Roman" w:hAnsi="Times New Roman" w:cs="Times New Roman"/>
          <w:bidi w:val="0"/>
          <w:sz w:val="17"/>
          <w:rtl w:val="0"/>
          <w:szCs w:val="17"/>
          <w:vertAlign w:val="subscript"/>
        </w:rPr>
        <w:t>c ∈ C_m</w:t>
      </w:r>
      <w:r>
        <w:rPr>
          <w:rFonts w:ascii="Times New Roman" w:hAnsi="Times New Roman" w:cs="Times New Roman"/>
          <w:bidi w:val="0"/>
          <w:sz w:val="17"/>
          <w:rtl w:val="0"/>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rtl w:val="0"/>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rtl w:val="0"/>
                <w:szCs w:val="17"/>
              </w:rPr>
              <w:t>S(m, j) = λ · S</w:t>
            </w:r>
            <w:r>
              <w:rPr>
                <w:rFonts w:ascii="Times New Roman" w:hAnsi="Times New Roman" w:cs="Times New Roman"/>
                <w:bidi w:val="0"/>
                <w:sz w:val="17"/>
                <w:rtl w:val="0"/>
                <w:szCs w:val="17"/>
                <w:vertAlign w:val="subscript"/>
              </w:rPr>
              <w:t>covisit</w:t>
            </w:r>
            <w:r>
              <w:rPr>
                <w:rFonts w:ascii="Times New Roman" w:hAnsi="Times New Roman" w:cs="Times New Roman"/>
                <w:bidi w:val="0"/>
                <w:sz w:val="17"/>
                <w:rtl w:val="0"/>
                <w:szCs w:val="17"/>
              </w:rPr>
              <w:t>(m, j) + (1 – λ) · S</w:t>
            </w:r>
            <w:r>
              <w:rPr>
                <w:rFonts w:ascii="Times New Roman" w:hAnsi="Times New Roman" w:cs="Times New Roman"/>
                <w:bidi w:val="0"/>
                <w:sz w:val="17"/>
                <w:rtl w:val="0"/>
                <w:szCs w:val="17"/>
                <w:vertAlign w:val="subscript"/>
              </w:rPr>
              <w:t>category</w:t>
            </w:r>
            <w:r>
              <w:rPr>
                <w:rFonts w:ascii="Times New Roman" w:hAnsi="Times New Roman" w:cs="Times New Roman"/>
                <w:bidi w:val="0"/>
                <w:sz w:val="17"/>
                <w:rtl w:val="0"/>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rtl w:val="0"/>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rtl w:val="0"/>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rtl w:val="0"/>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rtl w:val="0"/>
          <w:szCs w:val="17"/>
        </w:rPr>
        <w:t>‎Top-K (K=6)‎</w:t>
      </w:r>
      <w:r>
        <w:rPr>
          <w:rFonts w:hint="cs" w:ascii="B Mitra" w:hAnsi="B Mitra" w:cs="B Mitra"/>
          <w:sz w:val="18"/>
          <w:rtl/>
          <w:szCs w:val="18"/>
        </w:rPr>
        <w:t xml:space="preserve"> را در مرتبه </w:t>
      </w:r>
      <w:r>
        <w:rPr>
          <w:rFonts w:ascii="Times New Roman" w:hAnsi="Times New Roman" w:cs="Times New Roman"/>
          <w:bidi w:val="0"/>
          <w:sz w:val="17"/>
          <w:rtl w:val="0"/>
          <w:szCs w:val="17"/>
        </w:rPr>
        <w:t>‎O(|C(m)| 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rtl w:val="0"/>
          <w:szCs w:val="17"/>
        </w:rPr>
        <w:t>‎O(|M|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rtl w:val="0"/>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rtl w:val="0"/>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rtl w:val="0"/>
          <w:szCs w:val="17"/>
        </w:rPr>
        <w:t>‎2‎</w:t>
      </w:r>
      <w:r>
        <w:rPr>
          <w:rFonts w:hint="cs" w:ascii="B Mitra" w:hAnsi="B Mitra" w:cs="B Mitra"/>
          <w:sz w:val="18"/>
          <w:rtl/>
          <w:szCs w:val="18"/>
        </w:rPr>
        <w:t xml:space="preserve">) به عنوان پالایش ساختاری محاسبه می‌شود </w:t>
      </w:r>
      <w:r>
        <w:rPr>
          <w:rFonts w:ascii="Times New Roman" w:hAnsi="Times New Roman" w:cs="Times New Roman"/>
          <w:bidi w:val="0"/>
          <w:sz w:val="17"/>
          <w:rtl w:val="0"/>
          <w:szCs w:val="17"/>
        </w:rPr>
        <w:t>‎[4, 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rtl w:val="0"/>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rtl w:val="0"/>
          <w:szCs w:val="17"/>
        </w:rPr>
        <w:t>‎d(m)‎</w:t>
      </w:r>
      <w:r>
        <w:rPr>
          <w:rFonts w:hint="cs" w:ascii="B Mitra" w:hAnsi="B Mitra" w:cs="B Mitra"/>
          <w:sz w:val="18"/>
          <w:rtl/>
          <w:szCs w:val="18"/>
        </w:rPr>
        <w:t xml:space="preserve"> درجه گره، </w:t>
      </w:r>
      <w:r>
        <w:rPr>
          <w:rFonts w:ascii="Times New Roman" w:hAnsi="Times New Roman" w:cs="Times New Roman"/>
          <w:bidi w:val="0"/>
          <w:sz w:val="17"/>
          <w:rtl w:val="0"/>
          <w:szCs w:val="17"/>
        </w:rPr>
        <w:t>‎Δ(m, j)‎</w:t>
      </w:r>
      <w:r>
        <w:rPr>
          <w:rFonts w:hint="cs" w:ascii="B Mitra" w:hAnsi="B Mitra" w:cs="B Mitra"/>
          <w:sz w:val="18"/>
          <w:rtl/>
          <w:szCs w:val="18"/>
        </w:rPr>
        <w:t xml:space="preserve">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rtl w:val="0"/>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rtl w:val="0"/>
                <w:szCs w:val="17"/>
              </w:rPr>
              <w:t>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 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rtl w:val="0"/>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rtl w:val="0"/>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rtl w:val="0"/>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rtl w:val="0"/>
          <w:szCs w:val="17"/>
        </w:rPr>
        <w:t>‎Y‎</w:t>
      </w:r>
      <w:r>
        <w:rPr>
          <w:rFonts w:ascii="Times New Roman" w:hAnsi="Times New Roman" w:cs="Times New Roman"/>
          <w:bidi w:val="0"/>
          <w:rtl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rtl w:val="0"/>
          <w:szCs w:val="17"/>
        </w:rPr>
        <w:t>‎(Var(Y)/E[Y]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rtl w:val="0"/>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L</w:t>
            </w:r>
            <w:r>
              <w:rPr>
                <w:rFonts w:ascii="Times New Roman" w:hAnsi="Times New Roman" w:cs="Times New Roman"/>
                <w:bidi w:val="0"/>
                <w:sz w:val="17"/>
                <w:rtl w:val="0"/>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rtl w:val="0"/>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rtl w:val="0"/>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rtl w:val="0"/>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rtl w:val="0"/>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rtl w:val="0"/>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rtl w:val="0"/>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rtl w:val="0"/>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rtl w:val="0"/>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rtl w:val="0"/>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جهت تطبیق دقیق با چولگی و ناهم‌واریانسی داده‌های شمارشی با توزیع بیش‌پراکنده، صدک‌های دم یک‌طرفه به صورت نامتقارن برای سقف طبیعی و کف محافظه‌کارانه همتایان واسنجی می‌شوند. پسماندهای یک‌طرفه صعودی نوسانات مثبت طبیعی را می‌سنجند </w:t>
      </w:r>
      <w:r>
        <w:rPr>
          <w:rFonts w:ascii="Times New Roman" w:hAnsi="Times New Roman" w:cs="Times New Roman"/>
          <w:bidi w:val="0"/>
          <w:sz w:val="17"/>
          <w:rtl w:val="0"/>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rtl w:val="0"/>
          <w:szCs w:val="17"/>
        </w:rPr>
        <w:t>R</w:t>
      </w:r>
      <w:r>
        <w:rPr>
          <w:rFonts w:ascii="Times New Roman" w:hAnsi="Times New Roman" w:cs="Times New Roman"/>
          <w:bidi w:val="0"/>
          <w:sz w:val="17"/>
          <w:rtl w:val="0"/>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rtl w:val="0"/>
          <w:szCs w:val="17"/>
        </w:rPr>
        <w:t>‎α = 0.15‎</w:t>
      </w:r>
      <w:r>
        <w:rPr>
          <w:rFonts w:hint="cs" w:ascii="B Mitra" w:hAnsi="B Mitra" w:cs="B Mitra"/>
          <w:sz w:val="18"/>
          <w:rtl/>
          <w:szCs w:val="18"/>
        </w:rPr>
        <w:t xml:space="preserve"> (پوشش هدف ۸۵٪ کران بالا)، صدک واسنجی‌شده صعودی استخراج شده و کران بالای طبیعی عملکرد پیش‌بینی مطابق رابطه (</w:t>
      </w:r>
      <w:r>
        <w:rPr>
          <w:rFonts w:ascii="Times New Roman" w:hAnsi="Times New Roman" w:cs="Times New Roman"/>
          <w:bidi w:val="0"/>
          <w:sz w:val="17"/>
          <w:rtl w:val="0"/>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rtl w:val="0"/>
          <w:szCs w:val="17"/>
        </w:rPr>
        <w:t>q</w:t>
      </w:r>
      <w:r>
        <w:rPr>
          <w:rFonts w:ascii="Times New Roman" w:hAnsi="Times New Roman" w:cs="Times New Roman"/>
          <w:bidi w:val="0"/>
          <w:sz w:val="17"/>
          <w:rtl w:val="0"/>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U</w:t>
            </w:r>
            <w:r>
              <w:rPr>
                <w:rFonts w:ascii="Times New Roman" w:hAnsi="Times New Roman" w:cs="Times New Roman"/>
                <w:bidi w:val="0"/>
                <w:sz w:val="17"/>
                <w:rtl w:val="0"/>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rtl w:val="0"/>
          <w:szCs w:val="17"/>
        </w:rPr>
        <w:t>‎Coverage = 86.2 ± 3.1‎</w:t>
      </w:r>
      <w:r>
        <w:rPr>
          <w:rFonts w:hint="cs" w:ascii="B Mitra" w:hAnsi="B Mitra" w:cs="B Mitra"/>
          <w:sz w:val="18"/>
          <w:rtl/>
          <w:szCs w:val="18"/>
        </w:rPr>
        <w:t>%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rtl w:val="0"/>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rtl w:val="0"/>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تعریف می‌گردد. به طور متقارن، پسماندهای یک‌طرفه نزولی </w:t>
      </w:r>
      <w:r>
        <w:rPr>
          <w:rFonts w:ascii="Times New Roman" w:hAnsi="Times New Roman" w:cs="Times New Roman"/>
          <w:bidi w:val="0"/>
          <w:sz w:val="17"/>
          <w:rtl w:val="0"/>
          <w:szCs w:val="17"/>
        </w:rPr>
        <w:t>‎R_j^- = max‎</w:t>
      </w:r>
      <w:r>
        <w:rPr>
          <w:rFonts w:hint="cs" w:ascii="B Mitra" w:hAnsi="B Mitra" w:cs="B Mitra"/>
          <w:sz w:val="18"/>
          <w:rtl/>
          <w:szCs w:val="18"/>
        </w:rPr>
        <w:t>(</w:t>
      </w:r>
      <w:r>
        <w:rPr>
          <w:rFonts w:ascii="Times New Roman" w:hAnsi="Times New Roman" w:cs="Times New Roman"/>
          <w:bidi w:val="0"/>
          <w:sz w:val="17"/>
          <w:rtl w:val="0"/>
          <w:szCs w:val="17"/>
        </w:rPr>
        <w:t>‎0‎</w:t>
      </w:r>
      <w:r>
        <w:rPr>
          <w:rFonts w:hint="cs" w:ascii="B Mitra" w:hAnsi="B Mitra" w:cs="B Mitra"/>
          <w:sz w:val="18"/>
          <w:rtl/>
          <w:szCs w:val="18"/>
        </w:rPr>
        <w:t xml:space="preserve">, </w:t>
      </w:r>
      <w:r>
        <w:rPr>
          <w:rFonts w:ascii="Times New Roman" w:hAnsi="Times New Roman" w:cs="Times New Roman"/>
          <w:bidi w:val="0"/>
          <w:sz w:val="17"/>
          <w:rtl w:val="0"/>
          <w:szCs w:val="17"/>
        </w:rPr>
        <w:t>‎μ̂_j - Y_j‎</w:t>
      </w:r>
      <w:r>
        <w:rPr>
          <w:rFonts w:hint="cs" w:ascii="B Mitra" w:hAnsi="B Mitra" w:cs="B Mitra"/>
          <w:sz w:val="18"/>
          <w:rtl/>
          <w:szCs w:val="18"/>
        </w:rPr>
        <w:t xml:space="preserve">) صدک مستقل دم پایین </w:t>
      </w:r>
      <w:r>
        <w:rPr>
          <w:rFonts w:ascii="Times New Roman" w:hAnsi="Times New Roman" w:cs="Times New Roman"/>
          <w:iCs/>
          <w:i/>
          <w:bidi w:val="0"/>
          <w:sz w:val="17"/>
          <w:rtl w:val="0"/>
          <w:szCs w:val="17"/>
        </w:rPr>
        <w:t>‎q‎</w:t>
      </w:r>
      <w:r>
        <w:rPr>
          <w:rFonts w:ascii="Times New Roman" w:hAnsi="Times New Roman" w:cs="Times New Roman"/>
          <w:bidi w:val="0"/>
          <w:rtl w:val="0"/>
          <w:sz w:val="17"/>
          <w:vertAlign w:val="subscript"/>
          <w:szCs w:val="17"/>
        </w:rPr>
        <w:t>‎0.85‎</w:t>
      </w:r>
      <w:r>
        <w:rPr>
          <w:rFonts w:hint="cs" w:ascii="B Mitra" w:hAnsi="B Mitra" w:cs="B Mitra"/>
          <w:sz w:val="18"/>
          <w:rtl/>
          <w:szCs w:val="18"/>
        </w:rPr>
        <w:t xml:space="preserve">^- = </w:t>
      </w:r>
      <w:r>
        <w:rPr>
          <w:rFonts w:ascii="Times New Roman" w:hAnsi="Times New Roman" w:cs="Times New Roman"/>
          <w:bidi w:val="0"/>
          <w:sz w:val="17"/>
          <w:rtl w:val="0"/>
          <w:szCs w:val="17"/>
        </w:rPr>
        <w:t>‎Quantile_‎</w:t>
      </w:r>
      <w:r>
        <w:rPr>
          <w:rFonts w:hint="cs" w:ascii="B Mitra" w:hAnsi="B Mitra" w:cs="B Mitra"/>
          <w:sz w:val="18"/>
          <w:rtl/>
          <w:szCs w:val="18"/>
        </w:rPr>
        <w:t>{</w:t>
      </w:r>
      <w:r>
        <w:rPr>
          <w:rFonts w:ascii="Times New Roman" w:hAnsi="Times New Roman" w:cs="Times New Roman"/>
          <w:bidi w:val="0"/>
          <w:sz w:val="17"/>
          <w:rtl w:val="0"/>
          <w:szCs w:val="17"/>
        </w:rPr>
        <w:t>‎0.85‎</w:t>
      </w:r>
      <w:r>
        <w:rPr>
          <w:rFonts w:hint="cs" w:ascii="B Mitra" w:hAnsi="B Mitra" w:cs="B Mitra"/>
          <w:sz w:val="18"/>
          <w:rtl/>
          <w:szCs w:val="18"/>
        </w:rPr>
        <w:t>}({</w:t>
      </w:r>
      <w:r>
        <w:rPr>
          <w:rFonts w:ascii="Times New Roman" w:hAnsi="Times New Roman" w:cs="Times New Roman"/>
          <w:bidi w:val="0"/>
          <w:sz w:val="17"/>
          <w:rtl w:val="0"/>
          <w:szCs w:val="17"/>
        </w:rPr>
        <w:t>‎R_j^‎</w:t>
      </w:r>
      <w:r>
        <w:rPr>
          <w:rFonts w:hint="cs" w:ascii="B Mitra" w:hAnsi="B Mitra" w:cs="B Mitra"/>
          <w:sz w:val="18"/>
          <w:rtl/>
          <w:szCs w:val="18"/>
        </w:rPr>
        <w:t>-}) را تعیین نموده و کران پایین محافظه‌کارانه همتا را به دست می‌دهند:</w:t>
      </w:r>
    </w:p>
    <w:p>
      <w:pPr>
        <w:pStyle w:val="FigureText"/>
        <w:spacing w:before="24" w:after="24" w:line="228" w:lineRule="auto"/>
        <w:ind w:left="170"/>
        <w:jc w:val="left"/>
        <w:bidi w:val="0"/>
      </w:pPr>
      <w:r>
        <w:rPr>
          <w:rFonts w:ascii="Times New Roman" w:hAnsi="Times New Roman" w:cs="Times New Roman"/>
          <w:iCs/>
          <w:i/>
          <w:bidi w:val="0"/>
          <w:sz w:val="17"/>
          <w:rtl w:val="0"/>
          <w:szCs w:val="17"/>
        </w:rPr>
        <w:t>L</w:t>
      </w:r>
      <w:r>
        <w:rPr>
          <w:rFonts w:ascii="Times New Roman" w:hAnsi="Times New Roman" w:cs="Times New Roman"/>
          <w:bidi w:val="0"/>
          <w:sz w:val="17"/>
          <w:rtl w:val="0"/>
          <w:szCs w:val="17"/>
        </w:rPr>
        <w:t>_j = max( 0 , μ̂_j - q_{0.85}^-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rtl w:val="0"/>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B</w:t>
            </w:r>
            <w:r>
              <w:rPr>
                <w:rFonts w:ascii="Times New Roman" w:hAnsi="Times New Roman" w:cs="Times New Roman"/>
                <w:bidi w:val="0"/>
                <w:sz w:val="17"/>
                <w:rtl w:val="0"/>
                <w:szCs w:val="17"/>
              </w:rPr>
              <w:t>^G_{m, t+1} = [ ∑</w:t>
            </w:r>
            <w:r>
              <w:rPr>
                <w:rFonts w:ascii="Times New Roman" w:hAnsi="Times New Roman" w:cs="Times New Roman"/>
                <w:bidi w:val="0"/>
                <w:sz w:val="17"/>
                <w:rtl w:val="0"/>
                <w:szCs w:val="17"/>
                <w:vertAlign w:val="subscript"/>
              </w:rPr>
              <w:t>j</w:t>
            </w:r>
            <w:r>
              <w:rPr>
                <w:rFonts w:ascii="Times New Roman" w:hAnsi="Times New Roman" w:cs="Times New Roman"/>
                <w:bidi w:val="0"/>
                <w:sz w:val="17"/>
                <w:rtl w:val="0"/>
                <w:szCs w:val="17"/>
              </w:rPr>
              <w:t xml:space="preserve"> 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 L</w:t>
            </w:r>
            <w:r>
              <w:rPr>
                <w:rFonts w:ascii="Times New Roman" w:hAnsi="Times New Roman" w:cs="Times New Roman"/>
                <w:bidi w:val="0"/>
                <w:sz w:val="17"/>
                <w:rtl w:val="0"/>
                <w:szCs w:val="17"/>
                <w:vertAlign w:val="subscript"/>
              </w:rPr>
              <w:t>j, t+1</w:t>
            </w:r>
            <w:r>
              <w:rPr>
                <w:rFonts w:ascii="Times New Roman" w:hAnsi="Times New Roman" w:cs="Times New Roman"/>
                <w:bidi w:val="0"/>
                <w:sz w:val="17"/>
                <w:rtl w:val="0"/>
                <w:szCs w:val="17"/>
              </w:rPr>
              <w:t xml:space="preserve"> ] / [ ∑</w:t>
            </w:r>
            <w:r>
              <w:rPr>
                <w:rFonts w:ascii="Times New Roman" w:hAnsi="Times New Roman" w:cs="Times New Roman"/>
                <w:bidi w:val="0"/>
                <w:sz w:val="17"/>
                <w:rtl w:val="0"/>
                <w:szCs w:val="17"/>
                <w:vertAlign w:val="subscript"/>
              </w:rPr>
              <w:t>j</w:t>
            </w:r>
            <w:r>
              <w:rPr>
                <w:rFonts w:ascii="Times New Roman" w:hAnsi="Times New Roman" w:cs="Times New Roman"/>
                <w:bidi w:val="0"/>
                <w:sz w:val="17"/>
                <w:rtl w:val="0"/>
                <w:szCs w:val="17"/>
              </w:rPr>
              <w:t xml:space="preserve"> w̃</w:t>
            </w:r>
            <w:r>
              <w:rPr>
                <w:rFonts w:ascii="Times New Roman" w:hAnsi="Times New Roman" w:cs="Times New Roman"/>
                <w:bidi w:val="0"/>
                <w:sz w:val="17"/>
                <w:rtl w:val="0"/>
                <w:szCs w:val="17"/>
                <w:vertAlign w:val="subscript"/>
              </w:rPr>
              <w:t>mj</w:t>
            </w:r>
            <w:r>
              <w:rPr>
                <w:rFonts w:ascii="Times New Roman" w:hAnsi="Times New Roman" w:cs="Times New Roman"/>
                <w:bidi w:val="0"/>
                <w:sz w:val="17"/>
                <w:rtl w:val="0"/>
                <w:szCs w:val="17"/>
              </w:rPr>
              <w:t xml:space="preserve"> ]</w:t>
            </w:r>
          </w:p>
        </w:tc>
      </w:tr>
    </w:tbl>
    <w:p>
      <w:pPr>
        <w:pStyle w:val="Heading2"/>
        <w:spacing w:before="30" w:after="10"/>
      </w:pPr>
      <w:r>
        <w:rPr>
          <w:rFonts w:ascii="Times New Roman" w:hAnsi="Times New Roman" w:cs="Times New Roman"/>
          <w:bidi w:val="0"/>
          <w:sz w:val="18"/>
          <w:rtl w:val="0"/>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rtl w:val="0"/>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rtl w:val="0"/>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Q</w:t>
            </w:r>
            <w:r>
              <w:rPr>
                <w:rFonts w:ascii="Times New Roman" w:hAnsi="Times New Roman" w:cs="Times New Roman"/>
                <w:bidi w:val="0"/>
                <w:sz w:val="17"/>
                <w:rtl w:val="0"/>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rtl w:val="0"/>
                <w:szCs w:val="17"/>
              </w:rPr>
              <w:t>M-GATO</w:t>
            </w:r>
            <w:r>
              <w:rPr>
                <w:rFonts w:ascii="Times New Roman" w:hAnsi="Times New Roman" w:cs="Times New Roman"/>
                <w:bidi w:val="0"/>
                <w:sz w:val="17"/>
                <w:rtl w:val="0"/>
                <w:szCs w:val="17"/>
              </w:rPr>
              <w:t>_{m, t} = Q_{m, t} · [ ( B^G_{m, t+1} – U_{m, t+1} ) / ( B^G_{m, t+1} + ε ) ]_+</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rtl w:val="0"/>
          <w:szCs w:val="17"/>
        </w:rPr>
        <w:t>‎[x]_+ = max(0, x)‎</w:t>
      </w:r>
      <w:r>
        <w:rPr>
          <w:rFonts w:hint="cs" w:ascii="B Mitra" w:hAnsi="B Mitra" w:cs="B Mitra"/>
          <w:sz w:val="18"/>
          <w:rtl/>
          <w:szCs w:val="18"/>
        </w:rPr>
        <w:t xml:space="preserve">، </w:t>
      </w:r>
      <w:r>
        <w:rPr>
          <w:rFonts w:ascii="Times New Roman" w:hAnsi="Times New Roman" w:cs="Times New Roman"/>
          <w:iCs/>
          <w:i/>
          <w:bidi w:val="0"/>
          <w:sz w:val="17"/>
          <w:rtl w:val="0"/>
          <w:szCs w:val="17"/>
        </w:rPr>
        <w:t>‎O‎</w:t>
      </w:r>
      <w:r>
        <w:rPr>
          <w:rFonts w:ascii="Times New Roman" w:hAnsi="Times New Roman" w:cs="Times New Roman"/>
          <w:bidi w:val="0"/>
          <w:rtl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rtl w:val="0"/>
          <w:szCs w:val="17"/>
        </w:rPr>
        <w:t>‎Top-K‎</w:t>
      </w:r>
      <w:r>
        <w:rPr>
          <w:rFonts w:hint="cs" w:ascii="B Mitra" w:hAnsi="B Mitra" w:cs="B Mitra"/>
          <w:sz w:val="18"/>
          <w:rtl/>
          <w:szCs w:val="18"/>
        </w:rPr>
        <w:t xml:space="preserve"> و </w:t>
      </w:r>
      <w:r>
        <w:rPr>
          <w:rFonts w:ascii="Times New Roman" w:hAnsi="Times New Roman" w:cs="Times New Roman"/>
          <w:bidi w:val="0"/>
          <w:sz w:val="17"/>
          <w:rtl w:val="0"/>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rtl w:val="0"/>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rtl w:val="0"/>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rtl w:val="0"/>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rtl w:val="0"/>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rtl w:val="0"/>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rtl w:val="0"/>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rtl w:val="0"/>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rtl w:val="0"/>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rtl w:val="0"/>
          <w:szCs w:val="17"/>
        </w:rPr>
        <w:t>‎Q‎</w:t>
      </w:r>
      <w:r>
        <w:rPr>
          <w:rFonts w:ascii="Times New Roman" w:hAnsi="Times New Roman" w:cs="Times New Roman"/>
          <w:bidi w:val="0"/>
          <w:rtl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rtl w:val="0"/>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rtl w:val="0"/>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rtl w:val="0"/>
          <w:szCs w:val="17"/>
        </w:rPr>
        <w:t>‎μ̂ = 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rtl w:val="0"/>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rtl w:val="0"/>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rtl w:val="0"/>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rtl w:val="0"/>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rtl w:val="0"/>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rtl w:val="0"/>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597755"/>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59775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rtl w:val="0"/>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rtl w:val="0"/>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rtl w:val="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یک پذیرنده دارای برچسب فرصت (</w:t>
      </w:r>
      <w:r>
        <w:rPr>
          <w:rFonts w:ascii="Times New Roman" w:hAnsi="Times New Roman" w:cs="Times New Roman"/>
          <w:bidi w:val="0"/>
          <w:sz w:val="17"/>
          <w:rtl w:val="0"/>
          <w:szCs w:val="17"/>
        </w:rPr>
        <w:t>‎Opportunity(m)‎</w:t>
      </w:r>
      <w:r>
        <w:rPr>
          <w:rFonts w:hint="cs" w:ascii="B Mitra" w:hAnsi="B Mitra" w:cs="B Mitra"/>
          <w:sz w:val="18"/>
          <w:rtl/>
          <w:szCs w:val="18"/>
        </w:rPr>
        <w:t xml:space="preserve"> = </w:t>
      </w:r>
      <w:r>
        <w:rPr>
          <w:rFonts w:ascii="Times New Roman" w:hAnsi="Times New Roman" w:cs="Times New Roman"/>
          <w:bidi w:val="0"/>
          <w:sz w:val="17"/>
          <w:rtl w:val="0"/>
          <w:szCs w:val="17"/>
        </w:rPr>
        <w:t>‎1‎</w:t>
      </w:r>
      <w:r>
        <w:rPr>
          <w:rFonts w:hint="cs" w:ascii="B Mitra" w:hAnsi="B Mitra" w:cs="B Mitra"/>
          <w:sz w:val="18"/>
          <w:rtl/>
          <w:szCs w:val="18"/>
        </w:rPr>
        <w:t xml:space="preserve">) است اگر و تنها اگر افت ساختاری برون‌زای </w:t>
      </w:r>
      <w:r>
        <w:rPr>
          <w:rFonts w:ascii="Times New Roman" w:hAnsi="Times New Roman" w:cs="Times New Roman"/>
          <w:bidi w:val="0"/>
          <w:sz w:val="17"/>
          <w:rtl w:val="0"/>
          <w:szCs w:val="17"/>
        </w:rPr>
        <w:t>‎d &gt; 0‎</w:t>
      </w:r>
      <w:r>
        <w:rPr>
          <w:rFonts w:hint="cs" w:ascii="B Mitra" w:hAnsi="B Mitra" w:cs="B Mitra"/>
          <w:sz w:val="18"/>
          <w:rtl/>
          <w:szCs w:val="18"/>
        </w:rPr>
        <w:t xml:space="preserve"> در نرخ تولید تراکنش آن از دوره پایش ۴ آغاز شده و در دوره آزمون ۵ تداوم یافته باشد. دقیقاً تعداد ۵۲ پذیرنده از ۳۵۰ پذیرنده (۱۴٫۹٪) با نمونه‌گیری طبقه‌بندی‌شده از میان کاندیداهای دارای بنچ‌مارک فعال همتایان (میانگین ۲۹۹ پذیرنده در ۱۰ سید با شانس تصادفی درون‌جامعه‌ای ۱۷٫۴٪) در تمامی اصناف به عنوان هدف تعیین شدند. هم‌پوشانی هدف-همتا پایین بوده و به طور میانگین تنها ۱۱٫۸٪ از همتایان یک هدف، خودشان هدف هستند. سناریوها شامل الف (افت ۱۸٪ با نویز ۳٫۰)، ب (افت ۳۲٪ با نویز ۱٫۸) و ج (افت ۴۸٪ با نویز ۰٫۹) هستند. در سناریوی شاهد منفی (</w:t>
      </w:r>
      <w:r>
        <w:rPr>
          <w:rFonts w:ascii="Times New Roman" w:hAnsi="Times New Roman" w:cs="Times New Roman"/>
          <w:bidi w:val="0"/>
          <w:sz w:val="17"/>
          <w:rtl w:val="0"/>
          <w:szCs w:val="17"/>
        </w:rPr>
        <w:t>‎Scenario 0‎</w:t>
      </w:r>
      <w:r>
        <w:rPr>
          <w:rFonts w:hint="cs" w:ascii="B Mitra" w:hAnsi="B Mitra" w:cs="B Mitra"/>
          <w:sz w:val="18"/>
          <w:rtl/>
          <w:szCs w:val="18"/>
        </w:rPr>
        <w:t>)، مقدار افت برای تمامی پذیرندگان صفر بوده تا وضعیت عدم وجود مثبت واقعی (</w:t>
      </w:r>
      <w:r>
        <w:rPr>
          <w:rFonts w:ascii="Times New Roman" w:hAnsi="Times New Roman" w:cs="Times New Roman"/>
          <w:bidi w:val="0"/>
          <w:sz w:val="17"/>
          <w:rtl w:val="0"/>
          <w:szCs w:val="17"/>
        </w:rPr>
        <w:t>‎TP = 0‎</w:t>
      </w:r>
      <w:r>
        <w:rPr>
          <w:rFonts w:hint="cs" w:ascii="B Mitra" w:hAnsi="B Mitra" w:cs="B Mitra"/>
          <w:sz w:val="18"/>
          <w:rtl/>
          <w:szCs w:val="18"/>
        </w:rPr>
        <w:t>) جهت ارزیابی نرخ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rtl w:val="0"/>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rtl w:val="0"/>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rtl w:val="0"/>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rtl w:val="0"/>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rtl w:val="0"/>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rtl w:val="0"/>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rtl w:val="0"/>
          <w:szCs w:val="17"/>
        </w:rPr>
        <w:t>‎K ∈ [3, 10]‎</w:t>
      </w:r>
      <w:r>
        <w:rPr>
          <w:rFonts w:hint="cs" w:ascii="B Mitra" w:hAnsi="B Mitra" w:cs="B Mitra"/>
          <w:sz w:val="18"/>
          <w:rtl/>
          <w:szCs w:val="18"/>
        </w:rPr>
        <w:t xml:space="preserve"> (دامنه </w:t>
      </w:r>
      <w:r>
        <w:rPr>
          <w:rFonts w:ascii="Times New Roman" w:hAnsi="Times New Roman" w:cs="Times New Roman"/>
          <w:bidi w:val="0"/>
          <w:sz w:val="17"/>
          <w:rtl w:val="0"/>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rtl w:val="0"/>
          <w:szCs w:val="17"/>
        </w:rPr>
        <w:t>‎η ∈ [0.0, 0.5]‎</w:t>
      </w:r>
      <w:r>
        <w:rPr>
          <w:rFonts w:hint="cs" w:ascii="B Mitra" w:hAnsi="B Mitra" w:cs="B Mitra"/>
          <w:sz w:val="18"/>
          <w:rtl/>
          <w:szCs w:val="18"/>
        </w:rPr>
        <w:t xml:space="preserve"> (دامنه </w:t>
      </w:r>
      <w:r>
        <w:rPr>
          <w:rFonts w:ascii="Times New Roman" w:hAnsi="Times New Roman" w:cs="Times New Roman"/>
          <w:bidi w:val="0"/>
          <w:sz w:val="17"/>
          <w:rtl w:val="0"/>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rtl w:val="0"/>
          <w:szCs w:val="17"/>
        </w:rPr>
        <w:t>‎κ ∈ [10, 30]‎</w:t>
      </w:r>
      <w:r>
        <w:rPr>
          <w:rFonts w:hint="cs" w:ascii="B Mitra" w:hAnsi="B Mitra" w:cs="B Mitra"/>
          <w:sz w:val="18"/>
          <w:rtl/>
          <w:szCs w:val="18"/>
        </w:rPr>
        <w:t xml:space="preserve"> (دامنه </w:t>
      </w:r>
      <w:r>
        <w:rPr>
          <w:rFonts w:ascii="Times New Roman" w:hAnsi="Times New Roman" w:cs="Times New Roman"/>
          <w:bidi w:val="0"/>
          <w:sz w:val="17"/>
          <w:rtl w:val="0"/>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rtl w:val="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rtl w:val="0"/>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rtl w:val="0"/>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rtl w:val="0"/>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rtl w:val="0"/>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rtl w:val="0"/>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۴٫۴۱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۵٫۷۸ ± ۰٫۳۷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۳۲٫۴۰ ± ۱٫۴۹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۳٫۵۱ ± ۰٫۱۹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۴٫۵۸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۲۶٫۰۵ ± ۱٫۰۳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۳٫۴۱ ± ۰٫۱۶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۴٫۴۶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۲۵٫۴۲ ± ۰٫۹۲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‎Tabular GBDT‎</w:t>
            </w:r>
            <w:r>
              <w:rPr>
                <w:rFonts w:hint="cs" w:ascii="B Mitra" w:hAnsi="B Mitra" w:cs="B Mitra"/>
                <w:sz w:val="11"/>
                <w:rtl/>
                <w:szCs w:val="11"/>
              </w:rPr>
              <w:t xml:space="preserve"> (جدولی </w:t>
            </w:r>
            <w:r>
              <w:rPr>
                <w:rFonts w:ascii="Times New Roman" w:hAnsi="Times New Roman" w:cs="Times New Roman"/>
                <w:bidi w:val="0"/>
                <w:sz w:val="11"/>
                <w:rtl w:val="0"/>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۳٫۸۹ ± 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۵٫۳۱ ± ۰٫۴۲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۲۷٫۶۸ ± ۰٫۷۹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‎NB-GLM‎</w:t>
            </w:r>
            <w:r>
              <w:rPr>
                <w:rFonts w:hint="cs" w:ascii="B Mitra" w:hAnsi="B Mitra" w:cs="B Mitra"/>
                <w:sz w:val="11"/>
                <w:rtl/>
                <w:szCs w:val="11"/>
              </w:rPr>
              <w:t xml:space="preserve"> (اثرات صنف)</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۳٫۷۸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۴٫۹۶ ± ۰٫۳۸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۲۷٫۵۵ ± ۱٫۰۶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۳٫۱۷ ± ۰٫۰۲</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rtl w:val="0"/>
                <w:szCs w:val="11"/>
              </w:rPr>
              <w:t>‎Static GNN‎</w:t>
            </w:r>
            <w:r>
              <w:rPr>
                <w:rFonts w:hint="cs" w:ascii="B Mitra" w:hAnsi="B Mitra" w:cs="B Mitra"/>
                <w:sz w:val="11"/>
                <w:rtl/>
                <w:szCs w:val="11"/>
              </w:rPr>
              <w:t xml:space="preserve"> (گراف ایستا)</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۵٫۹۸ ± ۰٫۵۴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۷٫۵۶ ± ۰٫۷۷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۳۸٫۶۷ ± ۲٫۱۳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۳٫۳۱ ± ۰٫۰۳</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rtl w:val="0"/>
                <w:szCs w:val="11"/>
              </w:rPr>
              <w:t>‎HAMTA Temporal‎</w:t>
            </w:r>
            <w:r>
              <w:rPr>
                <w:rFonts w:hint="cs" w:ascii="B Mitra" w:hAnsi="B Mitra" w:cs="B Mitra"/>
                <w:bCs/>
                <w:b/>
                <w:sz w:val="11"/>
                <w:rtl/>
                <w:szCs w:val="11"/>
              </w:rPr>
              <w:t xml:space="preserve"> (پیشنهادی)</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۴٫۴۸ ± ۰٫۴۲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۵٫۸۶ ± ۰٫۵۸</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۳۱٫۳۷ ± ۲٫۱۱</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۳٫۵۱ ± ۰٫۳۱</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rtl w:val="0"/>
          <w:szCs w:val="17"/>
        </w:rPr>
        <w:t>‎HAMTA‎</w:t>
      </w:r>
      <w:r>
        <w:rPr>
          <w:rFonts w:hint="cs" w:ascii="B Mitra" w:hAnsi="B Mitra" w:cs="B Mitra"/>
          <w:sz w:val="18"/>
          <w:rtl/>
          <w:szCs w:val="18"/>
        </w:rPr>
        <w:t xml:space="preserve"> به خطای </w:t>
      </w:r>
      <w:r>
        <w:rPr>
          <w:rFonts w:ascii="Times New Roman" w:hAnsi="Times New Roman" w:cs="Times New Roman"/>
          <w:bidi w:val="0"/>
          <w:sz w:val="17"/>
          <w:rtl w:val="0"/>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rtl w:val="0"/>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rtl w:val="0"/>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rtl w:val="0"/>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rtl w:val="0"/>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rtl w:val="0"/>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۰٫۱۹۴ ± ۰٫۰۵۲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۰٫۰۳۰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۰٫۲۲۰ ± ۰٫۰۵۴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۰٫۱۴۸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۰٫۲۰۲ ± ۰٫۰۳۲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۰٫۲۴۵ ± ۰٫۰۷۴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۰٫۰۴۹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rtl w:val="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۰٫۲۳۱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۰٫۱۵۶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۰٫۲۲۱ ± ۰٫۰۳۵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۰٫۲۴۱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۰٫۰۸۰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شکاف گراف ایستا</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۰٫۲۸۷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۰٫۱۲۴ ± ۰٫۰۵۵</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۰٫۳۲۳ ± ۰٫۰۷۵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۰٫۱۷۱ ± ۰٫۰۵۸</w:t>
            </w:r>
          </w:p>
        </w:tc>
      </w:tr>
      <w:tr>
        <w:trPr>
          <w:cantSplit/>
        </w:trPr>
        <w:tc>
          <w:tcPr>
            <w:tcW w:w="120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‎M-GATO‎</w:t>
            </w:r>
            <w:r>
              <w:rPr>
                <w:rFonts w:hint="cs" w:ascii="B Mitra" w:hAnsi="B Mitra" w:cs="B Mitra"/>
                <w:sz w:val="10"/>
                <w:rtl/>
                <w:szCs w:val="10"/>
              </w:rPr>
              <w:t xml:space="preserve"> (بدون </w:t>
            </w:r>
            <w:r>
              <w:rPr>
                <w:rFonts w:ascii="Times New Roman" w:hAnsi="Times New Roman" w:cs="Times New Roman"/>
                <w:bidi w:val="0"/>
                <w:sz w:val="10"/>
                <w:rtl w:val="0"/>
                <w:szCs w:val="10"/>
              </w:rPr>
              <w:t>‎Q‎</w:t>
            </w:r>
            <w:r>
              <w:rPr>
                <w:rFonts w:hint="cs" w:ascii="B Mitra" w:hAnsi="B Mitra" w:cs="B Mitra"/>
                <w:sz w:val="10"/>
                <w:rtl/>
                <w:szCs w:val="10"/>
              </w:rPr>
              <w: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۰٫۲۵۲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۰٫۳۴۲ ± ۰٫۰۶۹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۰٫۱۸۴ ± ۰٫۰۸۳</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پیشنهادی </w:t>
            </w:r>
            <w:r>
              <w:rPr>
                <w:rFonts w:ascii="Times New Roman" w:hAnsi="Times New Roman" w:cs="Times New Roman"/>
                <w:bCs/>
                <w:b/>
                <w:bidi w:val="0"/>
                <w:sz w:val="10"/>
                <w:rtl w:val="0"/>
                <w:szCs w:val="10"/>
              </w:rPr>
              <w:t>‎HAMTA‎</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۰٫۲۴۶ ± ۰٫۰۸۱</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۰٫۳۴۲ ± ۰٫۰۷۷</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۰٫۱۸۰ ± ۰٫۰۹۲</w:t>
            </w:r>
          </w:p>
        </w:tc>
      </w:tr>
    </w:tbl>
    <w:p>
      <w:pPr>
        <w:pStyle w:val="FigureText"/>
        <w:keepNext/>
        <w:spacing w:before="16" w:after="6"/>
        <w:jc w:val="center"/>
      </w:pPr>
      <w:r>
        <w:drawing>
          <wp:inline xmlns:a="http://schemas.openxmlformats.org/drawingml/2006/main" xmlns:pic="http://schemas.openxmlformats.org/drawingml/2006/picture">
            <wp:extent cx="2736000" cy="1078615"/>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07861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rtl w:val="0"/>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۵۲ پذیرنده از ۳۵۰ پذیرنده (شانس تصادفی کل سبد معادل ۰٫۱۴۸۶ یا ۱۴٫۹٪، و شانس تصادفی جامعه کاندیداها معادل ۱۷٫۴٪)، نتایج جدول (</w:t>
      </w:r>
      <w:r>
        <w:rPr>
          <w:rFonts w:ascii="Times New Roman" w:hAnsi="Times New Roman" w:cs="Times New Roman"/>
          <w:bidi w:val="0"/>
          <w:sz w:val="17"/>
          <w:rtl w:val="0"/>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rtl w:val="0"/>
          <w:szCs w:val="17"/>
        </w:rPr>
        <w:t>‎HAMTA‎</w:t>
      </w:r>
      <w:r>
        <w:rPr>
          <w:rFonts w:hint="cs" w:ascii="B Mitra" w:hAnsi="B Mitra" w:cs="B Mitra"/>
          <w:sz w:val="18"/>
          <w:rtl/>
          <w:szCs w:val="18"/>
        </w:rPr>
        <w:t xml:space="preserve"> با </w:t>
      </w:r>
      <w:r>
        <w:rPr>
          <w:rFonts w:ascii="Times New Roman" w:hAnsi="Times New Roman" w:cs="Times New Roman"/>
          <w:bidi w:val="0"/>
          <w:sz w:val="17"/>
          <w:rtl w:val="0"/>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rtl w:val="0"/>
          <w:szCs w:val="17"/>
        </w:rPr>
        <w:t>‎Recall@35‎</w:t>
      </w:r>
      <w:r>
        <w:rPr>
          <w:rFonts w:hint="cs" w:ascii="B Mitra" w:hAnsi="B Mitra" w:cs="B Mitra"/>
          <w:sz w:val="18"/>
          <w:rtl/>
          <w:szCs w:val="18"/>
        </w:rPr>
        <w:t xml:space="preserve"> معادل ۰٫۲۴۶ ± ۰٫۰۸۱ (با سقف نظری ۰٫۶۷۳ برای ۳۵ جایگاه از ۵۲ هدف: ۳۵/۵۲ = ۰٫۶۷۳)، </w:t>
      </w:r>
      <w:r>
        <w:rPr>
          <w:rFonts w:ascii="Times New Roman" w:hAnsi="Times New Roman" w:cs="Times New Roman"/>
          <w:bidi w:val="0"/>
          <w:sz w:val="17"/>
          <w:rtl w:val="0"/>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rtl w:val="0"/>
          <w:szCs w:val="17"/>
        </w:rPr>
        <w:t>‎R-Precision‎</w:t>
      </w:r>
      <w:r>
        <w:rPr>
          <w:rFonts w:hint="cs" w:ascii="B Mitra" w:hAnsi="B Mitra" w:cs="B Mitra"/>
          <w:sz w:val="18"/>
          <w:rtl/>
          <w:szCs w:val="18"/>
        </w:rPr>
        <w:t xml:space="preserve"> معادل ۰٫۳۴۲ ± ۰٫۰۷۷، به ضریب برتری ۲٫۴۶ برابری نسبت به انتخاب تصادفی کل سبد (و ۲٫۱۰ برابری نسبت به خط‌مبنای تصادفی درون‌جامعه کاندیداها) دست می‌یابد.</w:t>
      </w:r>
    </w:p>
    <w:p>
      <w:pPr>
        <w:pStyle w:val="Heading2"/>
        <w:spacing w:before="30" w:after="10"/>
      </w:pPr>
      <w:r>
        <w:rPr>
          <w:rFonts w:ascii="Times New Roman" w:hAnsi="Times New Roman" w:cs="Times New Roman"/>
          <w:bidi w:val="0"/>
          <w:sz w:val="18"/>
          <w:rtl w:val="0"/>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rtl w:val="0"/>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rtl w:val="0"/>
          <w:szCs w:val="17"/>
        </w:rPr>
        <w:t>‎K ∈ {۱۰, ۲۰, ۳۵, ۵۰}‎</w:t>
      </w:r>
      <w:r>
        <w:rPr>
          <w:rFonts w:hint="cs" w:ascii="B Mitra" w:hAnsi="B Mitra" w:cs="B Mitra"/>
          <w:sz w:val="18"/>
          <w:rtl/>
          <w:szCs w:val="18"/>
        </w:rPr>
        <w:t xml:space="preserve">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rtl w:val="0"/>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rtl w:val="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rtl w:val="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rtl w:val="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rtl w:val="0"/>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rtl w:val="0"/>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rtl w:val="0"/>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rtl w:val="0"/>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rtl w:val="0"/>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rtl w:val="0"/>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rtl w:val="0"/>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rtl w:val="0"/>
          <w:szCs w:val="17"/>
        </w:rPr>
        <w:t>‎K = 35‎</w:t>
      </w:r>
      <w:r>
        <w:rPr>
          <w:rFonts w:hint="cs" w:ascii="B Mitra" w:hAnsi="B Mitra" w:cs="B Mitra"/>
          <w:sz w:val="18"/>
          <w:rtl/>
          <w:szCs w:val="18"/>
        </w:rPr>
        <w:t xml:space="preserve"> دقت ۰٫۳۶۶ در برابر ۰٫۳۵۷؛ و در </w:t>
      </w:r>
      <w:r>
        <w:rPr>
          <w:rFonts w:ascii="Times New Roman" w:hAnsi="Times New Roman" w:cs="Times New Roman"/>
          <w:bidi w:val="0"/>
          <w:sz w:val="17"/>
          <w:rtl w:val="0"/>
          <w:szCs w:val="17"/>
        </w:rPr>
        <w:t>‎K = 50‎</w:t>
      </w:r>
      <w:r>
        <w:rPr>
          <w:rFonts w:hint="cs" w:ascii="B Mitra" w:hAnsi="B Mitra" w:cs="B Mitra"/>
          <w:sz w:val="18"/>
          <w:rtl/>
          <w:szCs w:val="18"/>
        </w:rPr>
        <w:t xml:space="preserve"> دقت ۰٫۳۴۰ در برابر ۰٫۳۲۲. تحت تصحیح هولم-بونفرونی برای مقایسه‌های چندگانه، برتری‌های </w:t>
      </w:r>
      <w:r>
        <w:rPr>
          <w:rFonts w:ascii="Times New Roman" w:hAnsi="Times New Roman" w:cs="Times New Roman"/>
          <w:bidi w:val="0"/>
          <w:sz w:val="17"/>
          <w:rtl w:val="0"/>
          <w:szCs w:val="17"/>
        </w:rPr>
        <w:t>‎HAMTA‎</w:t>
      </w:r>
      <w:r>
        <w:rPr>
          <w:rFonts w:hint="cs" w:ascii="B Mitra" w:hAnsi="B Mitra" w:cs="B Mitra"/>
          <w:sz w:val="18"/>
          <w:rtl/>
          <w:szCs w:val="18"/>
        </w:rPr>
        <w:t xml:space="preserve"> نسبت به خط‌مبناهای سنتی کمترین حجم و مدل جدولی در تمامی بودجه‌ها کاملاً معنادار باقی می‌ماند (</w:t>
      </w:r>
      <w:r>
        <w:rPr>
          <w:rFonts w:ascii="Times New Roman" w:hAnsi="Times New Roman" w:cs="Times New Roman"/>
          <w:bidi w:val="0"/>
          <w:sz w:val="17"/>
          <w:rtl w:val="0"/>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rtl w:val="0"/>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0.0156‎</w:t>
      </w:r>
      <w:r>
        <w:rPr>
          <w:rFonts w:hint="cs" w:ascii="B Mitra" w:hAnsi="B Mitra" w:cs="B Mitra"/>
          <w:sz w:val="18"/>
          <w:rtl/>
          <w:szCs w:val="18"/>
        </w:rPr>
        <w:t>) و مدل جدولی (</w:t>
      </w:r>
      <w:r>
        <w:rPr>
          <w:rFonts w:ascii="Times New Roman" w:hAnsi="Times New Roman" w:cs="Times New Roman"/>
          <w:bidi w:val="0"/>
          <w:sz w:val="17"/>
          <w:rtl w:val="0"/>
          <w:szCs w:val="17"/>
        </w:rPr>
        <w:t>‎p_adj = 0.0293‎</w:t>
      </w:r>
      <w:r>
        <w:rPr>
          <w:rFonts w:hint="cs" w:ascii="B Mitra" w:hAnsi="B Mitra" w:cs="B Mitra"/>
          <w:sz w:val="18"/>
          <w:rtl/>
          <w:szCs w:val="18"/>
        </w:rPr>
        <w:t xml:space="preserve">)؛ در بودجه </w:t>
      </w:r>
      <w:r>
        <w:rPr>
          <w:rFonts w:ascii="Times New Roman" w:hAnsi="Times New Roman" w:cs="Times New Roman"/>
          <w:bidi w:val="0"/>
          <w:sz w:val="17"/>
          <w:rtl w:val="0"/>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0.0156‎</w:t>
      </w:r>
      <w:r>
        <w:rPr>
          <w:rFonts w:hint="cs" w:ascii="B Mitra" w:hAnsi="B Mitra" w:cs="B Mitra"/>
          <w:sz w:val="18"/>
          <w:rtl/>
          <w:szCs w:val="18"/>
        </w:rPr>
        <w:t>) و مدل جدولی (</w:t>
      </w:r>
      <w:r>
        <w:rPr>
          <w:rFonts w:ascii="Times New Roman" w:hAnsi="Times New Roman" w:cs="Times New Roman"/>
          <w:bidi w:val="0"/>
          <w:sz w:val="17"/>
          <w:rtl w:val="0"/>
          <w:szCs w:val="17"/>
        </w:rPr>
        <w:t>‎p_adj = 0.0176‎</w:t>
      </w:r>
      <w:r>
        <w:rPr>
          <w:rFonts w:hint="cs" w:ascii="B Mitra" w:hAnsi="B Mitra" w:cs="B Mitra"/>
          <w:sz w:val="18"/>
          <w:rtl/>
          <w:szCs w:val="18"/>
        </w:rPr>
        <w:t xml:space="preserve">)؛ و در </w:t>
      </w:r>
      <w:r>
        <w:rPr>
          <w:rFonts w:ascii="Times New Roman" w:hAnsi="Times New Roman" w:cs="Times New Roman"/>
          <w:bidi w:val="0"/>
          <w:sz w:val="17"/>
          <w:rtl w:val="0"/>
          <w:szCs w:val="17"/>
        </w:rPr>
        <w:t>‎K = 35‎</w:t>
      </w:r>
      <w:r>
        <w:rPr>
          <w:rFonts w:hint="cs" w:ascii="B Mitra" w:hAnsi="B Mitra" w:cs="B Mitra"/>
          <w:sz w:val="18"/>
          <w:rtl/>
          <w:szCs w:val="18"/>
        </w:rPr>
        <w:t xml:space="preserve"> نسبت به کمترین حجم (</w:t>
      </w:r>
      <w:r>
        <w:rPr>
          <w:rFonts w:ascii="Times New Roman" w:hAnsi="Times New Roman" w:cs="Times New Roman"/>
          <w:bidi w:val="0"/>
          <w:sz w:val="17"/>
          <w:rtl w:val="0"/>
          <w:szCs w:val="17"/>
        </w:rPr>
        <w:t>‎p_adj = 0.0176‎</w:t>
      </w:r>
      <w:r>
        <w:rPr>
          <w:rFonts w:hint="cs" w:ascii="B Mitra" w:hAnsi="B Mitra" w:cs="B Mitra"/>
          <w:sz w:val="18"/>
          <w:rtl/>
          <w:szCs w:val="18"/>
        </w:rPr>
        <w:t>) و مدل جدولی (</w:t>
      </w:r>
      <w:r>
        <w:rPr>
          <w:rFonts w:ascii="Times New Roman" w:hAnsi="Times New Roman" w:cs="Times New Roman"/>
          <w:bidi w:val="0"/>
          <w:sz w:val="17"/>
          <w:rtl w:val="0"/>
          <w:szCs w:val="17"/>
        </w:rPr>
        <w:t>‎p_adj = 0.0078‎</w:t>
      </w:r>
      <w:r>
        <w:rPr>
          <w:rFonts w:hint="cs" w:ascii="B Mitra" w:hAnsi="B Mitra" w:cs="B Mitra"/>
          <w:sz w:val="18"/>
          <w:rtl/>
          <w:szCs w:val="18"/>
        </w:rPr>
        <w:t xml:space="preserve">). نسبت به گراف ایستا در </w:t>
      </w:r>
      <w:r>
        <w:rPr>
          <w:rFonts w:ascii="Times New Roman" w:hAnsi="Times New Roman" w:cs="Times New Roman"/>
          <w:bidi w:val="0"/>
          <w:sz w:val="17"/>
          <w:rtl w:val="0"/>
          <w:szCs w:val="17"/>
        </w:rPr>
        <w:t>‎K = 35‎</w:t>
      </w:r>
      <w:r>
        <w:rPr>
          <w:rFonts w:hint="cs" w:ascii="B Mitra" w:hAnsi="B Mitra" w:cs="B Mitra"/>
          <w:sz w:val="18"/>
          <w:rtl/>
          <w:szCs w:val="18"/>
        </w:rPr>
        <w:t>، آزمون خام ویلکاکسون معنادار است (</w:t>
      </w:r>
      <w:r>
        <w:rPr>
          <w:rFonts w:ascii="Times New Roman" w:hAnsi="Times New Roman" w:cs="Times New Roman"/>
          <w:bidi w:val="0"/>
          <w:sz w:val="17"/>
          <w:rtl w:val="0"/>
          <w:szCs w:val="17"/>
        </w:rPr>
        <w:t>‎p = 0.0488‎</w:t>
      </w:r>
      <w:r>
        <w:rPr>
          <w:rFonts w:hint="cs" w:ascii="B Mitra" w:hAnsi="B Mitra" w:cs="B Mitra"/>
          <w:sz w:val="18"/>
          <w:rtl/>
          <w:szCs w:val="18"/>
        </w:rPr>
        <w:t xml:space="preserve">) که پس از تصحیح هولم-بونفرونی به </w:t>
      </w:r>
      <w:r>
        <w:rPr>
          <w:rFonts w:ascii="Times New Roman" w:hAnsi="Times New Roman" w:cs="Times New Roman"/>
          <w:bidi w:val="0"/>
          <w:sz w:val="17"/>
          <w:rtl w:val="0"/>
          <w:szCs w:val="17"/>
        </w:rPr>
        <w:t>‎p_adj = 0.0977‎</w:t>
      </w:r>
      <w:r>
        <w:rPr>
          <w:rFonts w:hint="cs" w:ascii="B Mitra" w:hAnsi="B Mitra" w:cs="B Mitra"/>
          <w:sz w:val="18"/>
          <w:rtl/>
          <w:szCs w:val="18"/>
        </w:rPr>
        <w:t xml:space="preserve"> تعدیل می‌شود. تفاوت‌های </w:t>
      </w:r>
      <w:r>
        <w:rPr>
          <w:rFonts w:ascii="Times New Roman" w:hAnsi="Times New Roman" w:cs="Times New Roman"/>
          <w:bidi w:val="0"/>
          <w:sz w:val="17"/>
          <w:rtl w:val="0"/>
          <w:szCs w:val="17"/>
        </w:rPr>
        <w:t>‎HAMTA‎</w:t>
      </w:r>
      <w:r>
        <w:rPr>
          <w:rFonts w:hint="cs" w:ascii="B Mitra" w:hAnsi="B Mitra" w:cs="B Mitra"/>
          <w:sz w:val="18"/>
          <w:rtl/>
          <w:szCs w:val="18"/>
        </w:rPr>
        <w:t xml:space="preserve"> با خط‌مبنای </w:t>
      </w:r>
      <w:r>
        <w:rPr>
          <w:rFonts w:ascii="Times New Roman" w:hAnsi="Times New Roman" w:cs="Times New Roman"/>
          <w:bidi w:val="0"/>
          <w:sz w:val="17"/>
          <w:rtl w:val="0"/>
          <w:szCs w:val="17"/>
        </w:rPr>
        <w:t>‎SFA‎</w:t>
      </w:r>
      <w:r>
        <w:rPr>
          <w:rFonts w:hint="cs" w:ascii="B Mitra" w:hAnsi="B Mitra" w:cs="B Mitra"/>
          <w:sz w:val="18"/>
          <w:rtl/>
          <w:szCs w:val="18"/>
        </w:rPr>
        <w:t xml:space="preserve"> به سطح معناداری آماری نمی‌رسد و </w:t>
      </w:r>
      <w:r>
        <w:rPr>
          <w:rFonts w:ascii="Times New Roman" w:hAnsi="Times New Roman" w:cs="Times New Roman"/>
          <w:bidi w:val="0"/>
          <w:sz w:val="17"/>
          <w:rtl w:val="0"/>
          <w:szCs w:val="17"/>
        </w:rPr>
        <w:t>‎SFA‎</w:t>
      </w:r>
      <w:r>
        <w:rPr>
          <w:rFonts w:hint="cs" w:ascii="B Mitra" w:hAnsi="B Mitra" w:cs="B Mitra"/>
          <w:sz w:val="18"/>
          <w:rtl/>
          <w:szCs w:val="18"/>
        </w:rPr>
        <w:t xml:space="preserve"> به عنوان یک بنچ‌مارک مرزی ناپارامتریک قدرتمند عمل می‌نماید.</w:t>
      </w:r>
    </w:p>
    <w:p>
      <w:pPr>
        <w:pStyle w:val="Heading2"/>
        <w:spacing w:before="30" w:after="10"/>
      </w:pPr>
      <w:r>
        <w:rPr>
          <w:rFonts w:ascii="Times New Roman" w:hAnsi="Times New Roman" w:cs="Times New Roman"/>
          <w:bidi w:val="0"/>
          <w:sz w:val="18"/>
          <w:rtl w:val="0"/>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rtl w:val="0"/>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rtl w:val="0"/>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۰٫۸۶۲ ± ۰٫۰۳۱</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۰٫۲۹۷ ± ۰٫۰۹۹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۰٫۸۱۹ ± ۰٫۰۴۴</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۰٫۰۷۴ ± ۰٫۰۱۴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۰٫۸۰۷ ± ۰٫۰۳۹</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۰٫۵۰۰ ± ۰٫۱۲۲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۰٫۵۳۲ ± ۰٫۱۲۰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۰٫۰۱۴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۰٫۸۰۳ ± ۰٫۰۴۱</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rtl w:val="0"/>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rtl w:val="0"/>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rtl w:val="0"/>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rtl w:val="0"/>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rtl w:val="0"/>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550"/>
        <w:gridCol w:w="750"/>
        <w:gridCol w:w="750"/>
        <w:gridCol w:w="750"/>
        <w:gridCol w:w="850"/>
      </w:tblGrid>
      <w:tr>
        <w:trPr>
          <w:cantSplit/>
        </w:trPr>
        <w:tc>
          <w:tcPr>
            <w:tcW w:w="15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rtl w:val="0"/>
                <w:szCs w:val="11"/>
              </w:rPr>
              <w:t>‎Δ NDCG‎</w:t>
            </w:r>
          </w:p>
        </w:tc>
        <w:tc>
          <w:tcPr>
            <w:tcW w:w="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5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rtl w:val="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w:t>
            </w:r>
          </w:p>
        </w:tc>
        <w:tc>
          <w:tcPr>
            <w:tcW w:w="8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مبنا (پیشنهادی)</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0.846‎</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rtl w:val="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-۰٫۰۱۴</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0.375‎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۰٫۴۱۵</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-۰٫۰۳۳</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0.027‎</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0.695‎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0.084‎</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+۰٫۱۴۵</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rtl w:val="0"/>
                <w:szCs w:val="10"/>
              </w:rPr>
              <w:t>‎p = 0.002‎</w:t>
            </w: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rtl w:val="0"/>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rtl w:val="0"/>
          <w:szCs w:val="17"/>
        </w:rPr>
        <w:t>‎GBDT‎</w:t>
      </w:r>
      <w:r>
        <w:rPr>
          <w:rFonts w:hint="cs" w:ascii="B Mitra" w:hAnsi="B Mitra" w:cs="B Mitra"/>
          <w:sz w:val="18"/>
          <w:rtl/>
          <w:szCs w:val="18"/>
        </w:rPr>
        <w:t xml:space="preserve">، شاخص </w:t>
      </w:r>
      <w:r>
        <w:rPr>
          <w:rFonts w:ascii="Times New Roman" w:hAnsi="Times New Roman" w:cs="Times New Roman"/>
          <w:bidi w:val="0"/>
          <w:sz w:val="17"/>
          <w:rtl w:val="0"/>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rtl w:val="0"/>
          <w:szCs w:val="17"/>
        </w:rPr>
        <w:t>‎p = 0.0020‎</w:t>
      </w:r>
      <w:r>
        <w:rPr>
          <w:rFonts w:hint="cs" w:ascii="B Mitra" w:hAnsi="B Mitra" w:cs="B Mitra"/>
          <w:sz w:val="18"/>
          <w:rtl/>
          <w:szCs w:val="18"/>
        </w:rPr>
        <w:t>) و پویایی‌های زمانی شاخص را به میزان ۰٫۰۷۲+ (</w:t>
      </w:r>
      <w:r>
        <w:rPr>
          <w:rFonts w:ascii="Times New Roman" w:hAnsi="Times New Roman" w:cs="Times New Roman"/>
          <w:bidi w:val="0"/>
          <w:sz w:val="17"/>
          <w:rtl w:val="0"/>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rtl w:val="0"/>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rtl w:val="0"/>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rtl w:val="0"/>
          <w:szCs w:val="17"/>
        </w:rPr>
        <w:t>‎U‎</w:t>
      </w:r>
      <w:r>
        <w:rPr>
          <w:rFonts w:hint="cs" w:ascii="B Mitra" w:hAnsi="B Mitra" w:cs="B Mitra"/>
          <w:sz w:val="18"/>
          <w:rtl/>
          <w:szCs w:val="18"/>
        </w:rPr>
        <w:t xml:space="preserve"> اگرچه ظاهراً </w:t>
      </w:r>
      <w:r>
        <w:rPr>
          <w:rFonts w:ascii="Times New Roman" w:hAnsi="Times New Roman" w:cs="Times New Roman"/>
          <w:bidi w:val="0"/>
          <w:sz w:val="17"/>
          <w:rtl w:val="0"/>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rtl w:val="0"/>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rtl w:val="0"/>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rtl w:val="0"/>
          <w:szCs w:val="17"/>
        </w:rPr>
        <w:t>‎Δ = ‎</w:t>
      </w:r>
      <w:r>
        <w:rPr>
          <w:rFonts w:hint="cs" w:ascii="B Mitra" w:hAnsi="B Mitra" w:cs="B Mitra"/>
          <w:sz w:val="18"/>
          <w:rtl/>
          <w:szCs w:val="18"/>
        </w:rPr>
        <w:t xml:space="preserve">-۰٫۰۰۲، </w:t>
      </w:r>
      <w:r>
        <w:rPr>
          <w:rFonts w:ascii="Times New Roman" w:hAnsi="Times New Roman" w:cs="Times New Roman"/>
          <w:bidi w:val="0"/>
          <w:sz w:val="17"/>
          <w:rtl w:val="0"/>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rtl w:val="0"/>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rtl w:val="0"/>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rtl w:val="0"/>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۰٫۳۰۱</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rtl w:val="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۰٫۲۲۸</w:t>
            </w:r>
          </w:p>
        </w:tc>
      </w:tr>
    </w:tbl>
    <w:p>
      <w:pPr>
        <w:pStyle w:val="FigureText"/>
        <w:keepNext/>
        <w:spacing w:before="16" w:after="6"/>
        <w:jc w:val="center"/>
      </w:pPr>
      <w:r>
        <w:drawing>
          <wp:inline xmlns:a="http://schemas.openxmlformats.org/drawingml/2006/main" xmlns:pic="http://schemas.openxmlformats.org/drawingml/2006/picture">
            <wp:extent cx="2736000" cy="1316089"/>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316089"/>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rtl w:val="0"/>
          <w:szCs w:val="17"/>
        </w:rPr>
        <w:t>‎5‎</w:t>
      </w:r>
      <w:r>
        <w:rPr>
          <w:rFonts w:hint="cs" w:ascii="B Mitra" w:hAnsi="B Mitra" w:cs="B Mitra"/>
          <w:sz w:val="17"/>
          <w:rtl/>
          <w:szCs w:val="17"/>
        </w:rPr>
        <w:t>) : دقت بازیافت فرصت (</w:t>
      </w:r>
      <w:r>
        <w:rPr>
          <w:rFonts w:ascii="Times New Roman" w:hAnsi="Times New Roman" w:cs="Times New Roman"/>
          <w:bidi w:val="0"/>
          <w:sz w:val="17"/>
          <w:rtl w:val="0"/>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rtl w:val="0"/>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rtl w:val="0"/>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rtl w:val="0"/>
          <w:szCs w:val="17"/>
        </w:rPr>
        <w:t>‎Y ≥ 5‎</w:t>
      </w:r>
      <w:r>
        <w:rPr>
          <w:rFonts w:hint="cs" w:ascii="B Mitra" w:hAnsi="B Mitra" w:cs="B Mitra"/>
          <w:sz w:val="18"/>
          <w:rtl/>
          <w:szCs w:val="18"/>
        </w:rPr>
        <w:t xml:space="preserve">، </w:t>
      </w:r>
      <w:r>
        <w:rPr>
          <w:rFonts w:ascii="Times New Roman" w:hAnsi="Times New Roman" w:cs="Times New Roman"/>
          <w:bidi w:val="0"/>
          <w:sz w:val="17"/>
          <w:rtl w:val="0"/>
          <w:szCs w:val="17"/>
        </w:rPr>
        <w:t>‎10‎</w:t>
      </w:r>
      <w:r>
        <w:rPr>
          <w:rFonts w:hint="cs" w:ascii="B Mitra" w:hAnsi="B Mitra" w:cs="B Mitra"/>
          <w:sz w:val="18"/>
          <w:rtl/>
          <w:szCs w:val="18"/>
        </w:rPr>
        <w:t xml:space="preserve"> و </w:t>
      </w:r>
      <w:r>
        <w:rPr>
          <w:rFonts w:ascii="Times New Roman" w:hAnsi="Times New Roman" w:cs="Times New Roman"/>
          <w:bidi w:val="0"/>
          <w:sz w:val="17"/>
          <w:rtl w:val="0"/>
          <w:szCs w:val="17"/>
        </w:rPr>
        <w:t>‎20‎</w:t>
      </w:r>
      <w:r>
        <w:rPr>
          <w:rFonts w:hint="cs" w:ascii="B Mitra" w:hAnsi="B Mitra" w:cs="B Mitra"/>
          <w:sz w:val="18"/>
          <w:rtl/>
          <w:szCs w:val="18"/>
        </w:rPr>
        <w:t xml:space="preserve">،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rtl w:val="0"/>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rtl w:val="0"/>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rtl w:val="0"/>
          <w:szCs w:val="17"/>
        </w:rPr>
        <w:t>Q_total = Q_graph · ( 1 - exp( -Y_m / τ_a ) )</w:t>
      </w:r>
    </w:p>
    <w:p>
      <w:pPr>
        <w:pStyle w:val="Text"/>
        <w:spacing w:before="0" w:after="20" w:line="226" w:lineRule="auto"/>
      </w:pPr>
      <w:r>
        <w:rPr>
          <w:rFonts w:hint="cs" w:ascii="B Mitra" w:hAnsi="B Mitra" w:cs="B Mitra"/>
          <w:sz w:val="18"/>
          <w:rtl/>
          <w:szCs w:val="18"/>
        </w:rPr>
        <w:t xml:space="preserve">تهدیدات اعتبار تجربی: (۱) سلامت پروتکل ارزیابی و تمایز پروتکل‌ها: چارچوب </w:t>
      </w:r>
      <w:r>
        <w:rPr>
          <w:rFonts w:ascii="Times New Roman" w:hAnsi="Times New Roman" w:cs="Times New Roman"/>
          <w:bidi w:val="0"/>
          <w:sz w:val="17"/>
          <w:rtl w:val="0"/>
          <w:szCs w:val="17"/>
        </w:rPr>
        <w:t>‎HAMTA‎</w:t>
      </w:r>
      <w:r>
        <w:rPr>
          <w:rFonts w:hint="cs" w:ascii="B Mitra" w:hAnsi="B Mitra" w:cs="B Mitra"/>
          <w:sz w:val="18"/>
          <w:rtl/>
          <w:szCs w:val="18"/>
        </w:rPr>
        <w:t xml:space="preserve"> بر مبنای «پروتکل الف: بازیابی و اولویت‌بندی افت ساختاری مستمر» (</w:t>
      </w:r>
      <w:r>
        <w:rPr>
          <w:rFonts w:ascii="Times New Roman" w:hAnsi="Times New Roman" w:cs="Times New Roman"/>
          <w:bidi w:val="0"/>
          <w:sz w:val="17"/>
          <w:rtl w:val="0"/>
          <w:szCs w:val="17"/>
        </w:rPr>
        <w:t>‎Persistent Underperformance Recovery‎</w:t>
      </w:r>
      <w:r>
        <w:rPr>
          <w:rFonts w:hint="cs" w:ascii="B Mitra" w:hAnsi="B Mitra" w:cs="B Mitra"/>
          <w:sz w:val="18"/>
          <w:rtl/>
          <w:szCs w:val="18"/>
        </w:rPr>
        <w:t>) عمل می‌کند که در آن واگرایی نزولی در دوره پایش (دوره ۴) آشکار شده و در پنجره تصمیم‌گیری کمپین (دوره ۵) استمرار می‌یابد. طراحی پروتکل مانع از دسترسی به اطلاعات دوره آزمون ۵ در زمان پیش‌بینی و رتبه‌بندی می‌شود. در نقطه مقابل، در «پروتکل ب: پیش‌بینی شوک‌های ناگهانی پیشینی» (</w:t>
      </w:r>
      <w:r>
        <w:rPr>
          <w:rFonts w:ascii="Times New Roman" w:hAnsi="Times New Roman" w:cs="Times New Roman"/>
          <w:bidi w:val="0"/>
          <w:sz w:val="17"/>
          <w:rtl w:val="0"/>
          <w:szCs w:val="17"/>
        </w:rPr>
        <w:t>‎Pure Ex-Ante Shocks‎</w:t>
      </w:r>
      <w:r>
        <w:rPr>
          <w:rFonts w:hint="cs" w:ascii="B Mitra" w:hAnsi="B Mitra" w:cs="B Mitra"/>
          <w:sz w:val="18"/>
          <w:rtl/>
          <w:szCs w:val="18"/>
        </w:rPr>
        <w:t>) که افت به صورت تصادفی صرفاً در دوره ۵ بدون هیچ نشانه قبلی رخ دهد، هیچ مدلی بدون ویژگی‌های پیش‌نگر قادر به تشخیص برتر از شانس تصادفی (۱۴٫۶٪) نخواهد بود. (۲) اثر هم‌نوع‌خواری تجاری (</w:t>
      </w:r>
      <w:r>
        <w:rPr>
          <w:rFonts w:ascii="Times New Roman" w:hAnsi="Times New Roman" w:cs="Times New Roman"/>
          <w:bidi w:val="0"/>
          <w:sz w:val="17"/>
          <w:rtl w:val="0"/>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rtl w:val="0"/>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rtl w:val="0"/>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rtl w:val="0"/>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rtl w:val="0"/>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rtl w:val="0"/>
          <w:szCs w:val="17"/>
        </w:rPr>
        <w:t>‎O(|M| · K · d_avg)‎</w:t>
      </w:r>
      <w:r>
        <w:rPr>
          <w:rFonts w:hint="cs" w:ascii="B Mitra" w:hAnsi="B Mitra" w:cs="B Mitra"/>
          <w:sz w:val="18"/>
          <w:rtl/>
          <w:szCs w:val="18"/>
        </w:rPr>
        <w:t xml:space="preserve"> محدود نموده و مقیاس‌پذیری عملیاتی روش را تأیید می‌کند.</w:t>
      </w:r>
    </w:p>
    <w:p>
      <w:pPr>
        <w:pStyle w:val="Heading1"/>
        <w:spacing w:before="50" w:after="16"/>
      </w:pPr>
      <w:r>
        <w:rPr>
          <w:rFonts w:ascii="Times New Roman" w:hAnsi="Times New Roman" w:cs="Times New Roman"/>
          <w:bidi w:val="0"/>
          <w:sz w:val="20"/>
          <w:rtl w:val="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rtl w:val="0"/>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rtl w:val="0"/>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rtl w:val="0"/>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rtl w:val="0"/>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rtl w:val="0"/>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rtl w:val="0"/>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rtl w:val="0"/>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rtl w:val="0"/>
          <w:szCs w:val="10"/>
        </w:rPr>
        <w:t xml:space="preserve">[1] </w:t>
      </w:r>
      <w:r>
        <w:rPr>
          <w:rFonts w:ascii="Times New Roman" w:hAnsi="Times New Roman" w:cs="Times New Roman"/>
          <w:bidi w:val="0"/>
          <w:sz w:val="10"/>
          <w:rtl w:val="0"/>
          <w:szCs w:val="10"/>
        </w:rPr>
        <w:t xml:space="preserve">Bank for International Settlements (BIS), "Red Book: Statistics on payment, clearing and settlement systems", </w:t>
      </w:r>
      <w:r>
        <w:rPr>
          <w:rFonts w:ascii="Times New Roman" w:hAnsi="Times New Roman" w:cs="Times New Roman"/>
          <w:iCs/>
          <w:i/>
          <w:bidi w:val="0"/>
          <w:sz w:val="10"/>
          <w:rtl w:val="0"/>
          <w:szCs w:val="10"/>
        </w:rPr>
        <w:t>CPMI, Basel, Switzerland</w:t>
      </w:r>
      <w:r>
        <w:rPr>
          <w:rFonts w:ascii="Times New Roman" w:hAnsi="Times New Roman" w:cs="Times New Roman"/>
          <w:bidi w:val="0"/>
          <w:sz w:val="10"/>
          <w:rtl w:val="0"/>
          <w:szCs w:val="10"/>
        </w:rPr>
        <w:t>, Tech. Rep., 2023.</w:t>
      </w:r>
    </w:p>
    <w:p>
      <w:pPr>
        <w:pStyle w:val="ENREF"/>
        <w:spacing w:before="0" w:after="0" w:line="197" w:lineRule="auto"/>
      </w:pPr>
      <w:r>
        <w:rPr>
          <w:rFonts w:ascii="Times New Roman" w:hAnsi="Times New Roman" w:cs="Times New Roman"/>
          <w:bidi w:val="0"/>
          <w:sz w:val="10"/>
          <w:rtl w:val="0"/>
          <w:szCs w:val="10"/>
        </w:rPr>
        <w:t xml:space="preserve">[2] </w:t>
      </w:r>
      <w:r>
        <w:rPr>
          <w:rFonts w:ascii="Times New Roman" w:hAnsi="Times New Roman" w:cs="Times New Roman"/>
          <w:bidi w:val="0"/>
          <w:sz w:val="10"/>
          <w:rtl w:val="0"/>
          <w:szCs w:val="10"/>
        </w:rPr>
        <w:t xml:space="preserve">European Central Bank (ECB), "Study on payment attitudes of consumers in the euro area (SPACE)", </w:t>
      </w:r>
      <w:r>
        <w:rPr>
          <w:rFonts w:ascii="Times New Roman" w:hAnsi="Times New Roman" w:cs="Times New Roman"/>
          <w:iCs/>
          <w:i/>
          <w:bidi w:val="0"/>
          <w:sz w:val="10"/>
          <w:rtl w:val="0"/>
          <w:szCs w:val="10"/>
        </w:rPr>
        <w:t>ECB, Frankfurt, Germany</w:t>
      </w:r>
      <w:r>
        <w:rPr>
          <w:rFonts w:ascii="Times New Roman" w:hAnsi="Times New Roman" w:cs="Times New Roman"/>
          <w:bidi w:val="0"/>
          <w:sz w:val="10"/>
          <w:rtl w:val="0"/>
          <w:szCs w:val="10"/>
        </w:rPr>
        <w:t>, Tech. Rep., Dec. 2022.</w:t>
      </w:r>
    </w:p>
    <w:p>
      <w:pPr>
        <w:pStyle w:val="ENREF"/>
        <w:spacing w:before="0" w:after="0" w:line="197" w:lineRule="auto"/>
      </w:pPr>
      <w:r>
        <w:rPr>
          <w:rFonts w:ascii="Times New Roman" w:hAnsi="Times New Roman" w:cs="Times New Roman"/>
          <w:bidi w:val="0"/>
          <w:sz w:val="10"/>
          <w:rtl w:val="0"/>
          <w:szCs w:val="10"/>
        </w:rPr>
        <w:t xml:space="preserve">[3] </w:t>
      </w:r>
      <w:r>
        <w:rPr>
          <w:rFonts w:ascii="Times New Roman" w:hAnsi="Times New Roman" w:cs="Times New Roman"/>
          <w:bidi w:val="0"/>
          <w:sz w:val="10"/>
          <w:rtl w:val="0"/>
          <w:szCs w:val="10"/>
        </w:rPr>
        <w:t xml:space="preserve">J. T. Wei, S. Y. Lin, H. H. Wu, "A review of the application of RFM model", </w:t>
      </w:r>
      <w:r>
        <w:rPr>
          <w:rFonts w:ascii="Times New Roman" w:hAnsi="Times New Roman" w:cs="Times New Roman"/>
          <w:iCs/>
          <w:i/>
          <w:bidi w:val="0"/>
          <w:sz w:val="10"/>
          <w:rtl w:val="0"/>
          <w:szCs w:val="10"/>
        </w:rPr>
        <w:t>African Journal of Business Management</w:t>
      </w:r>
      <w:r>
        <w:rPr>
          <w:rFonts w:ascii="Times New Roman" w:hAnsi="Times New Roman" w:cs="Times New Roman"/>
          <w:bidi w:val="0"/>
          <w:sz w:val="10"/>
          <w:rtl w:val="0"/>
          <w:szCs w:val="10"/>
        </w:rPr>
        <w:t>, Vol. 4, No. 19, pp. 4199-4206, 2010.</w:t>
      </w:r>
    </w:p>
    <w:p>
      <w:pPr>
        <w:pStyle w:val="ENREF"/>
        <w:spacing w:before="0" w:after="0" w:line="197" w:lineRule="auto"/>
      </w:pPr>
      <w:r>
        <w:rPr>
          <w:rFonts w:ascii="Times New Roman" w:hAnsi="Times New Roman" w:cs="Times New Roman"/>
          <w:bidi w:val="0"/>
          <w:sz w:val="10"/>
          <w:rtl w:val="0"/>
          <w:szCs w:val="10"/>
        </w:rPr>
        <w:t xml:space="preserve">[4] </w:t>
      </w:r>
      <w:r>
        <w:rPr>
          <w:rFonts w:ascii="Times New Roman" w:hAnsi="Times New Roman" w:cs="Times New Roman"/>
          <w:bidi w:val="0"/>
          <w:sz w:val="10"/>
          <w:rtl w:val="0"/>
          <w:szCs w:val="10"/>
        </w:rPr>
        <w:t xml:space="preserve">R. Forman, "Bochner's method for cell complexes and combinatorial Ricci curvature", </w:t>
      </w:r>
      <w:r>
        <w:rPr>
          <w:rFonts w:ascii="Times New Roman" w:hAnsi="Times New Roman" w:cs="Times New Roman"/>
          <w:iCs/>
          <w:i/>
          <w:bidi w:val="0"/>
          <w:sz w:val="10"/>
          <w:rtl w:val="0"/>
          <w:szCs w:val="10"/>
        </w:rPr>
        <w:t>Discrete and Computational Geometry</w:t>
      </w:r>
      <w:r>
        <w:rPr>
          <w:rFonts w:ascii="Times New Roman" w:hAnsi="Times New Roman" w:cs="Times New Roman"/>
          <w:bidi w:val="0"/>
          <w:sz w:val="10"/>
          <w:rtl w:val="0"/>
          <w:szCs w:val="10"/>
        </w:rPr>
        <w:t>, Vol. 29, No. 3, pp. 323-374, 2003.</w:t>
      </w:r>
    </w:p>
    <w:p>
      <w:pPr>
        <w:pStyle w:val="ENREF"/>
        <w:spacing w:before="0" w:after="0" w:line="197" w:lineRule="auto"/>
      </w:pPr>
      <w:r>
        <w:rPr>
          <w:rFonts w:ascii="Times New Roman" w:hAnsi="Times New Roman" w:cs="Times New Roman"/>
          <w:bidi w:val="0"/>
          <w:sz w:val="10"/>
          <w:rtl w:val="0"/>
          <w:szCs w:val="10"/>
        </w:rPr>
        <w:t xml:space="preserve">[5] </w:t>
      </w:r>
      <w:r>
        <w:rPr>
          <w:rFonts w:ascii="Times New Roman" w:hAnsi="Times New Roman" w:cs="Times New Roman"/>
          <w:bidi w:val="0"/>
          <w:sz w:val="10"/>
          <w:rtl w:val="0"/>
          <w:szCs w:val="10"/>
        </w:rPr>
        <w:t xml:space="preserve">M. Weber, E. Saucan, J. Jost, "Characterizing complex networks with Forman-Ricci curvature", </w:t>
      </w:r>
      <w:r>
        <w:rPr>
          <w:rFonts w:ascii="Times New Roman" w:hAnsi="Times New Roman" w:cs="Times New Roman"/>
          <w:iCs/>
          <w:i/>
          <w:bidi w:val="0"/>
          <w:sz w:val="10"/>
          <w:rtl w:val="0"/>
          <w:szCs w:val="10"/>
        </w:rPr>
        <w:t>Journal of Complex Networks</w:t>
      </w:r>
      <w:r>
        <w:rPr>
          <w:rFonts w:ascii="Times New Roman" w:hAnsi="Times New Roman" w:cs="Times New Roman"/>
          <w:bidi w:val="0"/>
          <w:sz w:val="10"/>
          <w:rtl w:val="0"/>
          <w:szCs w:val="10"/>
        </w:rPr>
        <w:t>, Vol. 5, No. 4, pp. 527-550, 2017.</w:t>
      </w:r>
    </w:p>
    <w:p>
      <w:pPr>
        <w:pStyle w:val="ENREF"/>
        <w:spacing w:before="0" w:after="0" w:line="197" w:lineRule="auto"/>
      </w:pPr>
      <w:r>
        <w:rPr>
          <w:rFonts w:ascii="Times New Roman" w:hAnsi="Times New Roman" w:cs="Times New Roman"/>
          <w:bidi w:val="0"/>
          <w:sz w:val="10"/>
          <w:rtl w:val="0"/>
          <w:szCs w:val="10"/>
        </w:rPr>
        <w:t xml:space="preserve">[6] </w:t>
      </w:r>
      <w:r>
        <w:rPr>
          <w:rFonts w:ascii="Times New Roman" w:hAnsi="Times New Roman" w:cs="Times New Roman"/>
          <w:bidi w:val="0"/>
          <w:sz w:val="10"/>
          <w:rtl w:val="0"/>
          <w:szCs w:val="10"/>
        </w:rPr>
        <w:t xml:space="preserve">J. Topping, F. Di Giovanni, B. P. Chamberlain, X. Dong, M. M. Bronstein, "Understanding over-squashing and bottlenecks via curvature", </w:t>
      </w:r>
      <w:r>
        <w:rPr>
          <w:rFonts w:ascii="Times New Roman" w:hAnsi="Times New Roman" w:cs="Times New Roman"/>
          <w:iCs/>
          <w:i/>
          <w:bidi w:val="0"/>
          <w:sz w:val="10"/>
          <w:rtl w:val="0"/>
          <w:szCs w:val="10"/>
        </w:rPr>
        <w:t>Proc. 10th Int. Conf. on Learning Representations (ICLR)</w:t>
      </w:r>
      <w:r>
        <w:rPr>
          <w:rFonts w:ascii="Times New Roman" w:hAnsi="Times New Roman" w:cs="Times New Roman"/>
          <w:bidi w:val="0"/>
          <w:sz w:val="10"/>
          <w:rtl w:val="0"/>
          <w:szCs w:val="10"/>
        </w:rPr>
        <w:t>, 2022.</w:t>
      </w:r>
    </w:p>
    <w:p>
      <w:pPr>
        <w:pStyle w:val="ENREF"/>
        <w:spacing w:before="0" w:after="0" w:line="197" w:lineRule="auto"/>
      </w:pPr>
      <w:r>
        <w:rPr>
          <w:rFonts w:ascii="Times New Roman" w:hAnsi="Times New Roman" w:cs="Times New Roman"/>
          <w:bidi w:val="0"/>
          <w:sz w:val="10"/>
          <w:rtl w:val="0"/>
          <w:szCs w:val="10"/>
        </w:rPr>
        <w:t xml:space="preserve">[7] </w:t>
      </w:r>
      <w:r>
        <w:rPr>
          <w:rFonts w:ascii="Times New Roman" w:hAnsi="Times New Roman" w:cs="Times New Roman"/>
          <w:bidi w:val="0"/>
          <w:sz w:val="10"/>
          <w:rtl w:val="0"/>
          <w:szCs w:val="10"/>
        </w:rPr>
        <w:t xml:space="preserve">I. Marisca, J. Bamberger, C. Alippi, M. M. Bronstein, "Over-squashing in spatiotemporal graph neural networks", </w:t>
      </w:r>
      <w:r>
        <w:rPr>
          <w:rFonts w:ascii="Times New Roman" w:hAnsi="Times New Roman" w:cs="Times New Roman"/>
          <w:iCs/>
          <w:i/>
          <w:bidi w:val="0"/>
          <w:sz w:val="10"/>
          <w:rtl w:val="0"/>
          <w:szCs w:val="10"/>
        </w:rPr>
        <w:t>Advances in Neural Information Processing Systems (NeurIPS 38)</w:t>
      </w:r>
      <w:r>
        <w:rPr>
          <w:rFonts w:ascii="Times New Roman" w:hAnsi="Times New Roman" w:cs="Times New Roman"/>
          <w:bidi w:val="0"/>
          <w:sz w:val="10"/>
          <w:rtl w:val="0"/>
          <w:szCs w:val="10"/>
        </w:rPr>
        <w:t>, Vol. 38, pp. 38213-38243, 2024.</w:t>
      </w:r>
    </w:p>
    <w:p>
      <w:pPr>
        <w:pStyle w:val="ENREF"/>
        <w:spacing w:before="0" w:after="0" w:line="197" w:lineRule="auto"/>
      </w:pPr>
      <w:r>
        <w:rPr>
          <w:rFonts w:ascii="Times New Roman" w:hAnsi="Times New Roman" w:cs="Times New Roman"/>
          <w:bidi w:val="0"/>
          <w:sz w:val="10"/>
          <w:rtl w:val="0"/>
          <w:szCs w:val="10"/>
        </w:rPr>
        <w:t xml:space="preserve">[8] </w:t>
      </w:r>
      <w:r>
        <w:rPr>
          <w:rFonts w:ascii="Times New Roman" w:hAnsi="Times New Roman" w:cs="Times New Roman"/>
          <w:bidi w:val="0"/>
          <w:sz w:val="10"/>
          <w:rtl w:val="0"/>
          <w:szCs w:val="10"/>
        </w:rPr>
        <w:t xml:space="preserve">A. N. Angelopoulos, S. Bates, "A gentle introduction to conformal prediction and distribution-free uncertainty", </w:t>
      </w:r>
      <w:r>
        <w:rPr>
          <w:rFonts w:ascii="Times New Roman" w:hAnsi="Times New Roman" w:cs="Times New Roman"/>
          <w:iCs/>
          <w:i/>
          <w:bidi w:val="0"/>
          <w:sz w:val="10"/>
          <w:rtl w:val="0"/>
          <w:szCs w:val="10"/>
        </w:rPr>
        <w:t>arXiv preprint arXiv:2107.07511</w:t>
      </w:r>
      <w:r>
        <w:rPr>
          <w:rFonts w:ascii="Times New Roman" w:hAnsi="Times New Roman" w:cs="Times New Roman"/>
          <w:bidi w:val="0"/>
          <w:sz w:val="10"/>
          <w:rtl w:val="0"/>
          <w:szCs w:val="10"/>
        </w:rPr>
        <w:t>, 2021.</w:t>
      </w:r>
    </w:p>
    <w:p>
      <w:pPr>
        <w:pStyle w:val="ENREF"/>
        <w:spacing w:before="0" w:after="0" w:line="197" w:lineRule="auto"/>
      </w:pPr>
      <w:r>
        <w:rPr>
          <w:rFonts w:ascii="Times New Roman" w:hAnsi="Times New Roman" w:cs="Times New Roman"/>
          <w:bidi w:val="0"/>
          <w:sz w:val="10"/>
          <w:rtl w:val="0"/>
          <w:szCs w:val="10"/>
        </w:rPr>
        <w:t xml:space="preserve">[9] </w:t>
      </w:r>
      <w:r>
        <w:rPr>
          <w:rFonts w:ascii="Times New Roman" w:hAnsi="Times New Roman" w:cs="Times New Roman"/>
          <w:bidi w:val="0"/>
          <w:sz w:val="10"/>
          <w:rtl w:val="0"/>
          <w:szCs w:val="10"/>
        </w:rPr>
        <w:t xml:space="preserve">Z. Liu, D. Wang, Q. Yu, Z. Zhang, Y. Shen, J. Ma, W. Zhong, J. Gu, J. Zhou, S. Yang, Y. Qi, "Graph representation learning for merchant incentive optimization in mobile payment marketing", </w:t>
      </w:r>
      <w:r>
        <w:rPr>
          <w:rFonts w:ascii="Times New Roman" w:hAnsi="Times New Roman" w:cs="Times New Roman"/>
          <w:iCs/>
          <w:i/>
          <w:bidi w:val="0"/>
          <w:sz w:val="10"/>
          <w:rtl w:val="0"/>
          <w:szCs w:val="10"/>
        </w:rPr>
        <w:t>Proc. 28th ACM Int. Conf. on Information and Knowledge Management (CIKM)</w:t>
      </w:r>
      <w:r>
        <w:rPr>
          <w:rFonts w:ascii="Times New Roman" w:hAnsi="Times New Roman" w:cs="Times New Roman"/>
          <w:bidi w:val="0"/>
          <w:sz w:val="10"/>
          <w:rtl w:val="0"/>
          <w:szCs w:val="10"/>
        </w:rPr>
        <w:t>, pp. 2577-2584, 2019.</w:t>
      </w:r>
    </w:p>
    <w:p>
      <w:pPr>
        <w:pStyle w:val="ENREF"/>
        <w:spacing w:before="0" w:after="0" w:line="197" w:lineRule="auto"/>
      </w:pPr>
      <w:r>
        <w:rPr>
          <w:rFonts w:ascii="Times New Roman" w:hAnsi="Times New Roman" w:cs="Times New Roman"/>
          <w:bidi w:val="0"/>
          <w:sz w:val="10"/>
          <w:rtl w:val="0"/>
          <w:szCs w:val="10"/>
        </w:rPr>
        <w:t xml:space="preserve">[10] </w:t>
      </w:r>
      <w:r>
        <w:rPr>
          <w:rFonts w:ascii="Times New Roman" w:hAnsi="Times New Roman" w:cs="Times New Roman"/>
          <w:bidi w:val="0"/>
          <w:sz w:val="10"/>
          <w:rtl w:val="0"/>
          <w:szCs w:val="10"/>
        </w:rPr>
        <w:t xml:space="preserve">M. Weber et al., "Anti-money laundering in Bitcoin: Experimenting with graph convolutional networks", </w:t>
      </w:r>
      <w:r>
        <w:rPr>
          <w:rFonts w:ascii="Times New Roman" w:hAnsi="Times New Roman" w:cs="Times New Roman"/>
          <w:iCs/>
          <w:i/>
          <w:bidi w:val="0"/>
          <w:sz w:val="10"/>
          <w:rtl w:val="0"/>
          <w:szCs w:val="10"/>
        </w:rPr>
        <w:t>Proc. KDD Workshop on Anomaly Detection in Finance</w:t>
      </w:r>
      <w:r>
        <w:rPr>
          <w:rFonts w:ascii="Times New Roman" w:hAnsi="Times New Roman" w:cs="Times New Roman"/>
          <w:bidi w:val="0"/>
          <w:sz w:val="10"/>
          <w:rtl w:val="0"/>
          <w:szCs w:val="10"/>
        </w:rPr>
        <w:t>, 2019.</w:t>
      </w:r>
    </w:p>
    <w:p>
      <w:pPr>
        <w:pStyle w:val="ENREF"/>
        <w:spacing w:before="0" w:after="0" w:line="197" w:lineRule="auto"/>
      </w:pPr>
      <w:r>
        <w:rPr>
          <w:rFonts w:ascii="Times New Roman" w:hAnsi="Times New Roman" w:cs="Times New Roman"/>
          <w:bidi w:val="0"/>
          <w:sz w:val="10"/>
          <w:rtl w:val="0"/>
          <w:szCs w:val="10"/>
        </w:rPr>
        <w:t xml:space="preserve">[11] </w:t>
      </w:r>
      <w:r>
        <w:rPr>
          <w:rFonts w:ascii="Times New Roman" w:hAnsi="Times New Roman" w:cs="Times New Roman"/>
          <w:bidi w:val="0"/>
          <w:sz w:val="10"/>
          <w:rtl w:val="0"/>
          <w:szCs w:val="10"/>
        </w:rPr>
        <w:t xml:space="preserve">Y. Dou, Z. Liu, L. Sun, Y. Deng, H. Peng, P. S. Yu, "Enhancing graph neural network-based fraud detectors against camouflaged fraudsters", </w:t>
      </w:r>
      <w:r>
        <w:rPr>
          <w:rFonts w:ascii="Times New Roman" w:hAnsi="Times New Roman" w:cs="Times New Roman"/>
          <w:iCs/>
          <w:i/>
          <w:bidi w:val="0"/>
          <w:sz w:val="10"/>
          <w:rtl w:val="0"/>
          <w:szCs w:val="10"/>
        </w:rPr>
        <w:t>Proc. 29th ACM Int. Conf. on Information and Knowledge Management (CIKM)</w:t>
      </w:r>
      <w:r>
        <w:rPr>
          <w:rFonts w:ascii="Times New Roman" w:hAnsi="Times New Roman" w:cs="Times New Roman"/>
          <w:bidi w:val="0"/>
          <w:sz w:val="10"/>
          <w:rtl w:val="0"/>
          <w:szCs w:val="10"/>
        </w:rPr>
        <w:t>, pp. 315-324, 2020.</w:t>
      </w:r>
    </w:p>
    <w:p>
      <w:pPr>
        <w:pStyle w:val="ENREF"/>
        <w:spacing w:before="0" w:after="0" w:line="197" w:lineRule="auto"/>
      </w:pPr>
      <w:r>
        <w:rPr>
          <w:rFonts w:ascii="Times New Roman" w:hAnsi="Times New Roman" w:cs="Times New Roman"/>
          <w:bidi w:val="0"/>
          <w:sz w:val="10"/>
          <w:rtl w:val="0"/>
          <w:szCs w:val="10"/>
        </w:rPr>
        <w:t xml:space="preserve">[12] </w:t>
      </w:r>
      <w:r>
        <w:rPr>
          <w:rFonts w:ascii="Times New Roman" w:hAnsi="Times New Roman" w:cs="Times New Roman"/>
          <w:bidi w:val="0"/>
          <w:sz w:val="10"/>
          <w:rtl w:val="0"/>
          <w:szCs w:val="10"/>
        </w:rPr>
        <w:t xml:space="preserve">P. Veličković, G. Cucurull, A. Casanova, A. Romero, P. Liò, Y. Bengio, "Graph attention networks", </w:t>
      </w:r>
      <w:r>
        <w:rPr>
          <w:rFonts w:ascii="Times New Roman" w:hAnsi="Times New Roman" w:cs="Times New Roman"/>
          <w:iCs/>
          <w:i/>
          <w:bidi w:val="0"/>
          <w:sz w:val="10"/>
          <w:rtl w:val="0"/>
          <w:szCs w:val="10"/>
        </w:rPr>
        <w:t>Proc. 6th Int. Conf. on Learning Representations (ICLR)</w:t>
      </w:r>
      <w:r>
        <w:rPr>
          <w:rFonts w:ascii="Times New Roman" w:hAnsi="Times New Roman" w:cs="Times New Roman"/>
          <w:bidi w:val="0"/>
          <w:sz w:val="10"/>
          <w:rtl w:val="0"/>
          <w:szCs w:val="10"/>
        </w:rPr>
        <w:t>, 2018.</w:t>
      </w:r>
    </w:p>
    <w:p>
      <w:pPr>
        <w:pStyle w:val="ENREF"/>
        <w:spacing w:before="0" w:after="0" w:line="197" w:lineRule="auto"/>
      </w:pPr>
      <w:r>
        <w:rPr>
          <w:rFonts w:ascii="Times New Roman" w:hAnsi="Times New Roman" w:cs="Times New Roman"/>
          <w:bidi w:val="0"/>
          <w:sz w:val="10"/>
          <w:rtl w:val="0"/>
          <w:szCs w:val="10"/>
        </w:rPr>
        <w:t xml:space="preserve">[13] </w:t>
      </w:r>
      <w:r>
        <w:rPr>
          <w:rFonts w:ascii="Times New Roman" w:hAnsi="Times New Roman" w:cs="Times New Roman"/>
          <w:bidi w:val="0"/>
          <w:sz w:val="10"/>
          <w:rtl w:val="0"/>
          <w:szCs w:val="10"/>
        </w:rPr>
        <w:t xml:space="preserve">W. L. Hamilton, R. Ying, J. Leskovec, "Inductive representation learning on large graphs", </w:t>
      </w:r>
      <w:r>
        <w:rPr>
          <w:rFonts w:ascii="Times New Roman" w:hAnsi="Times New Roman" w:cs="Times New Roman"/>
          <w:iCs/>
          <w:i/>
          <w:bidi w:val="0"/>
          <w:sz w:val="10"/>
          <w:rtl w:val="0"/>
          <w:szCs w:val="10"/>
        </w:rPr>
        <w:t>Advances in Neural Information Processing Systems (NeurIPS 30)</w:t>
      </w:r>
      <w:r>
        <w:rPr>
          <w:rFonts w:ascii="Times New Roman" w:hAnsi="Times New Roman" w:cs="Times New Roman"/>
          <w:bidi w:val="0"/>
          <w:sz w:val="10"/>
          <w:rtl w:val="0"/>
          <w:szCs w:val="10"/>
        </w:rPr>
        <w:t>, pp. 1024-1034, 2017.</w:t>
      </w:r>
    </w:p>
    <w:p>
      <w:pPr>
        <w:pStyle w:val="ENREF"/>
        <w:spacing w:before="0" w:after="0" w:line="197" w:lineRule="auto"/>
      </w:pPr>
      <w:r>
        <w:rPr>
          <w:rFonts w:ascii="Times New Roman" w:hAnsi="Times New Roman" w:cs="Times New Roman"/>
          <w:bidi w:val="0"/>
          <w:sz w:val="10"/>
          <w:rtl w:val="0"/>
          <w:szCs w:val="10"/>
        </w:rPr>
        <w:t xml:space="preserve">[14] </w:t>
      </w:r>
      <w:r>
        <w:rPr>
          <w:rFonts w:ascii="Times New Roman" w:hAnsi="Times New Roman" w:cs="Times New Roman"/>
          <w:bidi w:val="0"/>
          <w:sz w:val="10"/>
          <w:rtl w:val="0"/>
          <w:szCs w:val="10"/>
        </w:rPr>
        <w:t xml:space="preserve">T. N. Kipf, M. Welling, "Variational graph auto-encoders", </w:t>
      </w:r>
      <w:r>
        <w:rPr>
          <w:rFonts w:ascii="Times New Roman" w:hAnsi="Times New Roman" w:cs="Times New Roman"/>
          <w:iCs/>
          <w:i/>
          <w:bidi w:val="0"/>
          <w:sz w:val="10"/>
          <w:rtl w:val="0"/>
          <w:szCs w:val="10"/>
        </w:rPr>
        <w:t>NIPS Workshop on Bayesian Deep Learning</w:t>
      </w:r>
      <w:r>
        <w:rPr>
          <w:rFonts w:ascii="Times New Roman" w:hAnsi="Times New Roman" w:cs="Times New Roman"/>
          <w:bidi w:val="0"/>
          <w:sz w:val="10"/>
          <w:rtl w:val="0"/>
          <w:szCs w:val="10"/>
        </w:rPr>
        <w:t>, 2016.</w:t>
      </w:r>
    </w:p>
    <w:p>
      <w:pPr>
        <w:pStyle w:val="ENREF"/>
        <w:spacing w:before="0" w:after="0" w:line="197" w:lineRule="auto"/>
      </w:pPr>
      <w:r>
        <w:rPr>
          <w:rFonts w:ascii="Times New Roman" w:hAnsi="Times New Roman" w:cs="Times New Roman"/>
          <w:bidi w:val="0"/>
          <w:sz w:val="10"/>
          <w:rtl w:val="0"/>
          <w:szCs w:val="10"/>
        </w:rPr>
        <w:t xml:space="preserve">[15] </w:t>
      </w:r>
      <w:r>
        <w:rPr>
          <w:rFonts w:ascii="Times New Roman" w:hAnsi="Times New Roman" w:cs="Times New Roman"/>
          <w:bidi w:val="0"/>
          <w:sz w:val="10"/>
          <w:rtl w:val="0"/>
          <w:szCs w:val="10"/>
        </w:rPr>
        <w:t xml:space="preserve">M. Tare, C. Rattasits, Y. Wu, E. Wielewski, "Harnessing GraphSAGE for learning representations of massive transactional networks", </w:t>
      </w:r>
      <w:r>
        <w:rPr>
          <w:rFonts w:ascii="Times New Roman" w:hAnsi="Times New Roman" w:cs="Times New Roman"/>
          <w:iCs/>
          <w:i/>
          <w:bidi w:val="0"/>
          <w:sz w:val="10"/>
          <w:rtl w:val="0"/>
          <w:szCs w:val="10"/>
        </w:rPr>
        <w:t>Graph-Based Representations in Pattern Recognition (GbRPR), Lecture Notes in Computer Science</w:t>
      </w:r>
      <w:r>
        <w:rPr>
          <w:rFonts w:ascii="Times New Roman" w:hAnsi="Times New Roman" w:cs="Times New Roman"/>
          <w:bidi w:val="0"/>
          <w:sz w:val="10"/>
          <w:rtl w:val="0"/>
          <w:szCs w:val="10"/>
        </w:rPr>
        <w:t>, Vol. 14782, pp. 179-188, Springer, 2025.</w:t>
      </w:r>
    </w:p>
    <w:p>
      <w:pPr>
        <w:pStyle w:val="ENREF"/>
        <w:spacing w:before="0" w:after="0" w:line="197" w:lineRule="auto"/>
      </w:pPr>
      <w:r>
        <w:rPr>
          <w:rFonts w:ascii="Times New Roman" w:hAnsi="Times New Roman" w:cs="Times New Roman"/>
          <w:bidi w:val="0"/>
          <w:sz w:val="10"/>
          <w:rtl w:val="0"/>
          <w:szCs w:val="10"/>
        </w:rPr>
        <w:t xml:space="preserve">[16] </w:t>
      </w:r>
      <w:r>
        <w:rPr>
          <w:rFonts w:ascii="Times New Roman" w:hAnsi="Times New Roman" w:cs="Times New Roman"/>
          <w:bidi w:val="0"/>
          <w:sz w:val="10"/>
          <w:rtl w:val="0"/>
          <w:szCs w:val="10"/>
        </w:rPr>
        <w:t xml:space="preserve">D. Xu, C. Ruan, E. Korpeoglu, S. Kumar, K. Achan, "Inductive representation learning on temporal graphs", </w:t>
      </w:r>
      <w:r>
        <w:rPr>
          <w:rFonts w:ascii="Times New Roman" w:hAnsi="Times New Roman" w:cs="Times New Roman"/>
          <w:iCs/>
          <w:i/>
          <w:bidi w:val="0"/>
          <w:sz w:val="10"/>
          <w:rtl w:val="0"/>
          <w:szCs w:val="10"/>
        </w:rPr>
        <w:t>Proc. 8th Int. Conf. on Learning Representations (ICLR)</w:t>
      </w:r>
      <w:r>
        <w:rPr>
          <w:rFonts w:ascii="Times New Roman" w:hAnsi="Times New Roman" w:cs="Times New Roman"/>
          <w:bidi w:val="0"/>
          <w:sz w:val="10"/>
          <w:rtl w:val="0"/>
          <w:szCs w:val="10"/>
        </w:rPr>
        <w:t>, 2020.</w:t>
      </w:r>
    </w:p>
    <w:p>
      <w:pPr>
        <w:pStyle w:val="ENREF"/>
        <w:spacing w:before="0" w:after="0" w:line="197" w:lineRule="auto"/>
      </w:pPr>
      <w:r>
        <w:rPr>
          <w:rFonts w:ascii="Times New Roman" w:hAnsi="Times New Roman" w:cs="Times New Roman"/>
          <w:bidi w:val="0"/>
          <w:sz w:val="10"/>
          <w:rtl w:val="0"/>
          <w:szCs w:val="10"/>
        </w:rPr>
        <w:t xml:space="preserve">[17] </w:t>
      </w:r>
      <w:r>
        <w:rPr>
          <w:rFonts w:ascii="Times New Roman" w:hAnsi="Times New Roman" w:cs="Times New Roman"/>
          <w:bidi w:val="0"/>
          <w:sz w:val="10"/>
          <w:rtl w:val="0"/>
          <w:szCs w:val="10"/>
        </w:rPr>
        <w:t xml:space="preserve">E. Rossi, B. Chamberlain, F. Frasca, D. Eynard, F. Monti, M. Bronstein, "Temporal graph networks on dynamic graphs", </w:t>
      </w:r>
      <w:r>
        <w:rPr>
          <w:rFonts w:ascii="Times New Roman" w:hAnsi="Times New Roman" w:cs="Times New Roman"/>
          <w:iCs/>
          <w:i/>
          <w:bidi w:val="0"/>
          <w:sz w:val="10"/>
          <w:rtl w:val="0"/>
          <w:szCs w:val="10"/>
        </w:rPr>
        <w:t>ICML Workshop on Graph Representation Learning</w:t>
      </w:r>
      <w:r>
        <w:rPr>
          <w:rFonts w:ascii="Times New Roman" w:hAnsi="Times New Roman" w:cs="Times New Roman"/>
          <w:bidi w:val="0"/>
          <w:sz w:val="10"/>
          <w:rtl w:val="0"/>
          <w:szCs w:val="10"/>
        </w:rPr>
        <w:t>, 2020.</w:t>
      </w:r>
    </w:p>
    <w:p>
      <w:pPr>
        <w:pStyle w:val="ENREF"/>
        <w:spacing w:before="0" w:after="0" w:line="197" w:lineRule="auto"/>
      </w:pPr>
      <w:r>
        <w:rPr>
          <w:rFonts w:ascii="Times New Roman" w:hAnsi="Times New Roman" w:cs="Times New Roman"/>
          <w:bidi w:val="0"/>
          <w:sz w:val="10"/>
          <w:rtl w:val="0"/>
          <w:szCs w:val="10"/>
        </w:rPr>
        <w:t xml:space="preserve">[18] </w:t>
      </w:r>
      <w:r>
        <w:rPr>
          <w:rFonts w:ascii="Times New Roman" w:hAnsi="Times New Roman" w:cs="Times New Roman"/>
          <w:bidi w:val="0"/>
          <w:sz w:val="10"/>
          <w:rtl w:val="0"/>
          <w:szCs w:val="10"/>
        </w:rPr>
        <w:t xml:space="preserve">A. Pareja et al., "EvolveGCN: Evolving graph convolutional networks for dynamic graphs", </w:t>
      </w:r>
      <w:r>
        <w:rPr>
          <w:rFonts w:ascii="Times New Roman" w:hAnsi="Times New Roman" w:cs="Times New Roman"/>
          <w:iCs/>
          <w:i/>
          <w:bidi w:val="0"/>
          <w:sz w:val="10"/>
          <w:rtl w:val="0"/>
          <w:szCs w:val="10"/>
        </w:rPr>
        <w:t>Proc. 34th AAAI Conf. on Artificial Intelligence</w:t>
      </w:r>
      <w:r>
        <w:rPr>
          <w:rFonts w:ascii="Times New Roman" w:hAnsi="Times New Roman" w:cs="Times New Roman"/>
          <w:bidi w:val="0"/>
          <w:sz w:val="10"/>
          <w:rtl w:val="0"/>
          <w:szCs w:val="10"/>
        </w:rPr>
        <w:t>, pp. 5363-5370, 2020.</w:t>
      </w:r>
    </w:p>
    <w:p>
      <w:pPr>
        <w:pStyle w:val="ENREF"/>
        <w:spacing w:before="0" w:after="0" w:line="197" w:lineRule="auto"/>
      </w:pPr>
      <w:r>
        <w:rPr>
          <w:rFonts w:ascii="Times New Roman" w:hAnsi="Times New Roman" w:cs="Times New Roman"/>
          <w:bidi w:val="0"/>
          <w:sz w:val="10"/>
          <w:rtl w:val="0"/>
          <w:szCs w:val="10"/>
        </w:rPr>
        <w:t xml:space="preserve">[19] </w:t>
      </w:r>
      <w:r>
        <w:rPr>
          <w:rFonts w:ascii="Times New Roman" w:hAnsi="Times New Roman" w:cs="Times New Roman"/>
          <w:bidi w:val="0"/>
          <w:sz w:val="10"/>
          <w:rtl w:val="0"/>
          <w:szCs w:val="10"/>
        </w:rPr>
        <w:t xml:space="preserve">Y. Zheng, L. Yi, Z. Wei, "A survey of dynamic graph neural networks", </w:t>
      </w:r>
      <w:r>
        <w:rPr>
          <w:rFonts w:ascii="Times New Roman" w:hAnsi="Times New Roman" w:cs="Times New Roman"/>
          <w:iCs/>
          <w:i/>
          <w:bidi w:val="0"/>
          <w:sz w:val="10"/>
          <w:rtl w:val="0"/>
          <w:szCs w:val="10"/>
        </w:rPr>
        <w:t>Frontiers of Computer Science</w:t>
      </w:r>
      <w:r>
        <w:rPr>
          <w:rFonts w:ascii="Times New Roman" w:hAnsi="Times New Roman" w:cs="Times New Roman"/>
          <w:bidi w:val="0"/>
          <w:sz w:val="10"/>
          <w:rtl w:val="0"/>
          <w:szCs w:val="10"/>
        </w:rPr>
        <w:t>, Vol. 19, No. 6, Art. 196323, 2025.</w:t>
      </w:r>
    </w:p>
    <w:p>
      <w:pPr>
        <w:pStyle w:val="ENREF"/>
        <w:spacing w:before="0" w:after="0" w:line="197" w:lineRule="auto"/>
      </w:pPr>
      <w:r>
        <w:rPr>
          <w:rFonts w:ascii="Times New Roman" w:hAnsi="Times New Roman" w:cs="Times New Roman"/>
          <w:bidi w:val="0"/>
          <w:sz w:val="10"/>
          <w:rtl w:val="0"/>
          <w:szCs w:val="10"/>
        </w:rPr>
        <w:t xml:space="preserve">[20] </w:t>
      </w:r>
      <w:r>
        <w:rPr>
          <w:rFonts w:ascii="Times New Roman" w:hAnsi="Times New Roman" w:cs="Times New Roman"/>
          <w:bidi w:val="0"/>
          <w:sz w:val="10"/>
          <w:rtl w:val="0"/>
          <w:szCs w:val="10"/>
        </w:rPr>
        <w:t xml:space="preserve">M. M. Bronstein, J. Bruna, Y. LeCun, A. Szlam, P. Vandergheynst, "Geometric deep learning: Going beyond Euclidean data", </w:t>
      </w:r>
      <w:r>
        <w:rPr>
          <w:rFonts w:ascii="Times New Roman" w:hAnsi="Times New Roman" w:cs="Times New Roman"/>
          <w:iCs/>
          <w:i/>
          <w:bidi w:val="0"/>
          <w:sz w:val="10"/>
          <w:rtl w:val="0"/>
          <w:szCs w:val="10"/>
        </w:rPr>
        <w:t>IEEE Signal Processing Magazine</w:t>
      </w:r>
      <w:r>
        <w:rPr>
          <w:rFonts w:ascii="Times New Roman" w:hAnsi="Times New Roman" w:cs="Times New Roman"/>
          <w:bidi w:val="0"/>
          <w:sz w:val="10"/>
          <w:rtl w:val="0"/>
          <w:szCs w:val="10"/>
        </w:rPr>
        <w:t>, Vol. 34, No. 4, pp. 18-42, 2017.</w:t>
      </w:r>
    </w:p>
    <w:p>
      <w:pPr>
        <w:pStyle w:val="ENREF"/>
        <w:spacing w:before="0" w:after="0" w:line="197" w:lineRule="auto"/>
      </w:pPr>
      <w:r>
        <w:rPr>
          <w:rFonts w:ascii="Times New Roman" w:hAnsi="Times New Roman" w:cs="Times New Roman"/>
          <w:bidi w:val="0"/>
          <w:sz w:val="10"/>
          <w:rtl w:val="0"/>
          <w:szCs w:val="10"/>
        </w:rPr>
        <w:t xml:space="preserve">[21] </w:t>
      </w:r>
      <w:r>
        <w:rPr>
          <w:rFonts w:ascii="Times New Roman" w:hAnsi="Times New Roman" w:cs="Times New Roman"/>
          <w:bidi w:val="0"/>
          <w:sz w:val="10"/>
          <w:rtl w:val="0"/>
          <w:szCs w:val="10"/>
        </w:rPr>
        <w:t xml:space="preserve">V. D. Blondel, J.-L. Guillaume, R. Lambiotte, E. Lefebvre, "Fast unfolding of communities in large networks", </w:t>
      </w:r>
      <w:r>
        <w:rPr>
          <w:rFonts w:ascii="Times New Roman" w:hAnsi="Times New Roman" w:cs="Times New Roman"/>
          <w:iCs/>
          <w:i/>
          <w:bidi w:val="0"/>
          <w:sz w:val="10"/>
          <w:rtl w:val="0"/>
          <w:szCs w:val="10"/>
        </w:rPr>
        <w:t>Journal of Statistical Mechanics: Theory and Experiment</w:t>
      </w:r>
      <w:r>
        <w:rPr>
          <w:rFonts w:ascii="Times New Roman" w:hAnsi="Times New Roman" w:cs="Times New Roman"/>
          <w:bidi w:val="0"/>
          <w:sz w:val="10"/>
          <w:rtl w:val="0"/>
          <w:szCs w:val="10"/>
        </w:rPr>
        <w:t>, 2008.</w:t>
      </w:r>
    </w:p>
    <w:p>
      <w:pPr>
        <w:pStyle w:val="ENREF"/>
        <w:spacing w:before="0" w:after="0" w:line="197" w:lineRule="auto"/>
      </w:pPr>
      <w:r>
        <w:rPr>
          <w:rFonts w:ascii="Times New Roman" w:hAnsi="Times New Roman" w:cs="Times New Roman"/>
          <w:bidi w:val="0"/>
          <w:sz w:val="10"/>
          <w:rtl w:val="0"/>
          <w:szCs w:val="10"/>
        </w:rPr>
        <w:t xml:space="preserve">[22] </w:t>
      </w:r>
      <w:r>
        <w:rPr>
          <w:rFonts w:ascii="Times New Roman" w:hAnsi="Times New Roman" w:cs="Times New Roman"/>
          <w:bidi w:val="0"/>
          <w:sz w:val="10"/>
          <w:rtl w:val="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rtl w:val="0"/>
          <w:szCs w:val="10"/>
        </w:rPr>
        <w:t>Proc. 11th Int. Conf. on Learning Representations (ICLR)</w:t>
      </w:r>
      <w:r>
        <w:rPr>
          <w:rFonts w:ascii="Times New Roman" w:hAnsi="Times New Roman" w:cs="Times New Roman"/>
          <w:bidi w:val="0"/>
          <w:sz w:val="10"/>
          <w:rtl w:val="0"/>
          <w:szCs w:val="10"/>
        </w:rPr>
        <w:t>, 2023.</w:t>
      </w:r>
    </w:p>
    <w:p>
      <w:pPr>
        <w:pStyle w:val="ENREF"/>
        <w:spacing w:before="0" w:after="0" w:line="197" w:lineRule="auto"/>
      </w:pPr>
      <w:r>
        <w:rPr>
          <w:rFonts w:ascii="Times New Roman" w:hAnsi="Times New Roman" w:cs="Times New Roman"/>
          <w:bidi w:val="0"/>
          <w:sz w:val="10"/>
          <w:rtl w:val="0"/>
          <w:szCs w:val="10"/>
        </w:rPr>
        <w:t xml:space="preserve">[23] </w:t>
      </w:r>
      <w:r>
        <w:rPr>
          <w:rFonts w:ascii="Times New Roman" w:hAnsi="Times New Roman" w:cs="Times New Roman"/>
          <w:bidi w:val="0"/>
          <w:sz w:val="10"/>
          <w:rtl w:val="0"/>
          <w:szCs w:val="10"/>
        </w:rPr>
        <w:t xml:space="preserve">T. Wang, J. Kang, Y. Yan, A. Kulkarni, D. Zhou, "Non-exchangeable conformal prediction for temporal graph neural networks", </w:t>
      </w:r>
      <w:r>
        <w:rPr>
          <w:rFonts w:ascii="Times New Roman" w:hAnsi="Times New Roman" w:cs="Times New Roman"/>
          <w:iCs/>
          <w:i/>
          <w:bidi w:val="0"/>
          <w:sz w:val="10"/>
          <w:rtl w:val="0"/>
          <w:szCs w:val="10"/>
        </w:rPr>
        <w:t>Proc. 31st ACM SIGKDD Conf. on Knowledge Discovery and Data Mining (KDD)</w:t>
      </w:r>
      <w:r>
        <w:rPr>
          <w:rFonts w:ascii="Times New Roman" w:hAnsi="Times New Roman" w:cs="Times New Roman"/>
          <w:bidi w:val="0"/>
          <w:sz w:val="10"/>
          <w:rtl w:val="0"/>
          <w:szCs w:val="10"/>
        </w:rPr>
        <w:t>, Vol. 2, pp. 3031-3042, 2025.</w:t>
      </w:r>
    </w:p>
    <w:p>
      <w:pPr>
        <w:pStyle w:val="ENREF"/>
        <w:spacing w:before="0" w:after="0" w:line="197" w:lineRule="auto"/>
      </w:pPr>
      <w:r>
        <w:rPr>
          <w:rFonts w:ascii="Times New Roman" w:hAnsi="Times New Roman" w:cs="Times New Roman"/>
          <w:bidi w:val="0"/>
          <w:sz w:val="10"/>
          <w:rtl w:val="0"/>
          <w:szCs w:val="10"/>
        </w:rPr>
        <w:t xml:space="preserve">[24] </w:t>
      </w:r>
      <w:r>
        <w:rPr>
          <w:rFonts w:ascii="Times New Roman" w:hAnsi="Times New Roman" w:cs="Times New Roman"/>
          <w:bidi w:val="0"/>
          <w:sz w:val="10"/>
          <w:rtl w:val="0"/>
          <w:szCs w:val="10"/>
        </w:rPr>
        <w:t xml:space="preserve">S. C. Kumbhakar, C. A. K. Lovell, "Stochastic Frontier Analysis", </w:t>
      </w:r>
      <w:r>
        <w:rPr>
          <w:rFonts w:ascii="Times New Roman" w:hAnsi="Times New Roman" w:cs="Times New Roman"/>
          <w:iCs/>
          <w:i/>
          <w:bidi w:val="0"/>
          <w:sz w:val="10"/>
          <w:rtl w:val="0"/>
          <w:szCs w:val="10"/>
        </w:rPr>
        <w:t>Cambridge University Press</w:t>
      </w:r>
      <w:r>
        <w:rPr>
          <w:rFonts w:ascii="Times New Roman" w:hAnsi="Times New Roman" w:cs="Times New Roman"/>
          <w:bidi w:val="0"/>
          <w:sz w:val="10"/>
          <w:rtl w:val="0"/>
          <w:szCs w:val="10"/>
        </w:rPr>
        <w:t>, Cambridge, U.K., 2000.</w:t>
      </w:r>
    </w:p>
    <w:p>
      <w:pPr>
        <w:pStyle w:val="ENREF"/>
        <w:spacing w:before="0" w:after="0" w:line="197" w:lineRule="auto"/>
      </w:pPr>
      <w:r>
        <w:rPr>
          <w:rFonts w:ascii="Times New Roman" w:hAnsi="Times New Roman" w:cs="Times New Roman"/>
          <w:bidi w:val="0"/>
          <w:sz w:val="10"/>
          <w:rtl w:val="0"/>
          <w:szCs w:val="10"/>
        </w:rPr>
        <w:t xml:space="preserve">[25] </w:t>
      </w:r>
      <w:r>
        <w:rPr>
          <w:rFonts w:ascii="Times New Roman" w:hAnsi="Times New Roman" w:cs="Times New Roman"/>
          <w:bidi w:val="0"/>
          <w:sz w:val="10"/>
          <w:rtl w:val="0"/>
          <w:szCs w:val="10"/>
        </w:rPr>
        <w:t xml:space="preserve">A. C. Cameron, P. K. Trivedi, "Regression Analysis of Count Data", 2nd ed., </w:t>
      </w:r>
      <w:r>
        <w:rPr>
          <w:rFonts w:ascii="Times New Roman" w:hAnsi="Times New Roman" w:cs="Times New Roman"/>
          <w:iCs/>
          <w:i/>
          <w:bidi w:val="0"/>
          <w:sz w:val="10"/>
          <w:rtl w:val="0"/>
          <w:szCs w:val="10"/>
        </w:rPr>
        <w:t>Cambridge University Press</w:t>
      </w:r>
      <w:r>
        <w:rPr>
          <w:rFonts w:ascii="Times New Roman" w:hAnsi="Times New Roman" w:cs="Times New Roman"/>
          <w:bidi w:val="0"/>
          <w:sz w:val="10"/>
          <w:rtl w:val="0"/>
          <w:szCs w:val="10"/>
        </w:rPr>
        <w:t>, Cambridge, U.K., 2013.</w:t>
      </w:r>
    </w:p>
    <w:p>
      <w:pPr>
        <w:pStyle w:val="ENREF"/>
        <w:spacing w:before="0" w:after="0" w:line="197" w:lineRule="auto"/>
      </w:pPr>
      <w:r>
        <w:rPr>
          <w:rFonts w:ascii="Times New Roman" w:hAnsi="Times New Roman" w:cs="Times New Roman"/>
          <w:bidi w:val="0"/>
          <w:sz w:val="10"/>
          <w:rtl w:val="0"/>
          <w:szCs w:val="10"/>
        </w:rPr>
        <w:t xml:space="preserve">[26] </w:t>
      </w:r>
      <w:r>
        <w:rPr>
          <w:rFonts w:ascii="Times New Roman" w:hAnsi="Times New Roman" w:cs="Times New Roman"/>
          <w:bidi w:val="0"/>
          <w:sz w:val="10"/>
          <w:rtl w:val="0"/>
          <w:szCs w:val="10"/>
        </w:rPr>
        <w:t xml:space="preserve">E. Ascarza, "Retention first, but for whom? Identifying targets for churn management", </w:t>
      </w:r>
      <w:r>
        <w:rPr>
          <w:rFonts w:ascii="Times New Roman" w:hAnsi="Times New Roman" w:cs="Times New Roman"/>
          <w:iCs/>
          <w:i/>
          <w:bidi w:val="0"/>
          <w:sz w:val="10"/>
          <w:rtl w:val="0"/>
          <w:szCs w:val="10"/>
        </w:rPr>
        <w:t>Journal of Marketing Research</w:t>
      </w:r>
      <w:r>
        <w:rPr>
          <w:rFonts w:ascii="Times New Roman" w:hAnsi="Times New Roman" w:cs="Times New Roman"/>
          <w:bidi w:val="0"/>
          <w:sz w:val="10"/>
          <w:rtl w:val="0"/>
          <w:szCs w:val="10"/>
        </w:rPr>
        <w:t>, Vol. 55, No. 2, pp. 181-198, 2018.</w:t>
      </w:r>
    </w:p>
    <w:p>
      <w:pPr>
        <w:pStyle w:val="ENREF"/>
        <w:spacing w:before="0" w:after="0" w:line="197" w:lineRule="auto"/>
      </w:pPr>
      <w:r>
        <w:rPr>
          <w:rFonts w:ascii="Times New Roman" w:hAnsi="Times New Roman" w:cs="Times New Roman"/>
          <w:bidi w:val="0"/>
          <w:sz w:val="10"/>
          <w:rtl w:val="0"/>
          <w:szCs w:val="10"/>
        </w:rPr>
        <w:t xml:space="preserve">[27] </w:t>
      </w:r>
      <w:r>
        <w:rPr>
          <w:rFonts w:ascii="Times New Roman" w:hAnsi="Times New Roman" w:cs="Times New Roman"/>
          <w:bidi w:val="0"/>
          <w:sz w:val="10"/>
          <w:rtl w:val="0"/>
          <w:szCs w:val="10"/>
        </w:rPr>
        <w:t xml:space="preserve">F. Devriendt, D. Moldovan, W. Verbeke, "Why you should stop using cross-entropy for uplift modeling", </w:t>
      </w:r>
      <w:r>
        <w:rPr>
          <w:rFonts w:ascii="Times New Roman" w:hAnsi="Times New Roman" w:cs="Times New Roman"/>
          <w:iCs/>
          <w:i/>
          <w:bidi w:val="0"/>
          <w:sz w:val="10"/>
          <w:rtl w:val="0"/>
          <w:szCs w:val="10"/>
        </w:rPr>
        <w:t>Information Sciences</w:t>
      </w:r>
      <w:r>
        <w:rPr>
          <w:rFonts w:ascii="Times New Roman" w:hAnsi="Times New Roman" w:cs="Times New Roman"/>
          <w:bidi w:val="0"/>
          <w:sz w:val="10"/>
          <w:rtl w:val="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