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2.51-fold improvement over random expectation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Conformal Prediction,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While recent works like CIKM 2019 and JBMR 2025 explore graph-based merchant incentive optimization, they rely on supervised responses. HAMTA does not introduce graph-based merchant marketing; rather, it introduces a treatment-label-free peer-relative opportunity formulation based on a temporal transaction graph, a natural forecast bound, and conservative graph-weighted peer benchmarking: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GCN and GAT [14], [15] model entities as nodes and transactions as edges. Foundational formulations such as variational graph auto-encoders [12] and inductive architectures on transaction graphs [13]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one-sided temporal prediction-interval calibration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The observed overdispersion motivates a Negative Binomial specification over a Poisson model.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1120847"/>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1120847"/>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is used as a contextual merchant-scale feature in forecasting.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(edges are binary to focus on topological co-visitation structure rather than volume).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Crucially, curvature is computed on the symmetrized peer graph. On G_peer, normalized augmented Forman-Ricci score used in this study,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2380762"/>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2380762"/>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L_NB = -∑_m [ ln Γ(Y_m + φ) - ln Γ(φ) - ln Γ(Y_m + 1)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inverse-dispersion (size)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Nonconformity residuals R_m = max(0, Y_m - μ̂_m) evaluate one-sided natural upside prediction deviations. For nominal miscoverage α = 0.15 (targeting 85% one-sided upper coverage), calibration quantile q_{0.85} = Quantile_{1-α}(R)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In temporal graphs, empirical validation across 10 random seeds demonstrates robust empirical upper coverage (Coverage = 86.2% ± 3.1% with mean interval width 4.6 ± 0.3 transactions), confirming practical interval calibration validating empirical one-sided temporal calibration.</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L_{j, t+1} = max(0, μ̂_{j, t+1} - q_j), with q_j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735808"/>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735808"/>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temporal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starting in Test Period 5. Exactly 52 out of 350 merchants (~14.6%) across all 8 business categories are selected via stratified random sampling.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5.16</w:t>
            </w:r>
          </w:p>
        </w:tc>
        <w:tc>
          <w:tcPr>
            <w:tcW w:w="750" w:type="dxa"/>
            <w:tcMar>
              <w:top w:w="15" w:type="dxa"/>
              <w:bottom w:w="15" w:type="dxa"/>
              <w:left w:w="20" w:type="dxa"/>
              <w:right w:w="20" w:type="dxa"/>
            </w:tcMar>
          </w:tcPr>
          <w:p>
            <w:pPr>
              <w:jc w:val="right"/>
            </w:pPr>
            <w:r>
              <w:rPr>
                <w:sz w:val="12"/>
              </w:rPr>
              <w:t>6.98</w:t>
            </w:r>
          </w:p>
        </w:tc>
        <w:tc>
          <w:tcPr>
            <w:tcW w:w="850" w:type="dxa"/>
            <w:tcMar>
              <w:top w:w="15" w:type="dxa"/>
              <w:bottom w:w="15" w:type="dxa"/>
              <w:left w:w="20" w:type="dxa"/>
              <w:right w:w="20" w:type="dxa"/>
            </w:tcMar>
          </w:tcPr>
          <w:p>
            <w:pPr>
              <w:jc w:val="right"/>
            </w:pPr>
            <w:r>
              <w:rPr>
                <w:sz w:val="12"/>
              </w:rPr>
              <w:t>35.7%</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4.38</w:t>
            </w:r>
          </w:p>
        </w:tc>
        <w:tc>
          <w:tcPr>
            <w:tcW w:w="750" w:type="dxa"/>
            <w:tcMar>
              <w:top w:w="15" w:type="dxa"/>
              <w:bottom w:w="15" w:type="dxa"/>
              <w:left w:w="20" w:type="dxa"/>
              <w:right w:w="20" w:type="dxa"/>
            </w:tcMar>
          </w:tcPr>
          <w:p>
            <w:pPr>
              <w:jc w:val="right"/>
            </w:pPr>
            <w:r>
              <w:rPr>
                <w:sz w:val="12"/>
              </w:rPr>
              <w:t>5.91</w:t>
            </w:r>
          </w:p>
        </w:tc>
        <w:tc>
          <w:tcPr>
            <w:tcW w:w="850" w:type="dxa"/>
            <w:tcMar>
              <w:top w:w="15" w:type="dxa"/>
              <w:bottom w:w="15" w:type="dxa"/>
              <w:left w:w="20" w:type="dxa"/>
              <w:right w:w="20" w:type="dxa"/>
            </w:tcMar>
          </w:tcPr>
          <w:p>
            <w:pPr>
              <w:jc w:val="right"/>
            </w:pPr>
            <w:r>
              <w:rPr>
                <w:sz w:val="12"/>
              </w:rPr>
              <w:t>30.7%</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4.83</w:t>
            </w:r>
          </w:p>
        </w:tc>
        <w:tc>
          <w:tcPr>
            <w:tcW w:w="750" w:type="dxa"/>
            <w:tcMar>
              <w:top w:w="15" w:type="dxa"/>
              <w:bottom w:w="15" w:type="dxa"/>
              <w:left w:w="20" w:type="dxa"/>
              <w:right w:w="20" w:type="dxa"/>
            </w:tcMar>
          </w:tcPr>
          <w:p>
            <w:pPr>
              <w:jc w:val="right"/>
            </w:pPr>
            <w:r>
              <w:rPr>
                <w:sz w:val="12"/>
              </w:rPr>
              <w:t>6.46</w:t>
            </w:r>
          </w:p>
        </w:tc>
        <w:tc>
          <w:tcPr>
            <w:tcW w:w="850" w:type="dxa"/>
            <w:tcMar>
              <w:top w:w="15" w:type="dxa"/>
              <w:bottom w:w="15" w:type="dxa"/>
              <w:left w:w="20" w:type="dxa"/>
              <w:right w:w="20" w:type="dxa"/>
            </w:tcMar>
          </w:tcPr>
          <w:p>
            <w:pPr>
              <w:jc w:val="right"/>
            </w:pPr>
            <w:r>
              <w:rPr>
                <w:sz w:val="12"/>
              </w:rPr>
              <w:t>33.4%</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4.60</w:t>
            </w:r>
          </w:p>
        </w:tc>
        <w:tc>
          <w:tcPr>
            <w:tcW w:w="750" w:type="dxa"/>
            <w:tcMar>
              <w:top w:w="15" w:type="dxa"/>
              <w:bottom w:w="15" w:type="dxa"/>
              <w:left w:w="20" w:type="dxa"/>
              <w:right w:w="20" w:type="dxa"/>
            </w:tcMar>
          </w:tcPr>
          <w:p>
            <w:pPr>
              <w:jc w:val="right"/>
            </w:pPr>
            <w:r>
              <w:rPr>
                <w:sz w:val="12"/>
              </w:rPr>
              <w:t>6.30</w:t>
            </w:r>
          </w:p>
        </w:tc>
        <w:tc>
          <w:tcPr>
            <w:tcW w:w="850" w:type="dxa"/>
            <w:tcMar>
              <w:top w:w="15" w:type="dxa"/>
              <w:bottom w:w="15" w:type="dxa"/>
              <w:left w:w="20" w:type="dxa"/>
              <w:right w:w="20" w:type="dxa"/>
            </w:tcMar>
          </w:tcPr>
          <w:p>
            <w:pPr>
              <w:jc w:val="right"/>
            </w:pPr>
            <w:r>
              <w:rPr>
                <w:sz w:val="12"/>
              </w:rPr>
              <w:t>31.3%</w:t>
            </w:r>
          </w:p>
        </w:tc>
        <w:tc>
          <w:tcPr>
            <w:tcW w:w="750" w:type="dxa"/>
            <w:tcMar>
              <w:top w:w="15" w:type="dxa"/>
              <w:bottom w:w="15" w:type="dxa"/>
              <w:left w:w="20" w:type="dxa"/>
              <w:right w:w="20" w:type="dxa"/>
            </w:tcMar>
          </w:tcPr>
          <w:p>
            <w:pPr>
              <w:jc w:val="right"/>
            </w:pPr>
            <w:r>
              <w:rPr>
                <w:sz w:val="12"/>
              </w:rPr>
              <w:t>—</w:t>
            </w:r>
          </w:p>
        </w:tc>
      </w:tr>
      <w:tr>
        <w:trPr>
          <w:cantSplit/>
        </w:trPr>
        <w:tc>
          <w:tcPr>
            <w:tcW w:w="1700" w:type="dxa"/>
            <w:shd w:fill="E8F5E9"/>
            <w:tcMar>
              <w:top w:w="15" w:type="dxa"/>
              <w:bottom w:w="15" w:type="dxa"/>
              <w:left w:w="20" w:type="dxa"/>
              <w:right w:w="20" w:type="dxa"/>
            </w:tcMar>
          </w:tcPr>
          <w:p>
            <w:pPr>
              <w:jc w:val="left"/>
            </w:pPr>
            <w:r>
              <w:rPr>
                <w:b/>
                <w:sz w:val="12"/>
              </w:rPr>
              <w:t>NB-GLM (Category)</w:t>
            </w:r>
          </w:p>
        </w:tc>
        <w:tc>
          <w:tcPr>
            <w:tcW w:w="750" w:type="dxa"/>
            <w:shd w:fill="E8F5E9"/>
            <w:tcMar>
              <w:top w:w="15" w:type="dxa"/>
              <w:bottom w:w="15" w:type="dxa"/>
              <w:left w:w="20" w:type="dxa"/>
              <w:right w:w="20" w:type="dxa"/>
            </w:tcMar>
          </w:tcPr>
          <w:p>
            <w:pPr>
              <w:jc w:val="right"/>
            </w:pPr>
            <w:r>
              <w:rPr>
                <w:b/>
                <w:sz w:val="12"/>
              </w:rPr>
              <w:t>1.00</w:t>
            </w:r>
          </w:p>
        </w:tc>
        <w:tc>
          <w:tcPr>
            <w:tcW w:w="750" w:type="dxa"/>
            <w:shd w:fill="E8F5E9"/>
            <w:tcMar>
              <w:top w:w="15" w:type="dxa"/>
              <w:bottom w:w="15" w:type="dxa"/>
              <w:left w:w="20" w:type="dxa"/>
              <w:right w:w="20" w:type="dxa"/>
            </w:tcMar>
          </w:tcPr>
          <w:p>
            <w:pPr>
              <w:jc w:val="right"/>
            </w:pPr>
            <w:r>
              <w:rPr>
                <w:b/>
                <w:sz w:val="12"/>
              </w:rPr>
              <w:t>1.25</w:t>
            </w:r>
          </w:p>
        </w:tc>
        <w:tc>
          <w:tcPr>
            <w:tcW w:w="850" w:type="dxa"/>
            <w:shd w:fill="E8F5E9"/>
            <w:tcMar>
              <w:top w:w="15" w:type="dxa"/>
              <w:bottom w:w="15" w:type="dxa"/>
              <w:left w:w="20" w:type="dxa"/>
              <w:right w:w="20" w:type="dxa"/>
            </w:tcMar>
          </w:tcPr>
          <w:p>
            <w:pPr>
              <w:jc w:val="right"/>
            </w:pPr>
            <w:r>
              <w:rPr>
                <w:b/>
                <w:sz w:val="12"/>
              </w:rPr>
              <w:t>8.5%</w:t>
            </w:r>
          </w:p>
        </w:tc>
        <w:tc>
          <w:tcPr>
            <w:tcW w:w="750" w:type="dxa"/>
            <w:shd w:fill="E8F5E9"/>
            <w:tcMar>
              <w:top w:w="15" w:type="dxa"/>
              <w:bottom w:w="15" w:type="dxa"/>
              <w:left w:w="20" w:type="dxa"/>
              <w:right w:w="20" w:type="dxa"/>
            </w:tcMar>
          </w:tcPr>
          <w:p>
            <w:pPr>
              <w:jc w:val="right"/>
            </w:pPr>
            <w:r>
              <w:rPr>
                <w:b/>
                <w:sz w:val="12"/>
              </w:rPr>
              <w:t>—</w:t>
            </w:r>
          </w:p>
        </w:tc>
      </w:tr>
    </w:tbl>
    <w:p>
      <w:pPr>
        <w:spacing w:after="30" w:line="235" w:lineRule="auto"/>
        <w:ind w:firstLine="202"/>
        <w:jc w:val="both"/>
      </w:pPr>
      <w:r>
        <w:rPr>
          <w:sz w:val="16"/>
        </w:rPr>
        <w:t>As reported in Table I, HAMTA achieves a forecasting MAE of 4.48 ± 0.42 and RMSE of 5.86 ± 0.58 under leak-free chronological evaluation. Crucially, natural forecast accuracy evaluates baseline prediction fidelity on unperturbed data.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0.314</w:t>
            </w:r>
          </w:p>
        </w:tc>
        <w:tc>
          <w:tcPr>
            <w:tcW w:w="690" w:type="dxa"/>
            <w:tcMar>
              <w:top w:w="12" w:type="dxa"/>
              <w:bottom w:w="12" w:type="dxa"/>
              <w:left w:w="8" w:type="dxa"/>
              <w:right w:w="8" w:type="dxa"/>
            </w:tcMar>
          </w:tcPr>
          <w:p>
            <w:pPr>
              <w:jc w:val="right"/>
            </w:pPr>
            <w:r>
              <w:rPr>
                <w:sz w:val="11"/>
              </w:rPr>
              <w:t>0.216</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0.366</w:t>
            </w:r>
          </w:p>
        </w:tc>
        <w:tc>
          <w:tcPr>
            <w:tcW w:w="690" w:type="dxa"/>
            <w:tcMar>
              <w:top w:w="12" w:type="dxa"/>
              <w:bottom w:w="12" w:type="dxa"/>
              <w:left w:w="8" w:type="dxa"/>
              <w:right w:w="8" w:type="dxa"/>
            </w:tcMar>
          </w:tcPr>
          <w:p>
            <w:pPr>
              <w:jc w:val="right"/>
            </w:pPr>
            <w:r>
              <w:rPr>
                <w:sz w:val="11"/>
              </w:rPr>
              <w:t>0.445</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0.114</w:t>
            </w:r>
          </w:p>
        </w:tc>
        <w:tc>
          <w:tcPr>
            <w:tcW w:w="690" w:type="dxa"/>
            <w:tcMar>
              <w:top w:w="12" w:type="dxa"/>
              <w:bottom w:w="12" w:type="dxa"/>
              <w:left w:w="8" w:type="dxa"/>
              <w:right w:w="8" w:type="dxa"/>
            </w:tcMar>
          </w:tcPr>
          <w:p>
            <w:pPr>
              <w:jc w:val="right"/>
            </w:pPr>
            <w:r>
              <w:rPr>
                <w:sz w:val="11"/>
              </w:rPr>
              <w:t>0.078</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0.083</w:t>
            </w:r>
          </w:p>
        </w:tc>
        <w:tc>
          <w:tcPr>
            <w:tcW w:w="690" w:type="dxa"/>
            <w:tcMar>
              <w:top w:w="12" w:type="dxa"/>
              <w:bottom w:w="12" w:type="dxa"/>
              <w:left w:w="8" w:type="dxa"/>
              <w:right w:w="8" w:type="dxa"/>
            </w:tcMar>
          </w:tcPr>
          <w:p>
            <w:pPr>
              <w:jc w:val="right"/>
            </w:pPr>
            <w:r>
              <w:rPr>
                <w:sz w:val="11"/>
              </w:rPr>
              <w:t>0.088</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0.029</w:t>
            </w:r>
          </w:p>
        </w:tc>
        <w:tc>
          <w:tcPr>
            <w:tcW w:w="690" w:type="dxa"/>
            <w:tcMar>
              <w:top w:w="12" w:type="dxa"/>
              <w:bottom w:w="12" w:type="dxa"/>
              <w:left w:w="8" w:type="dxa"/>
              <w:right w:w="8" w:type="dxa"/>
            </w:tcMar>
          </w:tcPr>
          <w:p>
            <w:pPr>
              <w:jc w:val="right"/>
            </w:pPr>
            <w:r>
              <w:rPr>
                <w:sz w:val="11"/>
              </w:rPr>
              <w:t>0.020</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0.099</w:t>
            </w:r>
          </w:p>
        </w:tc>
        <w:tc>
          <w:tcPr>
            <w:tcW w:w="690" w:type="dxa"/>
            <w:tcMar>
              <w:top w:w="12" w:type="dxa"/>
              <w:bottom w:w="12" w:type="dxa"/>
              <w:left w:w="8" w:type="dxa"/>
              <w:right w:w="8" w:type="dxa"/>
            </w:tcMar>
          </w:tcPr>
          <w:p>
            <w:pPr>
              <w:jc w:val="right"/>
            </w:pPr>
            <w:r>
              <w:rPr>
                <w:sz w:val="11"/>
              </w:rPr>
              <w:t>1.000</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0.943</w:t>
            </w:r>
          </w:p>
        </w:tc>
        <w:tc>
          <w:tcPr>
            <w:tcW w:w="690" w:type="dxa"/>
            <w:tcMar>
              <w:top w:w="12" w:type="dxa"/>
              <w:bottom w:w="12" w:type="dxa"/>
              <w:left w:w="8" w:type="dxa"/>
              <w:right w:w="8" w:type="dxa"/>
            </w:tcMar>
          </w:tcPr>
          <w:p>
            <w:pPr>
              <w:jc w:val="right"/>
            </w:pPr>
            <w:r>
              <w:rPr>
                <w:sz w:val="11"/>
              </w:rPr>
              <w:t>0.647</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0.956</w:t>
            </w:r>
          </w:p>
        </w:tc>
        <w:tc>
          <w:tcPr>
            <w:tcW w:w="690" w:type="dxa"/>
            <w:tcMar>
              <w:top w:w="12" w:type="dxa"/>
              <w:bottom w:w="12" w:type="dxa"/>
              <w:left w:w="8" w:type="dxa"/>
              <w:right w:w="8" w:type="dxa"/>
            </w:tcMar>
          </w:tcPr>
          <w:p>
            <w:pPr>
              <w:jc w:val="right"/>
            </w:pPr>
            <w:r>
              <w:rPr>
                <w:sz w:val="11"/>
              </w:rPr>
              <w:t>0.974</w:t>
            </w:r>
          </w:p>
        </w:tc>
      </w:tr>
      <w:tr>
        <w:trPr>
          <w:cantSplit/>
        </w:trPr>
        <w:tc>
          <w:tcPr>
            <w:tcW w:w="1350" w:type="dxa"/>
            <w:shd w:fill="E8F5E9"/>
            <w:tcMar>
              <w:top w:w="12" w:type="dxa"/>
              <w:bottom w:w="12" w:type="dxa"/>
              <w:left w:w="8" w:type="dxa"/>
              <w:right w:w="8" w:type="dxa"/>
            </w:tcMar>
          </w:tcPr>
          <w:p>
            <w:pPr>
              <w:jc w:val="left"/>
            </w:pPr>
            <w:r>
              <w:rPr>
                <w:b/>
                <w:sz w:val="11"/>
              </w:rPr>
              <w:t>Static GNN</w:t>
            </w:r>
          </w:p>
        </w:tc>
        <w:tc>
          <w:tcPr>
            <w:tcW w:w="690" w:type="dxa"/>
            <w:shd w:fill="E8F5E9"/>
            <w:tcMar>
              <w:top w:w="12" w:type="dxa"/>
              <w:bottom w:w="12" w:type="dxa"/>
              <w:left w:w="8" w:type="dxa"/>
              <w:right w:w="8" w:type="dxa"/>
            </w:tcMar>
          </w:tcPr>
          <w:p>
            <w:pPr>
              <w:jc w:val="right"/>
            </w:pPr>
            <w:r>
              <w:rPr>
                <w:b/>
                <w:sz w:val="11"/>
              </w:rPr>
              <w:t>0.943</w:t>
            </w:r>
          </w:p>
        </w:tc>
        <w:tc>
          <w:tcPr>
            <w:tcW w:w="690" w:type="dxa"/>
            <w:shd w:fill="E8F5E9"/>
            <w:tcMar>
              <w:top w:w="12" w:type="dxa"/>
              <w:bottom w:w="12" w:type="dxa"/>
              <w:left w:w="8" w:type="dxa"/>
              <w:right w:w="8" w:type="dxa"/>
            </w:tcMar>
          </w:tcPr>
          <w:p>
            <w:pPr>
              <w:jc w:val="right"/>
            </w:pPr>
            <w:r>
              <w:rPr>
                <w:b/>
                <w:sz w:val="11"/>
              </w:rPr>
              <w:t>0.647</w:t>
            </w:r>
          </w:p>
        </w:tc>
        <w:tc>
          <w:tcPr>
            <w:tcW w:w="690" w:type="dxa"/>
            <w:shd w:fill="E8F5E9"/>
            <w:tcMar>
              <w:top w:w="12" w:type="dxa"/>
              <w:bottom w:w="12" w:type="dxa"/>
              <w:left w:w="8" w:type="dxa"/>
              <w:right w:w="8" w:type="dxa"/>
            </w:tcMar>
          </w:tcPr>
          <w:p>
            <w:pPr>
              <w:jc w:val="right"/>
            </w:pPr>
            <w:r>
              <w:rPr>
                <w:b/>
                <w:sz w:val="11"/>
              </w:rPr>
              <w:t>0.000</w:t>
            </w:r>
          </w:p>
        </w:tc>
        <w:tc>
          <w:tcPr>
            <w:tcW w:w="690" w:type="dxa"/>
            <w:shd w:fill="E8F5E9"/>
            <w:tcMar>
              <w:top w:w="12" w:type="dxa"/>
              <w:bottom w:w="12" w:type="dxa"/>
              <w:left w:w="8" w:type="dxa"/>
              <w:right w:w="8" w:type="dxa"/>
            </w:tcMar>
          </w:tcPr>
          <w:p>
            <w:pPr>
              <w:jc w:val="right"/>
            </w:pPr>
            <w:r>
              <w:rPr>
                <w:b/>
                <w:sz w:val="11"/>
              </w:rPr>
              <w:t>0.957</w:t>
            </w:r>
          </w:p>
        </w:tc>
        <w:tc>
          <w:tcPr>
            <w:tcW w:w="690" w:type="dxa"/>
            <w:shd w:fill="E8F5E9"/>
            <w:tcMar>
              <w:top w:w="12" w:type="dxa"/>
              <w:bottom w:w="12" w:type="dxa"/>
              <w:left w:w="8" w:type="dxa"/>
              <w:right w:w="8" w:type="dxa"/>
            </w:tcMar>
          </w:tcPr>
          <w:p>
            <w:pPr>
              <w:jc w:val="right"/>
            </w:pPr>
            <w:r>
              <w:rPr>
                <w:b/>
                <w:sz w:val="11"/>
              </w:rPr>
              <w:t>0.978</w:t>
            </w:r>
          </w:p>
        </w:tc>
      </w:tr>
    </w:tbl>
    <w:p>
      <w:pPr>
        <w:keepNext/>
        <w:spacing w:before="50" w:after="20"/>
        <w:jc w:val="center"/>
      </w:pPr>
      <w:r>
        <w:drawing>
          <wp:inline xmlns:a="http://schemas.openxmlformats.org/drawingml/2006/main" xmlns:pic="http://schemas.openxmlformats.org/drawingml/2006/picture">
            <wp:extent cx="2834640" cy="1059411"/>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1059411"/>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51/350 (random expectation = 0.146, 14.6%), Table II confirms that HAMTA Proposed (M-GATO) achieves Precision@35 = 0.366 ± 0.120, Recall@35 = 0.246 ± 0.081, R-Precision = 0.342 ± 0.077, NDCG@35 = 0.382 ± 0.116, and MAP@35 = 0.180 ± 0.092. R-Precision evaluates precision at R = 52 targets, while MAP@35 denotes mean average precision truncated at rank 35 across seeds. This represents a 2.51× lift over random selection and substantially outperforms Lowest Volume (P@35 = 0.197 ± 0.053) and Tabular Point Gap (P@35 = 0.214 ± 0.064). Recall@35 reaches 0.246 ± 0.081, noting that maximum possible Recall@35 under 35 slots for 52 targets is capped at 35/52 = 0.673.</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At the most restrictive campaign budget (K=10), SFA Frontier Gap achieves higher precision (0.430 ± 0.127) than HAMTA (0.400 ± 0.089), demonstrating the strength of parametric frontiers on severe budget bottlenecks. However, HAMTA becomes increasingly competitive as campaign capacity expands and outperforms the SFA frontier baseline from K=20 onward in the reported experiments: (1) At K=20, HAMTA achieves Precision@20 = 0.410 versus SFA (0.345); (2) At K=35, HAMTA (0.366) exceeds SFA (0.357); and (3) At K=50, HAMTA maintains precision 0.340 versus SFA 0.322. Secondary comparisons are exploratory unadjusted diagnostics.</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Weak-Support %</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w:t>
            </w:r>
          </w:p>
        </w:tc>
        <w:tc>
          <w:tcPr>
            <w:tcW w:w="750" w:type="dxa"/>
            <w:shd w:fill="FFF9C4"/>
            <w:tcMar>
              <w:top w:w="12" w:type="dxa"/>
              <w:bottom w:w="12" w:type="dxa"/>
              <w:left w:w="8" w:type="dxa"/>
              <w:right w:w="8" w:type="dxa"/>
            </w:tcMar>
          </w:tcPr>
          <w:p>
            <w:pPr>
              <w:jc w:val="right"/>
            </w:pPr>
            <w:r>
              <w:rPr>
                <w:sz w:val="11"/>
              </w:rPr>
              <w:t>0.0</w:t>
            </w:r>
          </w:p>
        </w:tc>
        <w:tc>
          <w:tcPr>
            <w:tcW w:w="700" w:type="dxa"/>
            <w:shd w:fill="FFF9C4"/>
            <w:tcMar>
              <w:top w:w="12" w:type="dxa"/>
              <w:bottom w:w="12" w:type="dxa"/>
              <w:left w:w="8" w:type="dxa"/>
              <w:right w:w="8" w:type="dxa"/>
            </w:tcMar>
          </w:tcPr>
          <w:p>
            <w:pPr>
              <w:jc w:val="right"/>
            </w:pPr>
            <w:r>
              <w:rPr>
                <w:sz w:val="11"/>
              </w:rPr>
              <w:t>0.028</w:t>
            </w:r>
          </w:p>
        </w:tc>
        <w:tc>
          <w:tcPr>
            <w:tcW w:w="750" w:type="dxa"/>
            <w:shd w:fill="FFF9C4"/>
            <w:tcMar>
              <w:top w:w="12" w:type="dxa"/>
              <w:bottom w:w="12" w:type="dxa"/>
              <w:left w:w="8" w:type="dxa"/>
              <w:right w:w="8" w:type="dxa"/>
            </w:tcMar>
          </w:tcPr>
          <w:p>
            <w:pPr>
              <w:jc w:val="right"/>
            </w:pPr>
            <w:r>
              <w:rPr>
                <w:sz w:val="11"/>
              </w:rPr>
              <w:t>0.0</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0.743</w:t>
            </w:r>
          </w:p>
        </w:tc>
        <w:tc>
          <w:tcPr>
            <w:tcW w:w="750" w:type="dxa"/>
            <w:tcMar>
              <w:top w:w="12" w:type="dxa"/>
              <w:bottom w:w="12" w:type="dxa"/>
              <w:left w:w="8" w:type="dxa"/>
              <w:right w:w="8" w:type="dxa"/>
            </w:tcMar>
          </w:tcPr>
          <w:p>
            <w:pPr>
              <w:jc w:val="right"/>
            </w:pPr>
            <w:r>
              <w:rPr>
                <w:sz w:val="11"/>
              </w:rPr>
              <w:t>0.812</w:t>
            </w:r>
          </w:p>
        </w:tc>
        <w:tc>
          <w:tcPr>
            <w:tcW w:w="700" w:type="dxa"/>
            <w:tcMar>
              <w:top w:w="12" w:type="dxa"/>
              <w:bottom w:w="12" w:type="dxa"/>
              <w:left w:w="8" w:type="dxa"/>
              <w:right w:w="8" w:type="dxa"/>
            </w:tcMar>
          </w:tcPr>
          <w:p>
            <w:pPr>
              <w:jc w:val="right"/>
            </w:pPr>
            <w:r>
              <w:rPr>
                <w:sz w:val="11"/>
              </w:rPr>
              <w:t>0.086</w:t>
            </w:r>
          </w:p>
        </w:tc>
        <w:tc>
          <w:tcPr>
            <w:tcW w:w="750" w:type="dxa"/>
            <w:tcMar>
              <w:top w:w="12" w:type="dxa"/>
              <w:bottom w:w="12" w:type="dxa"/>
              <w:left w:w="8" w:type="dxa"/>
              <w:right w:w="8" w:type="dxa"/>
            </w:tcMar>
          </w:tcPr>
          <w:p>
            <w:pPr>
              <w:jc w:val="right"/>
            </w:pPr>
            <w:r>
              <w:rPr>
                <w:sz w:val="11"/>
              </w:rPr>
              <w:t>0.0</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0.886</w:t>
            </w:r>
          </w:p>
        </w:tc>
        <w:tc>
          <w:tcPr>
            <w:tcW w:w="750" w:type="dxa"/>
            <w:shd w:fill="E8F5E9"/>
            <w:tcMar>
              <w:top w:w="12" w:type="dxa"/>
              <w:bottom w:w="12" w:type="dxa"/>
              <w:left w:w="8" w:type="dxa"/>
              <w:right w:w="8" w:type="dxa"/>
            </w:tcMar>
          </w:tcPr>
          <w:p>
            <w:pPr>
              <w:jc w:val="right"/>
            </w:pPr>
            <w:r>
              <w:rPr>
                <w:b/>
                <w:sz w:val="11"/>
              </w:rPr>
              <w:t>0.924</w:t>
            </w:r>
          </w:p>
        </w:tc>
        <w:tc>
          <w:tcPr>
            <w:tcW w:w="700" w:type="dxa"/>
            <w:shd w:fill="E8F5E9"/>
            <w:tcMar>
              <w:top w:w="12" w:type="dxa"/>
              <w:bottom w:w="12" w:type="dxa"/>
              <w:left w:w="8" w:type="dxa"/>
              <w:right w:w="8" w:type="dxa"/>
            </w:tcMar>
          </w:tcPr>
          <w:p>
            <w:pPr>
              <w:jc w:val="right"/>
            </w:pPr>
            <w:r>
              <w:rPr>
                <w:b/>
                <w:sz w:val="11"/>
              </w:rPr>
              <w:t>0.057</w:t>
            </w:r>
          </w:p>
        </w:tc>
        <w:tc>
          <w:tcPr>
            <w:tcW w:w="750" w:type="dxa"/>
            <w:shd w:fill="E8F5E9"/>
            <w:tcMar>
              <w:top w:w="12" w:type="dxa"/>
              <w:bottom w:w="12" w:type="dxa"/>
              <w:left w:w="8" w:type="dxa"/>
              <w:right w:w="8" w:type="dxa"/>
            </w:tcMar>
          </w:tcPr>
          <w:p>
            <w:pPr>
              <w:jc w:val="right"/>
            </w:pPr>
            <w:r>
              <w:rPr>
                <w:b/>
                <w:sz w:val="11"/>
              </w:rPr>
              <w:t>0.0</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0.943</w:t>
            </w:r>
          </w:p>
        </w:tc>
        <w:tc>
          <w:tcPr>
            <w:tcW w:w="750" w:type="dxa"/>
            <w:tcMar>
              <w:top w:w="12" w:type="dxa"/>
              <w:bottom w:w="12" w:type="dxa"/>
              <w:left w:w="8" w:type="dxa"/>
              <w:right w:w="8" w:type="dxa"/>
            </w:tcMar>
          </w:tcPr>
          <w:p>
            <w:pPr>
              <w:jc w:val="right"/>
            </w:pPr>
            <w:r>
              <w:rPr>
                <w:sz w:val="11"/>
              </w:rPr>
              <w:t>0.956</w:t>
            </w:r>
          </w:p>
        </w:tc>
        <w:tc>
          <w:tcPr>
            <w:tcW w:w="700" w:type="dxa"/>
            <w:tcMar>
              <w:top w:w="12" w:type="dxa"/>
              <w:bottom w:w="12" w:type="dxa"/>
              <w:left w:w="8" w:type="dxa"/>
              <w:right w:w="8" w:type="dxa"/>
            </w:tcMar>
          </w:tcPr>
          <w:p>
            <w:pPr>
              <w:jc w:val="right"/>
            </w:pPr>
            <w:r>
              <w:rPr>
                <w:sz w:val="11"/>
              </w:rPr>
              <w:t>0.029</w:t>
            </w:r>
          </w:p>
        </w:tc>
        <w:tc>
          <w:tcPr>
            <w:tcW w:w="750" w:type="dxa"/>
            <w:tcMar>
              <w:top w:w="12" w:type="dxa"/>
              <w:bottom w:w="12" w:type="dxa"/>
              <w:left w:w="8" w:type="dxa"/>
              <w:right w:w="8" w:type="dxa"/>
            </w:tcMar>
          </w:tcPr>
          <w:p>
            <w:pPr>
              <w:jc w:val="right"/>
            </w:pPr>
            <w:r>
              <w:rPr>
                <w:sz w:val="11"/>
              </w:rPr>
              <w:t>0.0</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0.957</w:t>
            </w:r>
          </w:p>
        </w:tc>
        <w:tc>
          <w:tcPr>
            <w:tcW w:w="750" w:type="dxa"/>
            <w:shd w:fill="E8F5E9"/>
            <w:tcMar>
              <w:top w:w="12" w:type="dxa"/>
              <w:bottom w:w="12" w:type="dxa"/>
              <w:left w:w="8" w:type="dxa"/>
              <w:right w:w="8" w:type="dxa"/>
            </w:tcMar>
          </w:tcPr>
          <w:p>
            <w:pPr>
              <w:jc w:val="right"/>
            </w:pPr>
            <w:r>
              <w:rPr>
                <w:b/>
                <w:sz w:val="11"/>
              </w:rPr>
              <w:t>0.943</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0.937</w:t>
            </w:r>
          </w:p>
        </w:tc>
        <w:tc>
          <w:tcPr>
            <w:tcW w:w="750" w:type="dxa"/>
            <w:tcMar>
              <w:top w:w="12" w:type="dxa"/>
              <w:bottom w:w="12" w:type="dxa"/>
              <w:left w:w="8" w:type="dxa"/>
              <w:right w:w="8" w:type="dxa"/>
            </w:tcMar>
          </w:tcPr>
          <w:p>
            <w:pPr>
              <w:jc w:val="right"/>
            </w:pPr>
            <w:r>
              <w:rPr>
                <w:sz w:val="11"/>
              </w:rPr>
              <w:t>0.914</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0.956</w:t>
            </w:r>
          </w:p>
        </w:tc>
        <w:tc>
          <w:tcPr>
            <w:tcW w:w="750" w:type="dxa"/>
            <w:tcMar>
              <w:top w:w="12" w:type="dxa"/>
              <w:bottom w:w="12" w:type="dxa"/>
              <w:left w:w="8" w:type="dxa"/>
              <w:right w:w="8" w:type="dxa"/>
            </w:tcMar>
          </w:tcPr>
          <w:p>
            <w:pPr>
              <w:jc w:val="right"/>
            </w:pPr>
            <w:r>
              <w:rPr>
                <w:sz w:val="11"/>
              </w:rPr>
              <w:t>0.943</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0.732</w:t>
            </w:r>
          </w:p>
        </w:tc>
        <w:tc>
          <w:tcPr>
            <w:tcW w:w="750" w:type="dxa"/>
            <w:tcMar>
              <w:top w:w="12" w:type="dxa"/>
              <w:bottom w:w="12" w:type="dxa"/>
              <w:left w:w="8" w:type="dxa"/>
              <w:right w:w="8" w:type="dxa"/>
            </w:tcMar>
          </w:tcPr>
          <w:p>
            <w:pPr>
              <w:jc w:val="right"/>
            </w:pPr>
            <w:r>
              <w:rPr>
                <w:sz w:val="11"/>
              </w:rPr>
              <w:t>0.771</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0.939</w:t>
            </w:r>
          </w:p>
        </w:tc>
        <w:tc>
          <w:tcPr>
            <w:tcW w:w="750" w:type="dxa"/>
            <w:tcMar>
              <w:top w:w="12" w:type="dxa"/>
              <w:bottom w:w="12" w:type="dxa"/>
              <w:left w:w="8" w:type="dxa"/>
              <w:right w:w="8" w:type="dxa"/>
            </w:tcMar>
          </w:tcPr>
          <w:p>
            <w:pPr>
              <w:jc w:val="right"/>
            </w:pPr>
            <w:r>
              <w:rPr>
                <w:sz w:val="11"/>
              </w:rPr>
              <w:t>0.914</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0.099</w:t>
            </w:r>
          </w:p>
        </w:tc>
        <w:tc>
          <w:tcPr>
            <w:tcW w:w="750" w:type="dxa"/>
            <w:tcMar>
              <w:top w:w="12" w:type="dxa"/>
              <w:bottom w:w="12" w:type="dxa"/>
              <w:left w:w="8" w:type="dxa"/>
              <w:right w:w="8" w:type="dxa"/>
            </w:tcMar>
          </w:tcPr>
          <w:p>
            <w:pPr>
              <w:jc w:val="right"/>
            </w:pPr>
            <w:r>
              <w:rPr>
                <w:sz w:val="11"/>
              </w:rPr>
              <w:t>0.029</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0.083</w:t>
            </w:r>
          </w:p>
        </w:tc>
        <w:tc>
          <w:tcPr>
            <w:tcW w:w="750" w:type="dxa"/>
            <w:tcMar>
              <w:top w:w="12" w:type="dxa"/>
              <w:bottom w:w="12" w:type="dxa"/>
              <w:left w:w="8" w:type="dxa"/>
              <w:right w:w="8" w:type="dxa"/>
            </w:tcMar>
          </w:tcPr>
          <w:p>
            <w:pPr>
              <w:jc w:val="right"/>
            </w:pPr>
            <w:r>
              <w:rPr>
                <w:sz w:val="11"/>
              </w:rPr>
              <w:t>0.114</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optional inductive regularizer against bottleneck over-squashing rather than a ranking metric driver (Δ = -0.002, p = 0.8457).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MERCH_00141</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28</w:t>
            </w:r>
          </w:p>
        </w:tc>
        <w:tc>
          <w:tcPr>
            <w:tcW w:w="530" w:type="dxa"/>
            <w:tcMar>
              <w:top w:w="12" w:type="dxa"/>
              <w:bottom w:w="12" w:type="dxa"/>
              <w:left w:w="8" w:type="dxa"/>
              <w:right w:w="8" w:type="dxa"/>
            </w:tcMar>
          </w:tcPr>
          <w:p>
            <w:pPr>
              <w:jc w:val="right"/>
            </w:pPr>
            <w:r>
              <w:rPr>
                <w:sz w:val="11"/>
              </w:rPr>
              <w:t>31.1</w:t>
            </w:r>
          </w:p>
        </w:tc>
        <w:tc>
          <w:tcPr>
            <w:tcW w:w="530" w:type="dxa"/>
            <w:tcMar>
              <w:top w:w="12" w:type="dxa"/>
              <w:bottom w:w="12" w:type="dxa"/>
              <w:left w:w="8" w:type="dxa"/>
              <w:right w:w="8" w:type="dxa"/>
            </w:tcMar>
          </w:tcPr>
          <w:p>
            <w:pPr>
              <w:jc w:val="right"/>
            </w:pPr>
            <w:r>
              <w:rPr>
                <w:sz w:val="11"/>
              </w:rPr>
              <w:t>37.1</w:t>
            </w:r>
          </w:p>
        </w:tc>
        <w:tc>
          <w:tcPr>
            <w:tcW w:w="530" w:type="dxa"/>
            <w:tcMar>
              <w:top w:w="12" w:type="dxa"/>
              <w:bottom w:w="12" w:type="dxa"/>
              <w:left w:w="8" w:type="dxa"/>
              <w:right w:w="8" w:type="dxa"/>
            </w:tcMar>
          </w:tcPr>
          <w:p>
            <w:pPr>
              <w:jc w:val="right"/>
            </w:pPr>
            <w:r>
              <w:rPr>
                <w:sz w:val="11"/>
              </w:rPr>
              <w:t>56.4</w:t>
            </w:r>
          </w:p>
        </w:tc>
        <w:tc>
          <w:tcPr>
            <w:tcW w:w="530" w:type="dxa"/>
            <w:tcMar>
              <w:top w:w="12" w:type="dxa"/>
              <w:bottom w:w="12" w:type="dxa"/>
              <w:left w:w="8" w:type="dxa"/>
              <w:right w:w="8" w:type="dxa"/>
            </w:tcMar>
          </w:tcPr>
          <w:p>
            <w:pPr>
              <w:jc w:val="right"/>
            </w:pPr>
            <w:r>
              <w:rPr>
                <w:sz w:val="11"/>
              </w:rPr>
              <w:t>0.343</w:t>
            </w:r>
          </w:p>
        </w:tc>
      </w:tr>
      <w:tr>
        <w:trPr>
          <w:cantSplit/>
        </w:trPr>
        <w:tc>
          <w:tcPr>
            <w:tcW w:w="1050" w:type="dxa"/>
            <w:tcMar>
              <w:top w:w="12" w:type="dxa"/>
              <w:bottom w:w="12" w:type="dxa"/>
              <w:left w:w="8" w:type="dxa"/>
              <w:right w:w="8" w:type="dxa"/>
            </w:tcMar>
          </w:tcPr>
          <w:p>
            <w:pPr>
              <w:jc w:val="left"/>
            </w:pPr>
            <w:r>
              <w:rPr>
                <w:sz w:val="11"/>
              </w:rPr>
              <w:t>MERCH_00267</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8</w:t>
            </w:r>
          </w:p>
        </w:tc>
        <w:tc>
          <w:tcPr>
            <w:tcW w:w="530" w:type="dxa"/>
            <w:tcMar>
              <w:top w:w="12" w:type="dxa"/>
              <w:bottom w:w="12" w:type="dxa"/>
              <w:left w:w="8" w:type="dxa"/>
              <w:right w:w="8" w:type="dxa"/>
            </w:tcMar>
          </w:tcPr>
          <w:p>
            <w:pPr>
              <w:jc w:val="right"/>
            </w:pPr>
            <w:r>
              <w:rPr>
                <w:sz w:val="11"/>
              </w:rPr>
              <w:t>8.5</w:t>
            </w:r>
          </w:p>
        </w:tc>
        <w:tc>
          <w:tcPr>
            <w:tcW w:w="530" w:type="dxa"/>
            <w:tcMar>
              <w:top w:w="12" w:type="dxa"/>
              <w:bottom w:w="12" w:type="dxa"/>
              <w:left w:w="8" w:type="dxa"/>
              <w:right w:w="8" w:type="dxa"/>
            </w:tcMar>
          </w:tcPr>
          <w:p>
            <w:pPr>
              <w:jc w:val="right"/>
            </w:pPr>
            <w:r>
              <w:rPr>
                <w:sz w:val="11"/>
              </w:rPr>
              <w:t>14.5</w:t>
            </w:r>
          </w:p>
        </w:tc>
        <w:tc>
          <w:tcPr>
            <w:tcW w:w="530" w:type="dxa"/>
            <w:tcMar>
              <w:top w:w="12" w:type="dxa"/>
              <w:bottom w:w="12" w:type="dxa"/>
              <w:left w:w="8" w:type="dxa"/>
              <w:right w:w="8" w:type="dxa"/>
            </w:tcMar>
          </w:tcPr>
          <w:p>
            <w:pPr>
              <w:jc w:val="right"/>
            </w:pPr>
            <w:r>
              <w:rPr>
                <w:sz w:val="11"/>
              </w:rPr>
              <w:t>21.3</w:t>
            </w:r>
          </w:p>
        </w:tc>
        <w:tc>
          <w:tcPr>
            <w:tcW w:w="530" w:type="dxa"/>
            <w:tcMar>
              <w:top w:w="12" w:type="dxa"/>
              <w:bottom w:w="12" w:type="dxa"/>
              <w:left w:w="8" w:type="dxa"/>
              <w:right w:w="8" w:type="dxa"/>
            </w:tcMar>
          </w:tcPr>
          <w:p>
            <w:pPr>
              <w:jc w:val="right"/>
            </w:pPr>
            <w:r>
              <w:rPr>
                <w:sz w:val="11"/>
              </w:rPr>
              <w:t>0.319</w:t>
            </w:r>
          </w:p>
        </w:tc>
      </w:tr>
      <w:tr>
        <w:trPr>
          <w:cantSplit/>
        </w:trPr>
        <w:tc>
          <w:tcPr>
            <w:tcW w:w="1050" w:type="dxa"/>
            <w:tcMar>
              <w:top w:w="12" w:type="dxa"/>
              <w:bottom w:w="12" w:type="dxa"/>
              <w:left w:w="8" w:type="dxa"/>
              <w:right w:w="8" w:type="dxa"/>
            </w:tcMar>
          </w:tcPr>
          <w:p>
            <w:pPr>
              <w:jc w:val="left"/>
            </w:pPr>
            <w:r>
              <w:rPr>
                <w:sz w:val="11"/>
              </w:rPr>
              <w:t>MERCH_00322</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100</w:t>
            </w:r>
          </w:p>
        </w:tc>
        <w:tc>
          <w:tcPr>
            <w:tcW w:w="530" w:type="dxa"/>
            <w:tcMar>
              <w:top w:w="12" w:type="dxa"/>
              <w:bottom w:w="12" w:type="dxa"/>
              <w:left w:w="8" w:type="dxa"/>
              <w:right w:w="8" w:type="dxa"/>
            </w:tcMar>
          </w:tcPr>
          <w:p>
            <w:pPr>
              <w:jc w:val="right"/>
            </w:pPr>
            <w:r>
              <w:rPr>
                <w:sz w:val="11"/>
              </w:rPr>
              <w:t>105.0</w:t>
            </w:r>
          </w:p>
        </w:tc>
        <w:tc>
          <w:tcPr>
            <w:tcW w:w="530" w:type="dxa"/>
            <w:tcMar>
              <w:top w:w="12" w:type="dxa"/>
              <w:bottom w:w="12" w:type="dxa"/>
              <w:left w:w="8" w:type="dxa"/>
              <w:right w:w="8" w:type="dxa"/>
            </w:tcMar>
          </w:tcPr>
          <w:p>
            <w:pPr>
              <w:jc w:val="right"/>
            </w:pPr>
            <w:r>
              <w:rPr>
                <w:sz w:val="11"/>
              </w:rPr>
              <w:t>112.0</w:t>
            </w:r>
          </w:p>
        </w:tc>
        <w:tc>
          <w:tcPr>
            <w:tcW w:w="530" w:type="dxa"/>
            <w:tcMar>
              <w:top w:w="12" w:type="dxa"/>
              <w:bottom w:w="12" w:type="dxa"/>
              <w:left w:w="8" w:type="dxa"/>
              <w:right w:w="8" w:type="dxa"/>
            </w:tcMar>
          </w:tcPr>
          <w:p>
            <w:pPr>
              <w:jc w:val="right"/>
            </w:pPr>
            <w:r>
              <w:rPr>
                <w:sz w:val="11"/>
              </w:rPr>
              <w:t>170.0</w:t>
            </w:r>
          </w:p>
        </w:tc>
        <w:tc>
          <w:tcPr>
            <w:tcW w:w="530" w:type="dxa"/>
            <w:tcMar>
              <w:top w:w="12" w:type="dxa"/>
              <w:bottom w:w="12" w:type="dxa"/>
              <w:left w:w="8" w:type="dxa"/>
              <w:right w:w="8" w:type="dxa"/>
            </w:tcMar>
          </w:tcPr>
          <w:p>
            <w:pPr>
              <w:jc w:val="right"/>
            </w:pPr>
            <w:r>
              <w:rPr>
                <w:sz w:val="11"/>
              </w:rPr>
              <w:t>0.307</w:t>
            </w:r>
          </w:p>
        </w:tc>
      </w:tr>
      <w:tr>
        <w:trPr>
          <w:cantSplit/>
        </w:trPr>
        <w:tc>
          <w:tcPr>
            <w:tcW w:w="1050" w:type="dxa"/>
            <w:tcMar>
              <w:top w:w="12" w:type="dxa"/>
              <w:bottom w:w="12" w:type="dxa"/>
              <w:left w:w="8" w:type="dxa"/>
              <w:right w:w="8" w:type="dxa"/>
            </w:tcMar>
          </w:tcPr>
          <w:p>
            <w:pPr>
              <w:jc w:val="left"/>
            </w:pPr>
            <w:r>
              <w:rPr>
                <w:sz w:val="11"/>
              </w:rPr>
              <w:t>MERCH_00070</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30</w:t>
            </w:r>
          </w:p>
        </w:tc>
        <w:tc>
          <w:tcPr>
            <w:tcW w:w="530" w:type="dxa"/>
            <w:tcMar>
              <w:top w:w="12" w:type="dxa"/>
              <w:bottom w:w="12" w:type="dxa"/>
              <w:left w:w="8" w:type="dxa"/>
              <w:right w:w="8" w:type="dxa"/>
            </w:tcMar>
          </w:tcPr>
          <w:p>
            <w:pPr>
              <w:jc w:val="right"/>
            </w:pPr>
            <w:r>
              <w:rPr>
                <w:sz w:val="11"/>
              </w:rPr>
              <w:t>32.8</w:t>
            </w:r>
          </w:p>
        </w:tc>
        <w:tc>
          <w:tcPr>
            <w:tcW w:w="530" w:type="dxa"/>
            <w:tcMar>
              <w:top w:w="12" w:type="dxa"/>
              <w:bottom w:w="12" w:type="dxa"/>
              <w:left w:w="8" w:type="dxa"/>
              <w:right w:w="8" w:type="dxa"/>
            </w:tcMar>
          </w:tcPr>
          <w:p>
            <w:pPr>
              <w:jc w:val="right"/>
            </w:pPr>
            <w:r>
              <w:rPr>
                <w:sz w:val="11"/>
              </w:rPr>
              <w:t>38.8</w:t>
            </w:r>
          </w:p>
        </w:tc>
        <w:tc>
          <w:tcPr>
            <w:tcW w:w="530" w:type="dxa"/>
            <w:tcMar>
              <w:top w:w="12" w:type="dxa"/>
              <w:bottom w:w="12" w:type="dxa"/>
              <w:left w:w="8" w:type="dxa"/>
              <w:right w:w="8" w:type="dxa"/>
            </w:tcMar>
          </w:tcPr>
          <w:p>
            <w:pPr>
              <w:jc w:val="right"/>
            </w:pPr>
            <w:r>
              <w:rPr>
                <w:sz w:val="11"/>
              </w:rPr>
              <w:t>54.7</w:t>
            </w:r>
          </w:p>
        </w:tc>
        <w:tc>
          <w:tcPr>
            <w:tcW w:w="530" w:type="dxa"/>
            <w:tcMar>
              <w:top w:w="12" w:type="dxa"/>
              <w:bottom w:w="12" w:type="dxa"/>
              <w:left w:w="8" w:type="dxa"/>
              <w:right w:w="8" w:type="dxa"/>
            </w:tcMar>
          </w:tcPr>
          <w:p>
            <w:pPr>
              <w:jc w:val="right"/>
            </w:pPr>
            <w:r>
              <w:rPr>
                <w:sz w:val="11"/>
              </w:rPr>
              <w:t>0.292</w:t>
            </w:r>
          </w:p>
        </w:tc>
      </w:tr>
      <w:tr>
        <w:trPr>
          <w:cantSplit/>
        </w:trPr>
        <w:tc>
          <w:tcPr>
            <w:tcW w:w="1050" w:type="dxa"/>
            <w:tcMar>
              <w:top w:w="12" w:type="dxa"/>
              <w:bottom w:w="12" w:type="dxa"/>
              <w:left w:w="8" w:type="dxa"/>
              <w:right w:w="8" w:type="dxa"/>
            </w:tcMar>
          </w:tcPr>
          <w:p>
            <w:pPr>
              <w:jc w:val="left"/>
            </w:pPr>
            <w:r>
              <w:rPr>
                <w:sz w:val="11"/>
              </w:rPr>
              <w:t>MERCH_00309</w:t>
            </w:r>
          </w:p>
        </w:tc>
        <w:tc>
          <w:tcPr>
            <w:tcW w:w="1150" w:type="dxa"/>
            <w:tcMar>
              <w:top w:w="12" w:type="dxa"/>
              <w:bottom w:w="12" w:type="dxa"/>
              <w:left w:w="8" w:type="dxa"/>
              <w:right w:w="8" w:type="dxa"/>
            </w:tcMar>
          </w:tcPr>
          <w:p>
            <w:pPr>
              <w:jc w:val="left"/>
            </w:pPr>
            <w:r>
              <w:rPr>
                <w:sz w:val="11"/>
              </w:rPr>
              <w:t>Medical Clinics</w:t>
            </w:r>
          </w:p>
        </w:tc>
        <w:tc>
          <w:tcPr>
            <w:tcW w:w="480" w:type="dxa"/>
            <w:tcMar>
              <w:top w:w="12" w:type="dxa"/>
              <w:bottom w:w="12" w:type="dxa"/>
              <w:left w:w="8" w:type="dxa"/>
              <w:right w:w="8" w:type="dxa"/>
            </w:tcMar>
          </w:tcPr>
          <w:p>
            <w:pPr>
              <w:jc w:val="right"/>
            </w:pPr>
            <w:r>
              <w:rPr>
                <w:sz w:val="11"/>
              </w:rPr>
              <w:t>7</w:t>
            </w:r>
          </w:p>
        </w:tc>
        <w:tc>
          <w:tcPr>
            <w:tcW w:w="530" w:type="dxa"/>
            <w:tcMar>
              <w:top w:w="12" w:type="dxa"/>
              <w:bottom w:w="12" w:type="dxa"/>
              <w:left w:w="8" w:type="dxa"/>
              <w:right w:w="8" w:type="dxa"/>
            </w:tcMar>
          </w:tcPr>
          <w:p>
            <w:pPr>
              <w:jc w:val="right"/>
            </w:pPr>
            <w:r>
              <w:rPr>
                <w:sz w:val="11"/>
              </w:rPr>
              <w:t>9.5</w:t>
            </w:r>
          </w:p>
        </w:tc>
        <w:tc>
          <w:tcPr>
            <w:tcW w:w="530" w:type="dxa"/>
            <w:tcMar>
              <w:top w:w="12" w:type="dxa"/>
              <w:bottom w:w="12" w:type="dxa"/>
              <w:left w:w="8" w:type="dxa"/>
              <w:right w:w="8" w:type="dxa"/>
            </w:tcMar>
          </w:tcPr>
          <w:p>
            <w:pPr>
              <w:jc w:val="right"/>
            </w:pPr>
            <w:r>
              <w:rPr>
                <w:sz w:val="11"/>
              </w:rPr>
              <w:t>15.5</w:t>
            </w:r>
          </w:p>
        </w:tc>
        <w:tc>
          <w:tcPr>
            <w:tcW w:w="530" w:type="dxa"/>
            <w:tcMar>
              <w:top w:w="12" w:type="dxa"/>
              <w:bottom w:w="12" w:type="dxa"/>
              <w:left w:w="8" w:type="dxa"/>
              <w:right w:w="8" w:type="dxa"/>
            </w:tcMar>
          </w:tcPr>
          <w:p>
            <w:pPr>
              <w:jc w:val="right"/>
            </w:pPr>
            <w:r>
              <w:rPr>
                <w:sz w:val="11"/>
              </w:rPr>
              <w:t>21.8</w:t>
            </w:r>
          </w:p>
        </w:tc>
        <w:tc>
          <w:tcPr>
            <w:tcW w:w="530" w:type="dxa"/>
            <w:tcMar>
              <w:top w:w="12" w:type="dxa"/>
              <w:bottom w:w="12" w:type="dxa"/>
              <w:left w:w="8" w:type="dxa"/>
              <w:right w:w="8" w:type="dxa"/>
            </w:tcMar>
          </w:tcPr>
          <w:p>
            <w:pPr>
              <w:jc w:val="right"/>
            </w:pPr>
            <w:r>
              <w:rPr>
                <w:sz w:val="11"/>
              </w:rPr>
              <w:t>0.288</w:t>
            </w:r>
          </w:p>
        </w:tc>
      </w:tr>
    </w:tbl>
    <w:p>
      <w:pPr>
        <w:keepNext/>
        <w:spacing w:before="50" w:after="20"/>
        <w:jc w:val="center"/>
      </w:pPr>
      <w:r>
        <w:drawing>
          <wp:inline xmlns:a="http://schemas.openxmlformats.org/drawingml/2006/main" xmlns:pic="http://schemas.openxmlformats.org/drawingml/2006/picture">
            <wp:extent cx="2834640" cy="1557056"/>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557056"/>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while maintaining competitive targeting (NDCG@35 = 0.327 ± 0.077, P@35 = 0.286 ± 0.056); and Y &gt;= 20 restricts targeting to mature enterprises (NDCG = 0.298, P@35 = 0.245). Alternatively, incorporating a continuous exponential discount factor Q_total = Q_graph · (1 - exp(-Y_m / τ_a)) with τ_a = 15 is recommended as the operational deployment formulation to smoothly dampen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demonstrating statistically significant improvements on selected pairwise comparisons against specific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at: Code and synthetic data generator will be released upon publication..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38, pp. 38213–38243, 2025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C. Chen, X. Yang, J. Zhou, X. Li, and L. Song,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[12] T. N. Kipf and M. Welling, "Variational graph auto-encoders," in NIPS Workshop Bayesian Deep Learning, 2016.</w:t>
      </w:r>
    </w:p>
    <w:p>
      <w:pPr>
        <w:spacing w:after="10" w:line="228" w:lineRule="auto"/>
        <w:ind w:left="259" w:hanging="259"/>
        <w:jc w:val="both"/>
      </w:pPr>
      <w:r>
        <w:rPr>
          <w:sz w:val="13"/>
        </w:rPr>
        <w:t>[13] M. Tare, C. Rattasits, Y. Wu, and E. Wielewski, 'Representation Learning on Large Non-Bipartite Transaction Networks using GraphSAGE,' in GbRPR 2025 / Springer, 2025.</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J. Zhang et al., "A survey on dynamic graph neural networks," Front. Comput. Sci., vol. 19, no. 1, p. 191301,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T. Wang, J. Kang, Y. Yan, A. Kulkarni, and D. Zhou, 'Non-exchangeable Conformal Prediction for Temporal Graph Neural Networks,' in Proc. 31st ACM SIGKDD Conf. Knowl. Discov. Data Min. (KDD), 2025, pp. 3031–3042.</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