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40" w:after="80"/>
        <w:jc w:val="right"/>
      </w:pPr>
      <w:r>
        <w:rPr>
          <w:rFonts w:ascii="Times New Roman" w:hAnsi="Times New Roman" w:cs="B Nazanin"/>
          <w:b/>
          <w:i w:val="0"/>
          <w:color w:val="2B6CB0"/>
          <w:sz w:val="22"/>
          <w:rtl/>
        </w:rPr>
        <w:t>گزارش فنی و مستندات جامع معماری نرم‌افزار</w:t>
      </w:r>
    </w:p>
    <w:p>
      <w:pPr>
        <w:bidi w:val="1"/>
        <w:spacing w:after="160"/>
        <w:jc w:val="right"/>
      </w:pPr>
      <w:r>
        <w:rPr>
          <w:rFonts w:ascii="Times New Roman" w:hAnsi="Times New Roman" w:cs="B Nazanin"/>
          <w:b/>
          <w:i w:val="0"/>
          <w:color w:val="0A2540"/>
          <w:sz w:val="40"/>
          <w:rtl/>
        </w:rPr>
        <w:t>از داده تراکنشی تا هوشمندی سازمانی:</w:t>
      </w:r>
      <w:r>
        <w:br/>
      </w:r>
      <w:r>
        <w:rPr>
          <w:rFonts w:ascii="Times New Roman" w:hAnsi="Times New Roman" w:cs="B Nazanin"/>
          <w:b/>
          <w:i w:val="0"/>
          <w:color w:val="1A365D"/>
          <w:sz w:val="34"/>
          <w:rtl/>
        </w:rPr>
        <w:t>ارائه چارچوب معماری مبتنی بر گراف برای کشف مشتری در صنعت پرداخت</w:t>
      </w:r>
    </w:p>
    <w:p>
      <w:pPr>
        <w:bidi w:val="1"/>
        <w:spacing w:after="280" w:line="300" w:lineRule="auto"/>
        <w:jc w:val="right"/>
      </w:pPr>
      <w:r>
        <w:rPr>
          <w:rFonts w:ascii="Times New Roman" w:hAnsi="Times New Roman" w:cs="B Nazanin"/>
          <w:b w:val="0"/>
          <w:i w:val="0"/>
          <w:color w:val="4A5568"/>
          <w:sz w:val="23"/>
          <w:rtl/>
        </w:rPr>
        <w:t>راهنمای کامل خط‌به‌خط کدها، پایپ‌لاین تحلیل داده، مدل یادگیری عمیق گرافی (GAT-GAE)، نتایج تجربی و نحوه بازتولید اسناد علمی و مقالات.</w:t>
      </w:r>
    </w:p>
    <w:tbl>
      <w:tblPr>
        <w:tblW w:type="auto" w:w="0"/>
        <w:jc w:val="center"/>
        <w:tblLook w:firstColumn="1" w:firstRow="1" w:lastColumn="0" w:lastRow="0" w:noHBand="0" w:noVBand="1" w:val="04A0"/>
        <w:bidiVisual/>
        <w:tblBorders>
          <w:top w:val="single" w:sz="6" w:space="0" w:color="CBD5E0"/>
          <w:bottom w:val="single" w:sz="8" w:space="0" w:color="4A5568"/>
          <w:insideH w:val="single" w:sz="4" w:space="0" w:color="E2E8F0"/>
          <w:insideV w:val="none"/>
          <w:left w:val="none"/>
          <w:right w:val="none"/>
        </w:tblBorders>
      </w:tblPr>
      <w:tblGrid>
        <w:gridCol w:w="4706"/>
        <w:gridCol w:w="4706"/>
      </w:tblGrid>
      <w:tr>
        <w:trPr>
          <w:cantSplit/>
          <w:tblHeader/>
        </w:trPr>
        <w:tc>
          <w:tcPr>
            <w:tcW w:type="dxa" w:w="2551"/>
            <w:shd w:fill="F7FAFC"/>
            <w:tcMar>
              <w:top w:w="70" w:type="dxa"/>
              <w:bottom w:w="70" w:type="dxa"/>
              <w:left w:w="100" w:type="dxa"/>
              <w:right w:w="100" w:type="dxa"/>
            </w:tcMar>
          </w:tcPr>
          <w:p>
            <w:pPr>
              <w:bidi w:val="1"/>
              <w:jc w:val="right"/>
            </w:pPr>
            <w:r>
              <w:rPr>
                <w:rFonts w:ascii="Times New Roman" w:hAnsi="Times New Roman" w:cs="B Nazanin"/>
                <w:b/>
                <w:i w:val="0"/>
                <w:color w:val="2B6CB0"/>
                <w:sz w:val="21"/>
                <w:rtl/>
              </w:rPr>
              <w:t>عنوان پژوهش:</w:t>
            </w:r>
          </w:p>
        </w:tc>
        <w:tc>
          <w:tcPr>
            <w:tcW w:type="dxa" w:w="6803"/>
            <w:tcMar>
              <w:top w:w="70" w:type="dxa"/>
              <w:bottom w:w="70" w:type="dxa"/>
              <w:left w:w="100" w:type="dxa"/>
              <w:right w:w="100" w:type="dxa"/>
            </w:tcMar>
          </w:tcPr>
          <w:p>
            <w:pPr>
              <w:bidi w:val="1"/>
              <w:jc w:val="right"/>
            </w:pPr>
            <w:r>
              <w:rPr>
                <w:rFonts w:ascii="Times New Roman" w:hAnsi="Times New Roman" w:cs="B Nazanin"/>
                <w:b w:val="0"/>
                <w:i w:val="0"/>
                <w:color w:val="2D3748"/>
                <w:sz w:val="21"/>
                <w:rtl/>
              </w:rPr>
              <w:t>از داده تراکنشی تا هوشمندی سازمانی (کشف مشتری در پرداخت الکترونیک)</w:t>
            </w:r>
          </w:p>
        </w:tc>
      </w:tr>
      <w:tr>
        <w:trPr>
          <w:cantSplit/>
        </w:trPr>
        <w:tc>
          <w:tcPr>
            <w:tcW w:type="dxa" w:w="2551"/>
            <w:shd w:fill="F7FAFC"/>
            <w:tcMar>
              <w:top w:w="70" w:type="dxa"/>
              <w:bottom w:w="70" w:type="dxa"/>
              <w:left w:w="100" w:type="dxa"/>
              <w:right w:w="100" w:type="dxa"/>
            </w:tcMar>
          </w:tcPr>
          <w:p>
            <w:pPr>
              <w:bidi w:val="1"/>
              <w:jc w:val="right"/>
            </w:pPr>
            <w:r>
              <w:rPr>
                <w:rFonts w:ascii="Times New Roman" w:hAnsi="Times New Roman" w:cs="B Nazanin"/>
                <w:b/>
                <w:i w:val="0"/>
                <w:color w:val="2B6CB0"/>
                <w:sz w:val="21"/>
                <w:rtl/>
              </w:rPr>
              <w:t>فیلدهای اصلی داده:</w:t>
            </w:r>
          </w:p>
        </w:tc>
        <w:tc>
          <w:tcPr>
            <w:tcW w:type="dxa" w:w="6803"/>
            <w:tcMar>
              <w:top w:w="70" w:type="dxa"/>
              <w:bottom w:w="70" w:type="dxa"/>
              <w:left w:w="100" w:type="dxa"/>
              <w:right w:w="100" w:type="dxa"/>
            </w:tcMar>
          </w:tcPr>
          <w:p>
            <w:pPr>
              <w:bidi w:val="1"/>
              <w:jc w:val="right"/>
            </w:pPr>
            <w:r>
              <w:rPr>
                <w:rFonts w:ascii="Times New Roman" w:hAnsi="Times New Roman" w:cs="B Nazanin"/>
                <w:b w:val="0"/>
                <w:i w:val="0"/>
                <w:color w:val="2D3748"/>
                <w:sz w:val="21"/>
                <w:rtl/>
              </w:rPr>
              <w:t>pan, amount, merchant_id, create_date, cast_name (صنف پذیرنده)</w:t>
            </w:r>
          </w:p>
        </w:tc>
      </w:tr>
      <w:tr>
        <w:trPr>
          <w:cantSplit/>
        </w:trPr>
        <w:tc>
          <w:tcPr>
            <w:tcW w:type="dxa" w:w="2551"/>
            <w:shd w:fill="F7FAFC"/>
            <w:tcMar>
              <w:top w:w="70" w:type="dxa"/>
              <w:bottom w:w="70" w:type="dxa"/>
              <w:left w:w="100" w:type="dxa"/>
              <w:right w:w="100" w:type="dxa"/>
            </w:tcMar>
          </w:tcPr>
          <w:p>
            <w:pPr>
              <w:bidi w:val="1"/>
              <w:jc w:val="right"/>
            </w:pPr>
            <w:r>
              <w:rPr>
                <w:rFonts w:ascii="Times New Roman" w:hAnsi="Times New Roman" w:cs="B Nazanin"/>
                <w:b/>
                <w:i w:val="0"/>
                <w:color w:val="2B6CB0"/>
                <w:sz w:val="21"/>
                <w:rtl/>
              </w:rPr>
              <w:t>فناوری‌های به‌کاررفته:</w:t>
            </w:r>
          </w:p>
        </w:tc>
        <w:tc>
          <w:tcPr>
            <w:tcW w:type="dxa" w:w="6803"/>
            <w:tcMar>
              <w:top w:w="70" w:type="dxa"/>
              <w:bottom w:w="70" w:type="dxa"/>
              <w:left w:w="100" w:type="dxa"/>
              <w:right w:w="100" w:type="dxa"/>
            </w:tcMar>
          </w:tcPr>
          <w:p>
            <w:pPr>
              <w:bidi w:val="1"/>
              <w:jc w:val="right"/>
            </w:pPr>
            <w:r>
              <w:rPr>
                <w:rFonts w:ascii="Times New Roman" w:hAnsi="Times New Roman" w:cs="B Nazanin"/>
                <w:b w:val="0"/>
                <w:i w:val="0"/>
                <w:color w:val="2D3748"/>
                <w:sz w:val="21"/>
                <w:rtl/>
              </w:rPr>
              <w:t>Python 3.14, PyTorch, PyTorch Geometric, NetworkX, Scikit-learn, Matplotlib</w:t>
            </w:r>
          </w:p>
        </w:tc>
      </w:tr>
      <w:tr>
        <w:trPr>
          <w:cantSplit/>
        </w:trPr>
        <w:tc>
          <w:tcPr>
            <w:tcW w:type="dxa" w:w="2551"/>
            <w:shd w:fill="F7FAFC"/>
            <w:tcMar>
              <w:top w:w="70" w:type="dxa"/>
              <w:bottom w:w="70" w:type="dxa"/>
              <w:left w:w="100" w:type="dxa"/>
              <w:right w:w="100" w:type="dxa"/>
            </w:tcMar>
          </w:tcPr>
          <w:p>
            <w:pPr>
              <w:bidi w:val="1"/>
              <w:jc w:val="right"/>
            </w:pPr>
            <w:r>
              <w:rPr>
                <w:rFonts w:ascii="Times New Roman" w:hAnsi="Times New Roman" w:cs="B Nazanin"/>
                <w:b/>
                <w:i w:val="0"/>
                <w:color w:val="2B6CB0"/>
                <w:sz w:val="21"/>
                <w:rtl/>
              </w:rPr>
              <w:t>خروجی‌های نهایی:</w:t>
            </w:r>
          </w:p>
        </w:tc>
        <w:tc>
          <w:tcPr>
            <w:tcW w:type="dxa" w:w="6803"/>
            <w:tcMar>
              <w:top w:w="70" w:type="dxa"/>
              <w:bottom w:w="70" w:type="dxa"/>
              <w:left w:w="100" w:type="dxa"/>
              <w:right w:w="100" w:type="dxa"/>
            </w:tcMar>
          </w:tcPr>
          <w:p>
            <w:pPr>
              <w:bidi w:val="1"/>
              <w:jc w:val="right"/>
            </w:pPr>
            <w:r>
              <w:rPr>
                <w:rFonts w:ascii="Times New Roman" w:hAnsi="Times New Roman" w:cs="B Nazanin"/>
                <w:b w:val="0"/>
                <w:i w:val="0"/>
                <w:color w:val="2D3748"/>
                <w:sz w:val="21"/>
                <w:rtl/>
              </w:rPr>
              <w:t>مقاله انگلیسی ۲ ستونه IEEE، مقاله فارسی رسمی، دیتاست ۳۵٬۰۰۰ تراکنش، مستندات کامل</w:t>
            </w:r>
          </w:p>
        </w:tc>
      </w:tr>
    </w:tbl>
    <w:p>
      <w:pPr>
        <w:spacing w:after="240"/>
      </w:pPr>
    </w:p>
    <w:p>
      <w:pPr>
        <w:keepNext/>
        <w:bidi w:val="1"/>
        <w:spacing w:before="320" w:after="120"/>
        <w:jc w:val="right"/>
        <w:pBdr>
          <w:bottom w:val="single" w:sz="12" w:space="4" w:color="2B6CB0"/>
        </w:pBdr>
      </w:pPr>
      <w:r>
        <w:rPr>
          <w:rFonts w:ascii="Times New Roman" w:hAnsi="Times New Roman" w:cs="B Nazanin"/>
          <w:b/>
          <w:i w:val="0"/>
          <w:color w:val="0A2540"/>
          <w:sz w:val="30"/>
          <w:rtl/>
        </w:rPr>
        <w:t>۱. مقدمه، مسئله و ساختار داده‌های تراکنشی پرداخت</w:t>
      </w:r>
    </w:p>
    <w:p>
      <w:pPr>
        <w:bidi w:val="1"/>
        <w:spacing w:after="120" w:line="300" w:lineRule="auto"/>
        <w:jc w:val="both"/>
      </w:pPr>
      <w:r>
        <w:rPr>
          <w:rFonts w:ascii="Times New Roman" w:hAnsi="Times New Roman" w:cs="B Nazanin"/>
          <w:b w:val="0"/>
          <w:i w:val="0"/>
          <w:color w:val="1E293B"/>
          <w:sz w:val="23"/>
          <w:rtl/>
        </w:rPr>
        <w:t>در شبکه پرداخت الکترونیک بانکی و شرکت‌های ارائه‌دهنده خدمات پرداخت (PSP)، روزانه ده‌ها میلیون تراکنش مالی به ثبت می‌رسد. با این حال، سازمان‌های مالی معمولاً با پارادوکس «داده‌های فراوان ولی هوشمندی اندک» (Data Rich, Intelligence Poor) روبرو هستند؛ زیرا داده‌ها صرفاً برای تسویه حساب، مانیتورینگ و گزارش‌های تجمیعی ساده به کار می‌روند و روابط پنهان میان رفتار مشتریان و شبکه تجاری کشف نمی‌شود.</w:t>
      </w:r>
    </w:p>
    <w:tbl>
      <w:tblPr>
        <w:tblW w:type="auto" w:w="0"/>
        <w:jc w:val="center"/>
        <w:tblLook w:firstColumn="1" w:firstRow="1" w:lastColumn="0" w:lastRow="0" w:noHBand="0" w:noVBand="1" w:val="04A0"/>
      </w:tblPr>
      <w:tblGrid>
        <w:gridCol w:w="9412"/>
      </w:tblGrid>
      <w:tr>
        <w:tc>
          <w:tcPr>
            <w:tcW w:type="dxa" w:w="9354"/>
            <w:shd w:fill="F7FAFC"/>
            <w:tcMar>
              <w:top w:w="120" w:type="dxa"/>
              <w:bottom w:w="120" w:type="dxa"/>
              <w:left w:w="180" w:type="dxa"/>
              <w:right w:w="180" w:type="dxa"/>
            </w:tcMar>
            <w:tcBorders>
              <w:right w:val="single" w:sz="24" w:space="0" w:color="2B6CB0"/>
              <w:top w:val="none"/>
              <w:left w:val="none"/>
              <w:bottom w:val="none"/>
            </w:tcBorders>
          </w:tcPr>
          <w:p>
            <w:pPr>
              <w:bidi w:val="1"/>
              <w:spacing w:after="80"/>
              <w:jc w:val="right"/>
            </w:pPr>
            <w:r>
              <w:rPr>
                <w:rFonts w:ascii="Times New Roman" w:hAnsi="Times New Roman" w:cs="B Nazanin"/>
                <w:b/>
                <w:i w:val="0"/>
                <w:color w:val="2B6CB0"/>
                <w:sz w:val="24"/>
                <w:rtl/>
              </w:rPr>
              <w:t>چرا مدل‌های سنتی بانکی (مانند RFM) پاسخگوی نیاز امروز نیستند؟</w:t>
            </w:r>
          </w:p>
          <w:p>
            <w:pPr>
              <w:bidi w:val="1"/>
              <w:spacing w:after="0" w:line="300" w:lineRule="auto"/>
              <w:jc w:val="right"/>
            </w:pPr>
            <w:r>
              <w:rPr>
                <w:rFonts w:ascii="Times New Roman" w:hAnsi="Times New Roman" w:cs="B Nazanin"/>
                <w:b w:val="0"/>
                <w:i w:val="0"/>
                <w:color w:val="2D3748"/>
                <w:sz w:val="22"/>
                <w:rtl/>
              </w:rPr>
              <w:t>مدل متداول RFM (تازگی، تکرار و ارزش پولی) تراکنش‌ها را به چند عدد تخت خلاصه می‌کند و سه ایراد بنیادین دارد:</w:t>
              <w:br/>
              <w:t>۱. کوری توپولوژیک: روابط میان‌مشتری و الگوهای مشترک خرید در شبکه را کاملاً نادیده می‌گیرد.</w:t>
              <w:br/>
              <w:t>۲. فشرده‌سازی معنایی اصناف: با جمع زدن صرف مبالغ، تمایز میان خرید سنگین سرمایه‌گذاری (مانند طلافروشی) و خریدهای خرد روزمره (مانند سوپرمارکت) با مبلغ کل برابر را از بین می‌برد.</w:t>
              <w:br/>
              <w:t>۳. پراکندگی چندکارتی: قادر نیست کارت‌های متعدد (PAN) متعلق به یک فرد را به شکل یکپارچه در قالب یک هویت واحد تحلیل کند.</w:t>
            </w:r>
          </w:p>
        </w:tc>
      </w:tr>
    </w:tbl>
    <w:p>
      <w:pPr>
        <w:spacing w:after="80"/>
      </w:pPr>
    </w:p>
    <w:p>
      <w:r>
        <w:br w:type="page"/>
      </w:r>
    </w:p>
    <w:p>
      <w:pPr>
        <w:keepNext/>
        <w:bidi w:val="1"/>
        <w:spacing w:before="240" w:after="80"/>
        <w:jc w:val="right"/>
      </w:pPr>
      <w:r>
        <w:rPr>
          <w:rFonts w:ascii="Times New Roman" w:hAnsi="Times New Roman" w:cs="B Nazanin"/>
          <w:b/>
          <w:i w:val="0"/>
          <w:color w:val="2B6CB0"/>
          <w:sz w:val="26"/>
          <w:rtl/>
        </w:rPr>
        <w:t>۱-۱ ساختار داده‌های تراکنشی (۵ فیلد کلیدی الزامی)</w:t>
      </w:r>
    </w:p>
    <w:p>
      <w:pPr>
        <w:bidi w:val="1"/>
        <w:spacing w:after="120" w:line="300" w:lineRule="auto"/>
        <w:jc w:val="both"/>
      </w:pPr>
      <w:r>
        <w:rPr>
          <w:rFonts w:ascii="Times New Roman" w:hAnsi="Times New Roman" w:cs="B Nazanin"/>
          <w:b w:val="0"/>
          <w:i w:val="0"/>
          <w:color w:val="1E293B"/>
          <w:sz w:val="23"/>
          <w:rtl/>
        </w:rPr>
        <w:t>تمام ماژول‌های این پروژه بر پایه دفترکل تراکنشی با ساختار استاندارد زیر پیاده‌سازی شده‌اند:</w:t>
      </w:r>
    </w:p>
    <w:tbl>
      <w:tblPr>
        <w:tblW w:type="auto" w:w="0"/>
        <w:jc w:val="center"/>
        <w:tblLook w:firstColumn="1" w:firstRow="1" w:lastColumn="0" w:lastRow="0" w:noHBand="0" w:noVBand="1" w:val="04A0"/>
        <w:bidiVisual/>
        <w:tblBorders>
          <w:top w:val="single" w:sz="6" w:space="0" w:color="CBD5E0"/>
          <w:bottom w:val="single" w:sz="8" w:space="0" w:color="4A5568"/>
          <w:insideH w:val="single" w:sz="4" w:space="0" w:color="E2E8F0"/>
          <w:insideV w:val="none"/>
          <w:left w:val="none"/>
          <w:right w:val="none"/>
        </w:tblBorders>
      </w:tblPr>
      <w:tblGrid>
        <w:gridCol w:w="3137"/>
        <w:gridCol w:w="3137"/>
        <w:gridCol w:w="3137"/>
      </w:tblGrid>
      <w:tr>
        <w:trPr>
          <w:cantSplit/>
          <w:tblHeader/>
        </w:trPr>
        <w:tc>
          <w:tcPr>
            <w:tcW w:type="dxa" w:w="1814"/>
            <w:shd w:fill="2B6CB0"/>
            <w:tcMar>
              <w:top w:w="80" w:type="dxa"/>
              <w:bottom w:w="80" w:type="dxa"/>
              <w:left w:w="100" w:type="dxa"/>
              <w:right w:w="100" w:type="dxa"/>
            </w:tcMar>
          </w:tcPr>
          <w:p>
            <w:pPr>
              <w:bidi w:val="1"/>
              <w:jc w:val="right"/>
            </w:pPr>
            <w:r>
              <w:rPr>
                <w:rFonts w:ascii="Times New Roman" w:hAnsi="Times New Roman" w:cs="B Nazanin"/>
                <w:b/>
                <w:i w:val="0"/>
                <w:color w:val="FFFFFF"/>
                <w:sz w:val="22"/>
                <w:rtl/>
              </w:rPr>
              <w:t>نام فیلد</w:t>
            </w:r>
          </w:p>
        </w:tc>
        <w:tc>
          <w:tcPr>
            <w:tcW w:type="dxa" w:w="2381"/>
            <w:shd w:fill="2B6CB0"/>
            <w:tcMar>
              <w:top w:w="80" w:type="dxa"/>
              <w:bottom w:w="80" w:type="dxa"/>
              <w:left w:w="100" w:type="dxa"/>
              <w:right w:w="100" w:type="dxa"/>
            </w:tcMar>
          </w:tcPr>
          <w:p>
            <w:pPr>
              <w:bidi w:val="1"/>
              <w:jc w:val="right"/>
            </w:pPr>
            <w:r>
              <w:rPr>
                <w:rFonts w:ascii="Times New Roman" w:hAnsi="Times New Roman" w:cs="B Nazanin"/>
                <w:b/>
                <w:i w:val="0"/>
                <w:color w:val="FFFFFF"/>
                <w:sz w:val="22"/>
                <w:rtl/>
              </w:rPr>
              <w:t>نوع داده / نمونه</w:t>
            </w:r>
          </w:p>
        </w:tc>
        <w:tc>
          <w:tcPr>
            <w:tcW w:type="dxa" w:w="5159"/>
            <w:shd w:fill="2B6CB0"/>
            <w:tcMar>
              <w:top w:w="80" w:type="dxa"/>
              <w:bottom w:w="80" w:type="dxa"/>
              <w:left w:w="100" w:type="dxa"/>
              <w:right w:w="100" w:type="dxa"/>
            </w:tcMar>
          </w:tcPr>
          <w:p>
            <w:pPr>
              <w:bidi w:val="1"/>
              <w:jc w:val="right"/>
            </w:pPr>
            <w:r>
              <w:rPr>
                <w:rFonts w:ascii="Times New Roman" w:hAnsi="Times New Roman" w:cs="B Nazanin"/>
                <w:b/>
                <w:i w:val="0"/>
                <w:color w:val="FFFFFF"/>
                <w:sz w:val="22"/>
                <w:rtl/>
              </w:rPr>
              <w:t>شرح و نقش در هوشمندی سازمانی</w:t>
            </w:r>
          </w:p>
        </w:tc>
      </w:tr>
      <w:tr>
        <w:trPr>
          <w:cantSplit/>
        </w:trPr>
        <w:tc>
          <w:tcPr>
            <w:tcW w:type="dxa" w:w="1814"/>
            <w:tcMar>
              <w:top w:w="70" w:type="dxa"/>
              <w:bottom w:w="70" w:type="dxa"/>
              <w:left w:w="100" w:type="dxa"/>
              <w:right w:w="100" w:type="dxa"/>
            </w:tcMar>
          </w:tcPr>
          <w:p>
            <w:pPr>
              <w:bidi w:val="1"/>
              <w:jc w:val="right"/>
            </w:pPr>
            <w:r>
              <w:rPr>
                <w:rFonts w:ascii="Times New Roman" w:hAnsi="Times New Roman" w:cs="B Nazanin"/>
                <w:b w:val="0"/>
                <w:i w:val="0"/>
                <w:color w:val="1E293B"/>
                <w:sz w:val="21"/>
                <w:rtl/>
              </w:rPr>
              <w:t>pan</w:t>
            </w:r>
          </w:p>
        </w:tc>
        <w:tc>
          <w:tcPr>
            <w:tcW w:type="dxa" w:w="2381"/>
            <w:tcMar>
              <w:top w:w="70" w:type="dxa"/>
              <w:bottom w:w="70" w:type="dxa"/>
              <w:left w:w="100" w:type="dxa"/>
              <w:right w:w="100" w:type="dxa"/>
            </w:tcMar>
          </w:tcPr>
          <w:p>
            <w:pPr>
              <w:bidi w:val="1"/>
              <w:jc w:val="right"/>
            </w:pPr>
            <w:r>
              <w:rPr>
                <w:rFonts w:ascii="Times New Roman" w:hAnsi="Times New Roman" w:cs="B Nazanin"/>
                <w:b w:val="0"/>
                <w:i w:val="0"/>
                <w:color w:val="1E293B"/>
                <w:sz w:val="21"/>
                <w:rtl/>
              </w:rPr>
              <w:t>603799******5607 (String)</w:t>
            </w:r>
          </w:p>
        </w:tc>
        <w:tc>
          <w:tcPr>
            <w:tcW w:type="dxa" w:w="5159"/>
            <w:tcMar>
              <w:top w:w="70" w:type="dxa"/>
              <w:bottom w:w="70" w:type="dxa"/>
              <w:left w:w="100" w:type="dxa"/>
              <w:right w:w="100" w:type="dxa"/>
            </w:tcMar>
          </w:tcPr>
          <w:p>
            <w:pPr>
              <w:bidi w:val="1"/>
              <w:jc w:val="right"/>
            </w:pPr>
            <w:r>
              <w:rPr>
                <w:rFonts w:ascii="Times New Roman" w:hAnsi="Times New Roman" w:cs="B Nazanin"/>
                <w:b w:val="0"/>
                <w:i w:val="0"/>
                <w:color w:val="1E293B"/>
                <w:sz w:val="21"/>
                <w:rtl/>
              </w:rPr>
              <w:t>شماره کارت بانکی ماسک‌شده طبق استاندارد امنیت پرداخت PCI-DSS؛ گره‌های تحلیل و ابزار اصلی پرداخت.</w:t>
            </w:r>
          </w:p>
        </w:tc>
      </w:tr>
      <w:tr>
        <w:trPr>
          <w:cantSplit/>
        </w:trPr>
        <w:tc>
          <w:tcPr>
            <w:tcW w:type="dxa" w:w="1814"/>
            <w:tcMar>
              <w:top w:w="70" w:type="dxa"/>
              <w:bottom w:w="70" w:type="dxa"/>
              <w:left w:w="100" w:type="dxa"/>
              <w:right w:w="100" w:type="dxa"/>
            </w:tcMar>
            <w:shd w:fill="F8FAFC"/>
          </w:tcPr>
          <w:p>
            <w:pPr>
              <w:bidi w:val="1"/>
              <w:jc w:val="right"/>
            </w:pPr>
            <w:r>
              <w:rPr>
                <w:rFonts w:ascii="Times New Roman" w:hAnsi="Times New Roman" w:cs="B Nazanin"/>
                <w:b w:val="0"/>
                <w:i w:val="0"/>
                <w:color w:val="1E293B"/>
                <w:sz w:val="21"/>
                <w:rtl/>
              </w:rPr>
              <w:t>amount</w:t>
            </w:r>
          </w:p>
        </w:tc>
        <w:tc>
          <w:tcPr>
            <w:tcW w:type="dxa" w:w="2381"/>
            <w:tcMar>
              <w:top w:w="70" w:type="dxa"/>
              <w:bottom w:w="70" w:type="dxa"/>
              <w:left w:w="100" w:type="dxa"/>
              <w:right w:w="100" w:type="dxa"/>
            </w:tcMar>
            <w:shd w:fill="F8FAFC"/>
          </w:tcPr>
          <w:p>
            <w:pPr>
              <w:bidi w:val="1"/>
              <w:jc w:val="right"/>
            </w:pPr>
            <w:r>
              <w:rPr>
                <w:rFonts w:ascii="Times New Roman" w:hAnsi="Times New Roman" w:cs="B Nazanin"/>
                <w:b w:val="0"/>
                <w:i w:val="0"/>
                <w:color w:val="1E293B"/>
                <w:sz w:val="21"/>
                <w:rtl/>
              </w:rPr>
              <w:t>14,500,000 (Numeric - Rial)</w:t>
            </w:r>
          </w:p>
        </w:tc>
        <w:tc>
          <w:tcPr>
            <w:tcW w:type="dxa" w:w="5159"/>
            <w:tcMar>
              <w:top w:w="70" w:type="dxa"/>
              <w:bottom w:w="70" w:type="dxa"/>
              <w:left w:w="100" w:type="dxa"/>
              <w:right w:w="100" w:type="dxa"/>
            </w:tcMar>
            <w:shd w:fill="F8FAFC"/>
          </w:tcPr>
          <w:p>
            <w:pPr>
              <w:bidi w:val="1"/>
              <w:jc w:val="right"/>
            </w:pPr>
            <w:r>
              <w:rPr>
                <w:rFonts w:ascii="Times New Roman" w:hAnsi="Times New Roman" w:cs="B Nazanin"/>
                <w:b w:val="0"/>
                <w:i w:val="0"/>
                <w:color w:val="1E293B"/>
                <w:sz w:val="21"/>
                <w:rtl/>
              </w:rPr>
              <w:t>مبلغ تراکنش به ریال؛ دارای توزیع لاگ‌نرمال وابسته به صنف برای تفکیک رفتارهای کلان و خرد.</w:t>
            </w:r>
          </w:p>
        </w:tc>
      </w:tr>
      <w:tr>
        <w:trPr>
          <w:cantSplit/>
        </w:trPr>
        <w:tc>
          <w:tcPr>
            <w:tcW w:type="dxa" w:w="1814"/>
            <w:tcMar>
              <w:top w:w="70" w:type="dxa"/>
              <w:bottom w:w="70" w:type="dxa"/>
              <w:left w:w="100" w:type="dxa"/>
              <w:right w:w="100" w:type="dxa"/>
            </w:tcMar>
          </w:tcPr>
          <w:p>
            <w:pPr>
              <w:bidi w:val="1"/>
              <w:jc w:val="right"/>
            </w:pPr>
            <w:r>
              <w:rPr>
                <w:rFonts w:ascii="Times New Roman" w:hAnsi="Times New Roman" w:cs="B Nazanin"/>
                <w:b w:val="0"/>
                <w:i w:val="0"/>
                <w:color w:val="1E293B"/>
                <w:sz w:val="21"/>
                <w:rtl/>
              </w:rPr>
              <w:t>merchant_id</w:t>
            </w:r>
          </w:p>
        </w:tc>
        <w:tc>
          <w:tcPr>
            <w:tcW w:type="dxa" w:w="2381"/>
            <w:tcMar>
              <w:top w:w="70" w:type="dxa"/>
              <w:bottom w:w="70" w:type="dxa"/>
              <w:left w:w="100" w:type="dxa"/>
              <w:right w:w="100" w:type="dxa"/>
            </w:tcMar>
          </w:tcPr>
          <w:p>
            <w:pPr>
              <w:bidi w:val="1"/>
              <w:jc w:val="right"/>
            </w:pPr>
            <w:r>
              <w:rPr>
                <w:rFonts w:ascii="Times New Roman" w:hAnsi="Times New Roman" w:cs="B Nazanin"/>
                <w:b w:val="0"/>
                <w:i w:val="0"/>
                <w:color w:val="1E293B"/>
                <w:sz w:val="21"/>
                <w:rtl/>
              </w:rPr>
              <w:t>M_00142 / TERM_782 (String)</w:t>
            </w:r>
          </w:p>
        </w:tc>
        <w:tc>
          <w:tcPr>
            <w:tcW w:type="dxa" w:w="5159"/>
            <w:tcMar>
              <w:top w:w="70" w:type="dxa"/>
              <w:bottom w:w="70" w:type="dxa"/>
              <w:left w:w="100" w:type="dxa"/>
              <w:right w:w="100" w:type="dxa"/>
            </w:tcMar>
          </w:tcPr>
          <w:p>
            <w:pPr>
              <w:bidi w:val="1"/>
              <w:jc w:val="right"/>
            </w:pPr>
            <w:r>
              <w:rPr>
                <w:rFonts w:ascii="Times New Roman" w:hAnsi="Times New Roman" w:cs="B Nazanin"/>
                <w:b w:val="0"/>
                <w:i w:val="0"/>
                <w:color w:val="1E293B"/>
                <w:sz w:val="21"/>
                <w:rtl/>
              </w:rPr>
              <w:t>شناسه یکتای پایانه پذیرندگی یا درگاه پرداخت؛ تفکیک و نگاشت رفتار خرید کارت‌ها به نقاط پذیرندگی.</w:t>
            </w:r>
          </w:p>
        </w:tc>
      </w:tr>
      <w:tr>
        <w:trPr>
          <w:cantSplit/>
        </w:trPr>
        <w:tc>
          <w:tcPr>
            <w:tcW w:type="dxa" w:w="1814"/>
            <w:tcMar>
              <w:top w:w="70" w:type="dxa"/>
              <w:bottom w:w="70" w:type="dxa"/>
              <w:left w:w="100" w:type="dxa"/>
              <w:right w:w="100" w:type="dxa"/>
            </w:tcMar>
            <w:shd w:fill="F8FAFC"/>
          </w:tcPr>
          <w:p>
            <w:pPr>
              <w:bidi w:val="1"/>
              <w:jc w:val="right"/>
            </w:pPr>
            <w:r>
              <w:rPr>
                <w:rFonts w:ascii="Times New Roman" w:hAnsi="Times New Roman" w:cs="B Nazanin"/>
                <w:b w:val="0"/>
                <w:i w:val="0"/>
                <w:color w:val="1E293B"/>
                <w:sz w:val="21"/>
                <w:rtl/>
              </w:rPr>
              <w:t>create_date</w:t>
            </w:r>
          </w:p>
        </w:tc>
        <w:tc>
          <w:tcPr>
            <w:tcW w:type="dxa" w:w="2381"/>
            <w:tcMar>
              <w:top w:w="70" w:type="dxa"/>
              <w:bottom w:w="70" w:type="dxa"/>
              <w:left w:w="100" w:type="dxa"/>
              <w:right w:w="100" w:type="dxa"/>
            </w:tcMar>
            <w:shd w:fill="F8FAFC"/>
          </w:tcPr>
          <w:p>
            <w:pPr>
              <w:bidi w:val="1"/>
              <w:jc w:val="right"/>
            </w:pPr>
            <w:r>
              <w:rPr>
                <w:rFonts w:ascii="Times New Roman" w:hAnsi="Times New Roman" w:cs="B Nazanin"/>
                <w:b w:val="0"/>
                <w:i w:val="0"/>
                <w:color w:val="1E293B"/>
                <w:sz w:val="21"/>
                <w:rtl/>
              </w:rPr>
              <w:t>2026-07-15 14:28:09 (DateTime)</w:t>
            </w:r>
          </w:p>
        </w:tc>
        <w:tc>
          <w:tcPr>
            <w:tcW w:type="dxa" w:w="5159"/>
            <w:tcMar>
              <w:top w:w="70" w:type="dxa"/>
              <w:bottom w:w="70" w:type="dxa"/>
              <w:left w:w="100" w:type="dxa"/>
              <w:right w:w="100" w:type="dxa"/>
            </w:tcMar>
            <w:shd w:fill="F8FAFC"/>
          </w:tcPr>
          <w:p>
            <w:pPr>
              <w:bidi w:val="1"/>
              <w:jc w:val="right"/>
            </w:pPr>
            <w:r>
              <w:rPr>
                <w:rFonts w:ascii="Times New Roman" w:hAnsi="Times New Roman" w:cs="B Nazanin"/>
                <w:b w:val="0"/>
                <w:i w:val="0"/>
                <w:color w:val="1E293B"/>
                <w:sz w:val="21"/>
                <w:rtl/>
              </w:rPr>
              <w:t>تاریخ و زمان دقیق ثبت تراکنش؛ برای سنجش تازگی، فواصل خرید و تحلیل سری زمانی.</w:t>
            </w:r>
          </w:p>
        </w:tc>
      </w:tr>
      <w:tr>
        <w:trPr>
          <w:cantSplit/>
        </w:trPr>
        <w:tc>
          <w:tcPr>
            <w:tcW w:type="dxa" w:w="1814"/>
            <w:tcMar>
              <w:top w:w="70" w:type="dxa"/>
              <w:bottom w:w="70" w:type="dxa"/>
              <w:left w:w="100" w:type="dxa"/>
              <w:right w:w="100" w:type="dxa"/>
            </w:tcMar>
          </w:tcPr>
          <w:p>
            <w:pPr>
              <w:bidi w:val="1"/>
              <w:jc w:val="right"/>
            </w:pPr>
            <w:r>
              <w:rPr>
                <w:rFonts w:ascii="Times New Roman" w:hAnsi="Times New Roman" w:cs="B Nazanin"/>
                <w:b w:val="0"/>
                <w:i w:val="0"/>
                <w:color w:val="1E293B"/>
                <w:sz w:val="21"/>
                <w:rtl/>
              </w:rPr>
              <w:t>cast_name</w:t>
            </w:r>
          </w:p>
        </w:tc>
        <w:tc>
          <w:tcPr>
            <w:tcW w:type="dxa" w:w="2381"/>
            <w:tcMar>
              <w:top w:w="70" w:type="dxa"/>
              <w:bottom w:w="70" w:type="dxa"/>
              <w:left w:w="100" w:type="dxa"/>
              <w:right w:w="100" w:type="dxa"/>
            </w:tcMar>
          </w:tcPr>
          <w:p>
            <w:pPr>
              <w:bidi w:val="1"/>
              <w:jc w:val="right"/>
            </w:pPr>
            <w:r>
              <w:rPr>
                <w:rFonts w:ascii="Times New Roman" w:hAnsi="Times New Roman" w:cs="B Nazanin"/>
                <w:b w:val="0"/>
                <w:i w:val="0"/>
                <w:color w:val="1E293B"/>
                <w:sz w:val="21"/>
                <w:rtl/>
              </w:rPr>
              <w:t>طلافروشی، سوپرمارکت، رستوران... (Categorical)</w:t>
            </w:r>
          </w:p>
        </w:tc>
        <w:tc>
          <w:tcPr>
            <w:tcW w:type="dxa" w:w="5159"/>
            <w:tcMar>
              <w:top w:w="70" w:type="dxa"/>
              <w:bottom w:w="70" w:type="dxa"/>
              <w:left w:w="100" w:type="dxa"/>
              <w:right w:w="100" w:type="dxa"/>
            </w:tcMar>
          </w:tcPr>
          <w:p>
            <w:pPr>
              <w:bidi w:val="1"/>
              <w:jc w:val="right"/>
            </w:pPr>
            <w:r>
              <w:rPr>
                <w:rFonts w:ascii="Times New Roman" w:hAnsi="Times New Roman" w:cs="B Nazanin"/>
                <w:b w:val="0"/>
                <w:i w:val="0"/>
                <w:color w:val="1E293B"/>
                <w:sz w:val="21"/>
                <w:rtl/>
              </w:rPr>
              <w:t>نام صنف و رسته شغلی پذیرنده؛ مؤلفه حیاتی برای محاسبه انتروپی سبد مصرف و تفکیک پرسوناها.</w:t>
            </w:r>
          </w:p>
        </w:tc>
      </w:tr>
    </w:tbl>
    <w:p>
      <w:pPr>
        <w:spacing w:after="160"/>
      </w:pPr>
    </w:p>
    <w:p>
      <w:r>
        <w:br w:type="page"/>
      </w:r>
    </w:p>
    <w:p>
      <w:pPr>
        <w:keepNext/>
        <w:bidi w:val="1"/>
        <w:spacing w:before="320" w:after="120"/>
        <w:jc w:val="right"/>
        <w:pBdr>
          <w:bottom w:val="single" w:sz="12" w:space="4" w:color="2B6CB0"/>
        </w:pBdr>
      </w:pPr>
      <w:r>
        <w:rPr>
          <w:rFonts w:ascii="Times New Roman" w:hAnsi="Times New Roman" w:cs="B Nazanin"/>
          <w:b/>
          <w:i w:val="0"/>
          <w:color w:val="0A2540"/>
          <w:sz w:val="30"/>
          <w:rtl/>
        </w:rPr>
        <w:t>۲. تشریح تفصیلی معماری چهارلایه و ماژول‌های کد</w:t>
      </w:r>
    </w:p>
    <w:p>
      <w:pPr>
        <w:bidi w:val="1"/>
        <w:spacing w:after="120" w:line="300" w:lineRule="auto"/>
        <w:jc w:val="both"/>
      </w:pPr>
      <w:r>
        <w:rPr>
          <w:rFonts w:ascii="Times New Roman" w:hAnsi="Times New Roman" w:cs="B Nazanin"/>
          <w:b w:val="0"/>
          <w:i w:val="0"/>
          <w:color w:val="1E293B"/>
          <w:sz w:val="23"/>
          <w:rtl/>
        </w:rPr>
        <w:t>چارچوب معماری پیشنهادی HG-CAN در چهار لایه مستقل و تعاملی پیاده‌سازی شده است که جریان داده را از تراکنش خام تا داشبورد هوشمندی سازمانی هدایت می‌کند:</w:t>
      </w:r>
    </w:p>
    <w:p>
      <w:pPr>
        <w:keepNext/>
        <w:spacing w:before="200" w:after="80"/>
        <w:jc w:val="center"/>
      </w:pPr>
      <w:r>
        <w:drawing>
          <wp:inline xmlns:a="http://schemas.openxmlformats.org/drawingml/2006/main" xmlns:pic="http://schemas.openxmlformats.org/drawingml/2006/picture">
            <wp:extent cx="5580000" cy="7104885"/>
            <wp:docPr id="1" name="Picture 1"/>
            <wp:cNvGraphicFramePr>
              <a:graphicFrameLocks noChangeAspect="1"/>
            </wp:cNvGraphicFramePr>
            <a:graphic>
              <a:graphicData uri="http://schemas.openxmlformats.org/drawingml/2006/picture">
                <pic:pic>
                  <pic:nvPicPr>
                    <pic:cNvPr id="0" name="fig1_architecture_fa.png"/>
                    <pic:cNvPicPr/>
                  </pic:nvPicPr>
                  <pic:blipFill>
                    <a:blip r:embed="rId9"/>
                    <a:stretch>
                      <a:fillRect/>
                    </a:stretch>
                  </pic:blipFill>
                  <pic:spPr>
                    <a:xfrm>
                      <a:off x="0" y="0"/>
                      <a:ext cx="5580000" cy="7104885"/>
                    </a:xfrm>
                    <a:prstGeom prst="rect"/>
                  </pic:spPr>
                </pic:pic>
              </a:graphicData>
            </a:graphic>
          </wp:inline>
        </w:drawing>
      </w:r>
    </w:p>
    <w:p>
      <w:pPr>
        <w:bidi w:val="1"/>
        <w:spacing w:after="240"/>
        <w:jc w:val="center"/>
      </w:pPr>
      <w:r>
        <w:rPr>
          <w:rFonts w:ascii="Times New Roman" w:hAnsi="Times New Roman" w:cs="B Nazanin"/>
          <w:b/>
          <w:i/>
          <w:color w:val="4A5568"/>
          <w:sz w:val="20"/>
          <w:rtl/>
        </w:rPr>
        <w:t>شکل ۱: معماری چهارلایه چارچوب کشف مشتری مجهز به انحنای فرمن-ریچی (HG-CAN)</w:t>
      </w:r>
    </w:p>
    <w:p>
      <w:pPr>
        <w:keepNext/>
        <w:bidi w:val="1"/>
        <w:spacing w:before="240" w:after="80"/>
        <w:jc w:val="right"/>
      </w:pPr>
      <w:r>
        <w:rPr>
          <w:rFonts w:ascii="Times New Roman" w:hAnsi="Times New Roman" w:cs="B Nazanin"/>
          <w:b/>
          <w:i w:val="0"/>
          <w:color w:val="2B6CB0"/>
          <w:sz w:val="26"/>
          <w:rtl/>
        </w:rPr>
        <w:t>۲-۱ لایه ۱: دریافت، نرمال‌سازی و تولید داده (src/data_generator.py و src/config.py)</w:t>
      </w:r>
    </w:p>
    <w:p>
      <w:pPr>
        <w:bidi w:val="1"/>
        <w:spacing w:after="120" w:line="300" w:lineRule="auto"/>
        <w:jc w:val="both"/>
      </w:pPr>
      <w:r>
        <w:rPr>
          <w:rFonts w:ascii="Times New Roman" w:hAnsi="Times New Roman" w:cs="B Nazanin"/>
          <w:b w:val="0"/>
          <w:i w:val="0"/>
          <w:color w:val="1E293B"/>
          <w:sz w:val="23"/>
          <w:rtl/>
        </w:rPr>
        <w:t>ماژول config.py کلیه ثابت‌ها، تنظیمات هایپرپارامترها و نگاشت اصناف (GUILD_MAPPING) را در بر دارد. ماژول data_generator.py یک شبیه‌ساز چندعاملی (Multi-Agent Simulator) است که ۳۵٬۰۰۰ تراکنش را برای ۱٬۴۸۰ کارت و ۳۵۰ پایانه پذیرندگی در ۸ صنف تولید می‌کند. کارت‌ها در ۵ الگوی رفتاری با ترجیحات اصناف مختلف نمونه‌برداری شده و مبالغ تراکنش‌ها از توزیع لاگ‌نرمال منطبق با ماهیت اقتصادی هر صنف شبیه‌سازی می‌شوند.</w:t>
      </w:r>
    </w:p>
    <w:p>
      <w:pPr>
        <w:bidi w:val="1"/>
        <w:spacing w:before="160" w:after="40"/>
        <w:jc w:val="right"/>
      </w:pPr>
      <w:r>
        <w:rPr>
          <w:rFonts w:ascii="Times New Roman" w:hAnsi="Times New Roman" w:cs="B Nazanin"/>
          <w:b/>
          <w:i w:val="0"/>
          <w:color w:val="2B6CB0"/>
          <w:sz w:val="22"/>
          <w:rtl/>
        </w:rPr>
        <w:t xml:space="preserve">💻 قطعه‌کد: </w:t>
      </w:r>
      <w:r>
        <w:rPr>
          <w:rFonts w:ascii="Consolas" w:hAnsi="Consolas" w:cs="Consolas"/>
          <w:b/>
          <w:i w:val="0"/>
          <w:color w:val="2D3748"/>
          <w:sz w:val="21"/>
        </w:rPr>
        <w:t>src/data_generator.py - تولید تراکنش با الگوی صنف و ماسک کارت</w:t>
      </w:r>
    </w:p>
    <w:tbl>
      <w:tblPr>
        <w:tblW w:type="auto" w:w="0"/>
        <w:jc w:val="center"/>
        <w:tblLook w:firstColumn="1" w:firstRow="1" w:lastColumn="0" w:lastRow="0" w:noHBand="0" w:noVBand="1" w:val="04A0"/>
      </w:tblPr>
      <w:tblGrid>
        <w:gridCol w:w="9412"/>
      </w:tblGrid>
      <w:tr>
        <w:tc>
          <w:tcPr>
            <w:tcW w:type="dxa" w:w="9354"/>
            <w:shd w:fill="F8F9FA"/>
            <w:tcMar>
              <w:top w:w="100" w:type="dxa"/>
              <w:bottom w:w="100" w:type="dxa"/>
              <w:left w:w="140" w:type="dxa"/>
              <w:right w:w="140" w:type="dxa"/>
            </w:tcMar>
            <w:tcBorders>
              <w:top w:val="single" w:sz="6" w:space="0" w:color="CBD5E0"/>
              <w:bottom w:val="single" w:sz="6" w:space="0" w:color="CBD5E0"/>
              <w:left w:val="single" w:sz="6" w:space="0" w:color="CBD5E0"/>
              <w:right w:val="single" w:sz="18" w:space="0" w:color="4A5568"/>
            </w:tcBorders>
          </w:tcPr>
          <w:p>
            <w:pPr>
              <w:spacing w:before="0" w:after="0" w:line="264" w:lineRule="auto"/>
              <w:jc w:val="left"/>
            </w:pPr>
            <w:r>
              <w:rPr>
                <w:rFonts w:ascii="Consolas" w:hAnsi="Consolas" w:cs="Consolas"/>
                <w:b w:val="0"/>
                <w:i w:val="0"/>
                <w:color w:val="1E293B"/>
                <w:sz w:val="18"/>
              </w:rPr>
              <w:t># نمونه‌برداری مبلغ بر پایه پارامترهای توزیع لاگ‌نرمال صنف (طلافروشی، سوپرمارکت و...)</w:t>
              <w:br/>
              <w:t>mean_log, std_log = guild_meta['amount_dist']</w:t>
              <w:br/>
              <w:t>amount = float(np.random.lognormal(mean_log, std_log))</w:t>
              <w:br/>
              <w:br/>
              <w:t># ماسک‌سازی کارت طبق استاندارد PCI-DSS (BIN******Last4)</w:t>
              <w:br/>
              <w:t>masked_pan = f'{pan[:6]}******{pan[-4:]}'</w:t>
              <w:br/>
              <w:br/>
              <w:t># ذخیره در قالب دیتافریم تراکنش‌ها با ۵ فیلد الزامی</w:t>
              <w:br/>
              <w:t>tx_records.append({</w:t>
              <w:br/>
              <w:t xml:space="preserve">    'pan': masked_pan,</w:t>
              <w:br/>
              <w:t xml:space="preserve">    'amount': round(amount, 2),</w:t>
              <w:br/>
              <w:t xml:space="preserve">    'merchant_id': merch_id,</w:t>
              <w:br/>
              <w:t xml:space="preserve">    'create_date': tx_time.strftime('%Y-%m-%d %H:%M:%S'),</w:t>
              <w:br/>
              <w:t xml:space="preserve">    'cast_name': guild_name</w:t>
              <w:br/>
              <w:t>})</w:t>
            </w:r>
          </w:p>
        </w:tc>
      </w:tr>
    </w:tbl>
    <w:p>
      <w:pPr>
        <w:spacing w:after="120"/>
      </w:pPr>
    </w:p>
    <w:p>
      <w:pPr>
        <w:keepNext/>
        <w:bidi w:val="1"/>
        <w:spacing w:before="240" w:after="80"/>
        <w:jc w:val="right"/>
      </w:pPr>
      <w:r>
        <w:rPr>
          <w:rFonts w:ascii="Times New Roman" w:hAnsi="Times New Roman" w:cs="B Nazanin"/>
          <w:b/>
          <w:i w:val="0"/>
          <w:color w:val="2B6CB0"/>
          <w:sz w:val="26"/>
          <w:rtl/>
        </w:rPr>
        <w:t>۲-۲ لایه ۲: مدل‌سازی ابرگراف و انحنای گسسته فرمن-ریچی (src/graph_builder.py)</w:t>
      </w:r>
    </w:p>
    <w:p>
      <w:pPr>
        <w:bidi w:val="1"/>
        <w:spacing w:after="120" w:line="300" w:lineRule="auto"/>
        <w:jc w:val="both"/>
      </w:pPr>
      <w:r>
        <w:rPr>
          <w:rFonts w:ascii="Times New Roman" w:hAnsi="Times New Roman" w:cs="B Nazanin"/>
          <w:b w:val="0"/>
          <w:i w:val="0"/>
          <w:color w:val="1E293B"/>
          <w:sz w:val="23"/>
          <w:rtl/>
        </w:rPr>
        <w:t>در این لایه، تراکنش‌های پرداخت به یک گراف هم‌پذیرندگی وزندار با انحنای ریمانی تبدیل می‌شوند:</w:t>
        <w:br/>
        <w:t>۱. تصویرسازی ابرگراف کارت-پذیرنده و محاسبه شباهت کسینوسی میان بردارهای ترجیحات اصناف کارت‌ها: w_uv = cos(B_u, B_v).</w:t>
        <w:br/>
        <w:t>۲. محاسبه انحنای گسسته فرمن-ریچی روی یال‌های شبکه: F(u,v) = [4 - d(u) - d(v) + 3*Δ(u,v)] / sqrt(d(u)*d(v)) برای تمایز پل‌های گلوگاهی نقدینگی و خوشه‌های متراکم.</w:t>
        <w:br/>
        <w:t>۳. هرس گراف (Graph Pruning): حفظ ۱۴ همسایه برتر با حداقل شباهت ۰.۱۲ برای حذف نویز شبکه.</w:t>
        <w:br/>
        <w:t>۴. مهندسی بردار ویژگی ۱۶ بعدی گره‌ها شامل: ۸ آماره رفتاری (حجم، میانگین، انحراف، تعداد، تازگی، چولگی، تمرکز صنف و انتروپی شانون) به همراه ۸ مؤلفه نسبت توزیع تراکنش در هر یک از ۸ صنف اقتصادی.</w:t>
      </w:r>
    </w:p>
    <w:p>
      <w:pPr>
        <w:keepNext/>
        <w:spacing w:before="200" w:after="80"/>
        <w:jc w:val="center"/>
      </w:pPr>
      <w:r>
        <w:drawing>
          <wp:inline xmlns:a="http://schemas.openxmlformats.org/drawingml/2006/main" xmlns:pic="http://schemas.openxmlformats.org/drawingml/2006/picture">
            <wp:extent cx="5580000" cy="5080701"/>
            <wp:docPr id="2" name="Picture 2"/>
            <wp:cNvGraphicFramePr>
              <a:graphicFrameLocks noChangeAspect="1"/>
            </wp:cNvGraphicFramePr>
            <a:graphic>
              <a:graphicData uri="http://schemas.openxmlformats.org/drawingml/2006/picture">
                <pic:pic>
                  <pic:nvPicPr>
                    <pic:cNvPr id="0" name="fig2_topology_fa.png"/>
                    <pic:cNvPicPr/>
                  </pic:nvPicPr>
                  <pic:blipFill>
                    <a:blip r:embed="rId10"/>
                    <a:stretch>
                      <a:fillRect/>
                    </a:stretch>
                  </pic:blipFill>
                  <pic:spPr>
                    <a:xfrm>
                      <a:off x="0" y="0"/>
                      <a:ext cx="5580000" cy="5080701"/>
                    </a:xfrm>
                    <a:prstGeom prst="rect"/>
                  </pic:spPr>
                </pic:pic>
              </a:graphicData>
            </a:graphic>
          </wp:inline>
        </w:drawing>
      </w:r>
    </w:p>
    <w:p>
      <w:pPr>
        <w:bidi w:val="1"/>
        <w:spacing w:after="240"/>
        <w:jc w:val="center"/>
      </w:pPr>
      <w:r>
        <w:rPr>
          <w:rFonts w:ascii="Times New Roman" w:hAnsi="Times New Roman" w:cs="B Nazanin"/>
          <w:b/>
          <w:i/>
          <w:color w:val="4A5568"/>
          <w:sz w:val="20"/>
          <w:rtl/>
        </w:rPr>
        <w:t>شکل ۲: گراف توپولوژی کارت‌های بانکی با گره‌های رنگ‌آمیزی‌شده بر اساس پرسوناهای کشف‌شده</w:t>
      </w:r>
    </w:p>
    <w:p>
      <w:pPr>
        <w:bidi w:val="1"/>
        <w:spacing w:before="160" w:after="40"/>
        <w:jc w:val="right"/>
      </w:pPr>
      <w:r>
        <w:rPr>
          <w:rFonts w:ascii="Times New Roman" w:hAnsi="Times New Roman" w:cs="B Nazanin"/>
          <w:b/>
          <w:i w:val="0"/>
          <w:color w:val="2B6CB0"/>
          <w:sz w:val="22"/>
          <w:rtl/>
        </w:rPr>
        <w:t xml:space="preserve">💻 قطعه‌کد: </w:t>
      </w:r>
      <w:r>
        <w:rPr>
          <w:rFonts w:ascii="Consolas" w:hAnsi="Consolas" w:cs="Consolas"/>
          <w:b/>
          <w:i w:val="0"/>
          <w:color w:val="2D3748"/>
          <w:sz w:val="21"/>
        </w:rPr>
        <w:t>src/graph_builder.py - محاسبه انحنای فرمن-ریچی و ویژگی‌های ۱۶بعدی گره‌ها</w:t>
      </w:r>
    </w:p>
    <w:tbl>
      <w:tblPr>
        <w:tblW w:type="auto" w:w="0"/>
        <w:jc w:val="center"/>
        <w:tblLook w:firstColumn="1" w:firstRow="1" w:lastColumn="0" w:lastRow="0" w:noHBand="0" w:noVBand="1" w:val="04A0"/>
      </w:tblPr>
      <w:tblGrid>
        <w:gridCol w:w="9412"/>
      </w:tblGrid>
      <w:tr>
        <w:tc>
          <w:tcPr>
            <w:tcW w:type="dxa" w:w="9354"/>
            <w:shd w:fill="F8F9FA"/>
            <w:tcMar>
              <w:top w:w="100" w:type="dxa"/>
              <w:bottom w:w="100" w:type="dxa"/>
              <w:left w:w="140" w:type="dxa"/>
              <w:right w:w="140" w:type="dxa"/>
            </w:tcMar>
            <w:tcBorders>
              <w:top w:val="single" w:sz="6" w:space="0" w:color="CBD5E0"/>
              <w:bottom w:val="single" w:sz="6" w:space="0" w:color="CBD5E0"/>
              <w:left w:val="single" w:sz="6" w:space="0" w:color="CBD5E0"/>
              <w:right w:val="single" w:sz="18" w:space="0" w:color="4A5568"/>
            </w:tcBorders>
          </w:tcPr>
          <w:p>
            <w:pPr>
              <w:spacing w:before="0" w:after="0" w:line="264" w:lineRule="auto"/>
              <w:jc w:val="left"/>
            </w:pPr>
            <w:r>
              <w:rPr>
                <w:rFonts w:ascii="Consolas" w:hAnsi="Consolas" w:cs="Consolas"/>
                <w:b w:val="0"/>
                <w:i w:val="0"/>
                <w:color w:val="1E293B"/>
                <w:sz w:val="18"/>
              </w:rPr>
              <w:t># محاسبه انحنای گسسته فرمن-ریچی برای هر یال (u, v)</w:t>
              <w:br/>
              <w:t>deg_u, deg_v = G.degree(u), G.degree(v)</w:t>
              <w:br/>
              <w:t>triangles = len(set(G.neighbors(u)) &amp; set(G.neighbors(v)))</w:t>
              <w:br/>
              <w:t>ricci = (4.0 - deg_u - deg_v + 3.0 * triangles) / np.sqrt(deg_u * deg_v + 1e-6)</w:t>
              <w:br/>
              <w:br/>
              <w:t># استخراج بردار ویژگی‌های ۱۶ بعدی (۸ آماره رفتاری + ۸ نسبت صنف)</w:t>
              <w:br/>
              <w:t>feature_vector = np.concatenate([behavioral_stats, guild_ratios])</w:t>
            </w:r>
          </w:p>
        </w:tc>
      </w:tr>
    </w:tbl>
    <w:p>
      <w:pPr>
        <w:spacing w:after="120"/>
      </w:pPr>
    </w:p>
    <w:p>
      <w:pPr>
        <w:keepNext/>
        <w:bidi w:val="1"/>
        <w:spacing w:before="240" w:after="80"/>
        <w:jc w:val="right"/>
      </w:pPr>
      <w:r>
        <w:rPr>
          <w:rFonts w:ascii="Times New Roman" w:hAnsi="Times New Roman" w:cs="B Nazanin"/>
          <w:b/>
          <w:i w:val="0"/>
          <w:color w:val="2B6CB0"/>
          <w:sz w:val="26"/>
          <w:rtl/>
        </w:rPr>
        <w:t>۲-۳ لایه ۳: خودرمزگذار توجه‌محور هندسی HG-CAN (src/gnn_model.py)</w:t>
      </w:r>
    </w:p>
    <w:p>
      <w:pPr>
        <w:bidi w:val="1"/>
        <w:spacing w:after="120" w:line="300" w:lineRule="auto"/>
        <w:jc w:val="both"/>
      </w:pPr>
      <w:r>
        <w:rPr>
          <w:rFonts w:ascii="Times New Roman" w:hAnsi="Times New Roman" w:cs="B Nazanin"/>
          <w:b w:val="0"/>
          <w:i w:val="0"/>
          <w:color w:val="1E293B"/>
          <w:sz w:val="23"/>
          <w:rtl/>
        </w:rPr>
        <w:t>برای یادگیری بازنمایی پیوسته بدون نیاز به برچسب‌های دستی، یک مدل خودرمزگذار نوین HG-CAN با PyTorch پیاده‌سازی شده است. این مدل ضرایب توجه چندسر را مستقیماً با تلفیق انحنای فرمن-ریچی و شباهت اصناف تعدیل می‌کند و بردارهای نهفته ۳۲ بعدی تولید می‌نماید. آموزش با تابع زیان سه‌گانه انتها-به-انتها شامل: بازسازی پیوندهای شبکه، بازسازی ویژگی‌های گره، و تنظیم انحنای یال‌ها انجام می‌شود.</w:t>
      </w:r>
    </w:p>
    <w:p>
      <w:pPr>
        <w:bidi w:val="1"/>
        <w:spacing w:before="160" w:after="40"/>
        <w:jc w:val="right"/>
      </w:pPr>
      <w:r>
        <w:rPr>
          <w:rFonts w:ascii="Times New Roman" w:hAnsi="Times New Roman" w:cs="B Nazanin"/>
          <w:b/>
          <w:i w:val="0"/>
          <w:color w:val="2B6CB0"/>
          <w:sz w:val="22"/>
          <w:rtl/>
        </w:rPr>
        <w:t xml:space="preserve">💻 قطعه‌کد: </w:t>
      </w:r>
      <w:r>
        <w:rPr>
          <w:rFonts w:ascii="Consolas" w:hAnsi="Consolas" w:cs="Consolas"/>
          <w:b/>
          <w:i w:val="0"/>
          <w:color w:val="2D3748"/>
          <w:sz w:val="21"/>
        </w:rPr>
        <w:t>src/gnn_model.py - لایه توجه تعدیل‌شده با انحنای ریچی و زیان سه‌گانه</w:t>
      </w:r>
    </w:p>
    <w:tbl>
      <w:tblPr>
        <w:tblW w:type="auto" w:w="0"/>
        <w:jc w:val="center"/>
        <w:tblLook w:firstColumn="1" w:firstRow="1" w:lastColumn="0" w:lastRow="0" w:noHBand="0" w:noVBand="1" w:val="04A0"/>
      </w:tblPr>
      <w:tblGrid>
        <w:gridCol w:w="9412"/>
      </w:tblGrid>
      <w:tr>
        <w:tc>
          <w:tcPr>
            <w:tcW w:type="dxa" w:w="9354"/>
            <w:shd w:fill="F8F9FA"/>
            <w:tcMar>
              <w:top w:w="100" w:type="dxa"/>
              <w:bottom w:w="100" w:type="dxa"/>
              <w:left w:w="140" w:type="dxa"/>
              <w:right w:w="140" w:type="dxa"/>
            </w:tcMar>
            <w:tcBorders>
              <w:top w:val="single" w:sz="6" w:space="0" w:color="CBD5E0"/>
              <w:bottom w:val="single" w:sz="6" w:space="0" w:color="CBD5E0"/>
              <w:left w:val="single" w:sz="6" w:space="0" w:color="CBD5E0"/>
              <w:right w:val="single" w:sz="18" w:space="0" w:color="4A5568"/>
            </w:tcBorders>
          </w:tcPr>
          <w:p>
            <w:pPr>
              <w:spacing w:before="0" w:after="0" w:line="264" w:lineRule="auto"/>
              <w:jc w:val="left"/>
            </w:pPr>
            <w:r>
              <w:rPr>
                <w:rFonts w:ascii="Consolas" w:hAnsi="Consolas" w:cs="Consolas"/>
                <w:b w:val="0"/>
                <w:i w:val="0"/>
                <w:color w:val="1E293B"/>
                <w:sz w:val="18"/>
              </w:rPr>
              <w:t>class CurvatureAttentiveLayer(nn.Module):</w:t>
              <w:br/>
              <w:t xml:space="preserve">    def forward(self, x, edge_index, curvature, edge_weight):</w:t>
              <w:br/>
              <w:t xml:space="preserve">        # تعدیل ضرایب توجه با انحنای ریچی و وزن یال</w:t>
              <w:br/>
              <w:t xml:space="preserve">        attn_logits = e_score + gamma * torch.tanh(curvature) + beta * torch.log1p(edge_weight)</w:t>
              <w:br/>
              <w:t xml:space="preserve">        alpha = softmax(attn_logits)</w:t>
              <w:br/>
              <w:t xml:space="preserve">        return self.aggregate(x, edge_index, alpha)</w:t>
              <w:br/>
              <w:br/>
              <w:t># تابع زیان سه‌گانه خودنظارتی</w:t>
              <w:br/>
              <w:t>loss = loss_link + lambda_attr * loss_attr + lambda_curv * loss_curv</w:t>
            </w:r>
          </w:p>
        </w:tc>
      </w:tr>
    </w:tbl>
    <w:p>
      <w:pPr>
        <w:spacing w:after="120"/>
      </w:pPr>
    </w:p>
    <w:p>
      <w:pPr>
        <w:keepNext/>
        <w:bidi w:val="1"/>
        <w:spacing w:before="240" w:after="80"/>
        <w:jc w:val="right"/>
      </w:pPr>
      <w:r>
        <w:rPr>
          <w:rFonts w:ascii="Times New Roman" w:hAnsi="Times New Roman" w:cs="B Nazanin"/>
          <w:b/>
          <w:i w:val="0"/>
          <w:color w:val="2B6CB0"/>
          <w:sz w:val="26"/>
          <w:rtl/>
        </w:rPr>
        <w:t>۲-۴ لایه ۴: موتور هوشمندی سازمانی و کشف پرسونا (src/customer_discovery.py)</w:t>
      </w:r>
    </w:p>
    <w:p>
      <w:pPr>
        <w:bidi w:val="1"/>
        <w:spacing w:after="120" w:line="300" w:lineRule="auto"/>
        <w:jc w:val="both"/>
      </w:pPr>
      <w:r>
        <w:rPr>
          <w:rFonts w:ascii="Times New Roman" w:hAnsi="Times New Roman" w:cs="B Nazanin"/>
          <w:b w:val="0"/>
          <w:i w:val="0"/>
          <w:color w:val="1E293B"/>
          <w:sz w:val="23"/>
          <w:rtl/>
        </w:rPr>
        <w:t>در این لایه، بردارهای نهفته استخراج‌شده از HG-CAN با خوشه‌بندی منیفولد تفکیک می‌شوند. موتور هوشمندی به طور خودکار ۵ پرسونای استراتژیک را کشف کرده و برای هر کارت شاخص‌های ارزش تجاری شامل شاخص تمول بانکی (Affluence Centrality)، شاخص تنوع سبد صنف (Guild Entropy) و میزان چسبندگی به شبکه (Network Stickiness) را محاسبه می‌کند.</w:t>
      </w:r>
    </w:p>
    <w:p>
      <w:pPr>
        <w:keepNext/>
        <w:spacing w:before="200" w:after="80"/>
        <w:jc w:val="center"/>
      </w:pPr>
      <w:r>
        <w:drawing>
          <wp:inline xmlns:a="http://schemas.openxmlformats.org/drawingml/2006/main" xmlns:pic="http://schemas.openxmlformats.org/drawingml/2006/picture">
            <wp:extent cx="5580000" cy="4854554"/>
            <wp:docPr id="3" name="Picture 3"/>
            <wp:cNvGraphicFramePr>
              <a:graphicFrameLocks noChangeAspect="1"/>
            </wp:cNvGraphicFramePr>
            <a:graphic>
              <a:graphicData uri="http://schemas.openxmlformats.org/drawingml/2006/picture">
                <pic:pic>
                  <pic:nvPicPr>
                    <pic:cNvPr id="0" name="fig3_guild_heatmap_fa.png"/>
                    <pic:cNvPicPr/>
                  </pic:nvPicPr>
                  <pic:blipFill>
                    <a:blip r:embed="rId11"/>
                    <a:stretch>
                      <a:fillRect/>
                    </a:stretch>
                  </pic:blipFill>
                  <pic:spPr>
                    <a:xfrm>
                      <a:off x="0" y="0"/>
                      <a:ext cx="5580000" cy="4854554"/>
                    </a:xfrm>
                    <a:prstGeom prst="rect"/>
                  </pic:spPr>
                </pic:pic>
              </a:graphicData>
            </a:graphic>
          </wp:inline>
        </w:drawing>
      </w:r>
    </w:p>
    <w:p>
      <w:pPr>
        <w:bidi w:val="1"/>
        <w:spacing w:after="240"/>
        <w:jc w:val="center"/>
      </w:pPr>
      <w:r>
        <w:rPr>
          <w:rFonts w:ascii="Times New Roman" w:hAnsi="Times New Roman" w:cs="B Nazanin"/>
          <w:b/>
          <w:i/>
          <w:color w:val="4A5568"/>
          <w:sz w:val="20"/>
          <w:rtl/>
        </w:rPr>
        <w:t>شکل ۳: ماتریس حرارتی همبستگی ترجیحات اصناف در شبکه تراکنشی</w:t>
      </w:r>
    </w:p>
    <w:p>
      <w:pPr>
        <w:keepNext/>
        <w:bidi w:val="1"/>
        <w:spacing w:before="320" w:after="120"/>
        <w:jc w:val="right"/>
        <w:pBdr>
          <w:bottom w:val="single" w:sz="12" w:space="4" w:color="2B6CB0"/>
        </w:pBdr>
      </w:pPr>
      <w:r>
        <w:rPr>
          <w:rFonts w:ascii="Times New Roman" w:hAnsi="Times New Roman" w:cs="B Nazanin"/>
          <w:b/>
          <w:i w:val="0"/>
          <w:color w:val="0A2540"/>
          <w:sz w:val="30"/>
          <w:rtl/>
        </w:rPr>
        <w:t>۳. موتورهای تولید خودکار مقالات و قالب‌بندی اسناد</w:t>
      </w:r>
    </w:p>
    <w:p>
      <w:pPr>
        <w:bidi w:val="1"/>
        <w:spacing w:after="120" w:line="300" w:lineRule="auto"/>
        <w:jc w:val="both"/>
      </w:pPr>
      <w:r>
        <w:rPr>
          <w:rFonts w:ascii="Times New Roman" w:hAnsi="Times New Roman" w:cs="B Nazanin"/>
          <w:b w:val="0"/>
          <w:i w:val="0"/>
          <w:color w:val="1E293B"/>
          <w:sz w:val="23"/>
          <w:rtl/>
        </w:rPr>
        <w:t>برای انتشار یافته‌های این پژوهش، دو موتور تولید خودکار اسناد در پروژه توسعه داده شده است که از کدهای پایتون و اتوماسیون Word بهره می‌برند:</w:t>
      </w:r>
    </w:p>
    <w:tbl>
      <w:tblPr>
        <w:tblW w:type="auto" w:w="0"/>
        <w:jc w:val="center"/>
        <w:tblLook w:firstColumn="1" w:firstRow="1" w:lastColumn="0" w:lastRow="0" w:noHBand="0" w:noVBand="1" w:val="04A0"/>
      </w:tblPr>
      <w:tblGrid>
        <w:gridCol w:w="9412"/>
      </w:tblGrid>
      <w:tr>
        <w:tc>
          <w:tcPr>
            <w:tcW w:type="dxa" w:w="9354"/>
            <w:shd w:fill="F7FAFC"/>
            <w:tcMar>
              <w:top w:w="120" w:type="dxa"/>
              <w:bottom w:w="120" w:type="dxa"/>
              <w:left w:w="180" w:type="dxa"/>
              <w:right w:w="180" w:type="dxa"/>
            </w:tcMar>
            <w:tcBorders>
              <w:right w:val="single" w:sz="24" w:space="0" w:color="2B6CB0"/>
              <w:top w:val="none"/>
              <w:left w:val="none"/>
              <w:bottom w:val="none"/>
            </w:tcBorders>
          </w:tcPr>
          <w:p>
            <w:pPr>
              <w:bidi w:val="1"/>
              <w:spacing w:after="80"/>
              <w:jc w:val="right"/>
            </w:pPr>
            <w:r>
              <w:rPr>
                <w:rFonts w:ascii="Times New Roman" w:hAnsi="Times New Roman" w:cs="B Nazanin"/>
                <w:b/>
                <w:i w:val="0"/>
                <w:color w:val="2B6CB0"/>
                <w:sz w:val="24"/>
                <w:rtl/>
              </w:rPr>
              <w:t>ماژول‌های اتوماسیون اسناد در پروژه</w:t>
            </w:r>
          </w:p>
          <w:p>
            <w:pPr>
              <w:bidi w:val="1"/>
              <w:spacing w:after="0" w:line="300" w:lineRule="auto"/>
              <w:jc w:val="right"/>
            </w:pPr>
            <w:r>
              <w:rPr>
                <w:rFonts w:ascii="Times New Roman" w:hAnsi="Times New Roman" w:cs="B Nazanin"/>
                <w:b w:val="0"/>
                <w:i w:val="0"/>
                <w:color w:val="2D3748"/>
                <w:sz w:val="22"/>
                <w:rtl/>
              </w:rPr>
              <w:t>۱. create_paper.py: مقاله انگلیسی را در قالب رسمی کنفرانس‌های IEEE در ساختار دو ستونه (2-Column) تولید می‌کند. این اسکریپت دارای بخش‌های عریض (Spanning Sections) برای شکل‌های بزرگ معماری و جدول بنچ‌مارک است و خروجی .docx، .doc و .pdf تولید می‌کند.</w:t>
              <w:br/>
              <w:t>۲. create_paper_fa.py: ساختار سند 'فرمت_فارسی_مقالات.doc' را استخراج کرده و مقاله فارسی را با استایل‌های بومی، فونت‌های راست‌به‌چپ (RTL)، جدول‌های شکیل و مراجع انگلیسی تولید و به Word و PDF تبدیل می‌نماید.</w:t>
              <w:br/>
              <w:t>۳. run_pipeline.py: اسکریپت هماهنگ‌کننده پایپ‌لاین سرتاسری است که با یک دستور، داده را تولید کرده، گراف را می‌سازد، مدل را آموزش داده، ارزیابی می‌کند و نمودارها را رسم می‌نماید.</w:t>
            </w:r>
          </w:p>
        </w:tc>
      </w:tr>
    </w:tbl>
    <w:p>
      <w:pPr>
        <w:spacing w:after="80"/>
      </w:pPr>
    </w:p>
    <w:p>
      <w:r>
        <w:br w:type="page"/>
      </w:r>
    </w:p>
    <w:p>
      <w:pPr>
        <w:keepNext/>
        <w:bidi w:val="1"/>
        <w:spacing w:before="320" w:after="120"/>
        <w:jc w:val="right"/>
        <w:pBdr>
          <w:bottom w:val="single" w:sz="12" w:space="4" w:color="2B6CB0"/>
        </w:pBdr>
      </w:pPr>
      <w:r>
        <w:rPr>
          <w:rFonts w:ascii="Times New Roman" w:hAnsi="Times New Roman" w:cs="B Nazanin"/>
          <w:b/>
          <w:i w:val="0"/>
          <w:color w:val="0A2540"/>
          <w:sz w:val="30"/>
          <w:rtl/>
        </w:rPr>
        <w:t>۴. تحلیل نتایج تجربی، بنچ‌مارک‌ها و بینش‌های کسب‌وکاری</w:t>
      </w:r>
    </w:p>
    <w:p>
      <w:pPr>
        <w:bidi w:val="1"/>
        <w:spacing w:after="120" w:line="300" w:lineRule="auto"/>
        <w:jc w:val="both"/>
      </w:pPr>
      <w:r>
        <w:rPr>
          <w:rFonts w:ascii="Times New Roman" w:hAnsi="Times New Roman" w:cs="B Nazanin"/>
          <w:b w:val="0"/>
          <w:i w:val="0"/>
          <w:color w:val="1E293B"/>
          <w:sz w:val="23"/>
          <w:rtl/>
        </w:rPr>
        <w:t>ارزیابی کمی بر روی ۳۲٬۰۰۰ تراکنش شبیه‌سازی‌شده انجام شد. مدل پیشنهادی GAT-GAE در برابر دو رویکرد پایه شامل «مدل سنتی RFM + K-Means» و «تجزیه ماتریس دوبخشی (Bipartite SVD)» مقایسه شد:</w:t>
      </w:r>
    </w:p>
    <w:tbl>
      <w:tblPr>
        <w:tblW w:type="auto" w:w="0"/>
        <w:jc w:val="center"/>
        <w:tblLook w:firstColumn="1" w:firstRow="1" w:lastColumn="0" w:lastRow="0" w:noHBand="0" w:noVBand="1" w:val="04A0"/>
        <w:bidiVisual/>
        <w:tblBorders>
          <w:top w:val="single" w:sz="6" w:space="0" w:color="CBD5E0"/>
          <w:bottom w:val="single" w:sz="8" w:space="0" w:color="4A5568"/>
          <w:insideH w:val="single" w:sz="4" w:space="0" w:color="E2E8F0"/>
          <w:insideV w:val="none"/>
          <w:left w:val="none"/>
          <w:right w:val="none"/>
        </w:tblBorders>
      </w:tblPr>
      <w:tblGrid>
        <w:gridCol w:w="1345"/>
        <w:gridCol w:w="1345"/>
        <w:gridCol w:w="1345"/>
        <w:gridCol w:w="1345"/>
        <w:gridCol w:w="1345"/>
        <w:gridCol w:w="1345"/>
        <w:gridCol w:w="1345"/>
      </w:tblGrid>
      <w:tr>
        <w:trPr>
          <w:cantSplit/>
          <w:tblHeader/>
        </w:trPr>
        <w:tc>
          <w:tcPr>
            <w:tcW w:type="dxa" w:w="2551"/>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مدل / چارچوب</w:t>
            </w:r>
          </w:p>
        </w:tc>
        <w:tc>
          <w:tcPr>
            <w:tcW w:type="dxa" w:w="1134"/>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NMI</w:t>
            </w:r>
          </w:p>
        </w:tc>
        <w:tc>
          <w:tcPr>
            <w:tcW w:type="dxa" w:w="1134"/>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ARI</w:t>
            </w:r>
          </w:p>
        </w:tc>
        <w:tc>
          <w:tcPr>
            <w:tcW w:type="dxa" w:w="1134"/>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V-Meas</w:t>
            </w:r>
          </w:p>
        </w:tc>
        <w:tc>
          <w:tcPr>
            <w:tcW w:type="dxa" w:w="1134"/>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Silh</w:t>
            </w:r>
          </w:p>
        </w:tc>
        <w:tc>
          <w:tcPr>
            <w:tcW w:type="dxa" w:w="1134"/>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DB</w:t>
            </w:r>
          </w:p>
        </w:tc>
        <w:tc>
          <w:tcPr>
            <w:tcW w:type="dxa" w:w="1134"/>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CH</w:t>
            </w:r>
          </w:p>
        </w:tc>
      </w:tr>
      <w:tr>
        <w:trPr>
          <w:cantSplit/>
        </w:trPr>
        <w:tc>
          <w:tcPr>
            <w:tcW w:type="dxa" w:w="2551"/>
            <w:tcMar>
              <w:top w:w="70" w:type="dxa"/>
              <w:bottom w:w="70" w:type="dxa"/>
              <w:left w:w="80" w:type="dxa"/>
              <w:right w:w="80" w:type="dxa"/>
            </w:tcMar>
          </w:tcPr>
          <w:p>
            <w:pPr>
              <w:bidi w:val="1"/>
              <w:jc w:val="right"/>
            </w:pPr>
            <w:r>
              <w:rPr>
                <w:rFonts w:ascii="Times New Roman" w:hAnsi="Times New Roman" w:cs="B Nazanin"/>
                <w:b w:val="0"/>
                <w:i w:val="0"/>
                <w:color w:val="4A5568"/>
                <w:sz w:val="20"/>
                <w:rtl/>
              </w:rPr>
              <w:t>Classical Tabular RFM + K-Means</w:t>
            </w:r>
          </w:p>
        </w:tc>
        <w:tc>
          <w:tcPr>
            <w:tcW w:type="dxa" w:w="1134"/>
            <w:tcMar>
              <w:top w:w="70" w:type="dxa"/>
              <w:bottom w:w="70" w:type="dxa"/>
              <w:left w:w="80" w:type="dxa"/>
              <w:right w:w="80" w:type="dxa"/>
            </w:tcMar>
          </w:tcPr>
          <w:p>
            <w:pPr>
              <w:bidi w:val="1"/>
              <w:jc w:val="right"/>
            </w:pPr>
            <w:r>
              <w:rPr>
                <w:rFonts w:ascii="Times New Roman" w:hAnsi="Times New Roman" w:cs="B Nazanin"/>
                <w:b w:val="0"/>
                <w:i w:val="0"/>
                <w:color w:val="4A5568"/>
                <w:sz w:val="20"/>
                <w:rtl/>
              </w:rPr>
              <w:t>0.1746</w:t>
            </w:r>
          </w:p>
        </w:tc>
        <w:tc>
          <w:tcPr>
            <w:tcW w:type="dxa" w:w="1134"/>
            <w:tcMar>
              <w:top w:w="70" w:type="dxa"/>
              <w:bottom w:w="70" w:type="dxa"/>
              <w:left w:w="80" w:type="dxa"/>
              <w:right w:w="80" w:type="dxa"/>
            </w:tcMar>
          </w:tcPr>
          <w:p>
            <w:pPr>
              <w:bidi w:val="1"/>
              <w:jc w:val="right"/>
            </w:pPr>
            <w:r>
              <w:rPr>
                <w:rFonts w:ascii="Times New Roman" w:hAnsi="Times New Roman" w:cs="B Nazanin"/>
                <w:b w:val="0"/>
                <w:i w:val="0"/>
                <w:color w:val="4A5568"/>
                <w:sz w:val="20"/>
                <w:rtl/>
              </w:rPr>
              <w:t>0.0483</w:t>
            </w:r>
          </w:p>
        </w:tc>
        <w:tc>
          <w:tcPr>
            <w:tcW w:type="dxa" w:w="1134"/>
            <w:tcMar>
              <w:top w:w="70" w:type="dxa"/>
              <w:bottom w:w="70" w:type="dxa"/>
              <w:left w:w="80" w:type="dxa"/>
              <w:right w:w="80" w:type="dxa"/>
            </w:tcMar>
          </w:tcPr>
          <w:p>
            <w:pPr>
              <w:bidi w:val="1"/>
              <w:jc w:val="right"/>
            </w:pPr>
            <w:r>
              <w:rPr>
                <w:rFonts w:ascii="Times New Roman" w:hAnsi="Times New Roman" w:cs="B Nazanin"/>
                <w:b w:val="0"/>
                <w:i w:val="0"/>
                <w:color w:val="4A5568"/>
                <w:sz w:val="20"/>
                <w:rtl/>
              </w:rPr>
              <w:t>0.1746</w:t>
            </w:r>
          </w:p>
        </w:tc>
        <w:tc>
          <w:tcPr>
            <w:tcW w:type="dxa" w:w="1134"/>
            <w:tcMar>
              <w:top w:w="70" w:type="dxa"/>
              <w:bottom w:w="70" w:type="dxa"/>
              <w:left w:w="80" w:type="dxa"/>
              <w:right w:w="80" w:type="dxa"/>
            </w:tcMar>
          </w:tcPr>
          <w:p>
            <w:pPr>
              <w:bidi w:val="1"/>
              <w:jc w:val="right"/>
            </w:pPr>
            <w:r>
              <w:rPr>
                <w:rFonts w:ascii="Times New Roman" w:hAnsi="Times New Roman" w:cs="B Nazanin"/>
                <w:b w:val="0"/>
                <w:i w:val="0"/>
                <w:color w:val="4A5568"/>
                <w:sz w:val="20"/>
                <w:rtl/>
              </w:rPr>
              <w:t>0.4099</w:t>
            </w:r>
          </w:p>
        </w:tc>
        <w:tc>
          <w:tcPr>
            <w:tcW w:type="dxa" w:w="1134"/>
            <w:tcMar>
              <w:top w:w="70" w:type="dxa"/>
              <w:bottom w:w="70" w:type="dxa"/>
              <w:left w:w="80" w:type="dxa"/>
              <w:right w:w="80" w:type="dxa"/>
            </w:tcMar>
          </w:tcPr>
          <w:p>
            <w:pPr>
              <w:bidi w:val="1"/>
              <w:jc w:val="right"/>
            </w:pPr>
            <w:r>
              <w:rPr>
                <w:rFonts w:ascii="Times New Roman" w:hAnsi="Times New Roman" w:cs="B Nazanin"/>
                <w:b w:val="0"/>
                <w:i w:val="0"/>
                <w:color w:val="4A5568"/>
                <w:sz w:val="20"/>
                <w:rtl/>
              </w:rPr>
              <w:t>0.8242</w:t>
            </w:r>
          </w:p>
        </w:tc>
        <w:tc>
          <w:tcPr>
            <w:tcW w:type="dxa" w:w="1134"/>
            <w:tcMar>
              <w:top w:w="70" w:type="dxa"/>
              <w:bottom w:w="70" w:type="dxa"/>
              <w:left w:w="80" w:type="dxa"/>
              <w:right w:w="80" w:type="dxa"/>
            </w:tcMar>
          </w:tcPr>
          <w:p>
            <w:pPr>
              <w:bidi w:val="1"/>
              <w:jc w:val="right"/>
            </w:pPr>
            <w:r>
              <w:rPr>
                <w:rFonts w:ascii="Times New Roman" w:hAnsi="Times New Roman" w:cs="B Nazanin"/>
                <w:b w:val="0"/>
                <w:i w:val="0"/>
                <w:color w:val="4A5568"/>
                <w:sz w:val="20"/>
                <w:rtl/>
              </w:rPr>
              <w:t>981.3</w:t>
            </w:r>
          </w:p>
        </w:tc>
      </w:tr>
      <w:tr>
        <w:trPr>
          <w:cantSplit/>
        </w:trPr>
        <w:tc>
          <w:tcPr>
            <w:tcW w:type="dxa" w:w="2551"/>
            <w:tcMar>
              <w:top w:w="70" w:type="dxa"/>
              <w:bottom w:w="70" w:type="dxa"/>
              <w:left w:w="80" w:type="dxa"/>
              <w:right w:w="80" w:type="dxa"/>
            </w:tcMar>
            <w:shd w:fill="F8FAFC"/>
          </w:tcPr>
          <w:p>
            <w:pPr>
              <w:bidi w:val="1"/>
              <w:jc w:val="right"/>
            </w:pPr>
            <w:r>
              <w:rPr>
                <w:rFonts w:ascii="Times New Roman" w:hAnsi="Times New Roman" w:cs="B Nazanin"/>
                <w:b w:val="0"/>
                <w:i w:val="0"/>
                <w:color w:val="4A5568"/>
                <w:sz w:val="20"/>
                <w:rtl/>
              </w:rPr>
              <w:t>Bipartite Matrix Factorization (SVD)</w:t>
            </w:r>
          </w:p>
        </w:tc>
        <w:tc>
          <w:tcPr>
            <w:tcW w:type="dxa" w:w="1134"/>
            <w:tcMar>
              <w:top w:w="70" w:type="dxa"/>
              <w:bottom w:w="70" w:type="dxa"/>
              <w:left w:w="80" w:type="dxa"/>
              <w:right w:w="80" w:type="dxa"/>
            </w:tcMar>
            <w:shd w:fill="F8FAFC"/>
          </w:tcPr>
          <w:p>
            <w:pPr>
              <w:bidi w:val="1"/>
              <w:jc w:val="right"/>
            </w:pPr>
            <w:r>
              <w:rPr>
                <w:rFonts w:ascii="Times New Roman" w:hAnsi="Times New Roman" w:cs="B Nazanin"/>
                <w:b w:val="0"/>
                <w:i w:val="0"/>
                <w:color w:val="4A5568"/>
                <w:sz w:val="20"/>
                <w:rtl/>
              </w:rPr>
              <w:t>0.8666</w:t>
            </w:r>
          </w:p>
        </w:tc>
        <w:tc>
          <w:tcPr>
            <w:tcW w:type="dxa" w:w="1134"/>
            <w:tcMar>
              <w:top w:w="70" w:type="dxa"/>
              <w:bottom w:w="70" w:type="dxa"/>
              <w:left w:w="80" w:type="dxa"/>
              <w:right w:w="80" w:type="dxa"/>
            </w:tcMar>
            <w:shd w:fill="F8FAFC"/>
          </w:tcPr>
          <w:p>
            <w:pPr>
              <w:bidi w:val="1"/>
              <w:jc w:val="right"/>
            </w:pPr>
            <w:r>
              <w:rPr>
                <w:rFonts w:ascii="Times New Roman" w:hAnsi="Times New Roman" w:cs="B Nazanin"/>
                <w:b w:val="0"/>
                <w:i w:val="0"/>
                <w:color w:val="4A5568"/>
                <w:sz w:val="20"/>
                <w:rtl/>
              </w:rPr>
              <w:t>0.8847</w:t>
            </w:r>
          </w:p>
        </w:tc>
        <w:tc>
          <w:tcPr>
            <w:tcW w:type="dxa" w:w="1134"/>
            <w:tcMar>
              <w:top w:w="70" w:type="dxa"/>
              <w:bottom w:w="70" w:type="dxa"/>
              <w:left w:w="80" w:type="dxa"/>
              <w:right w:w="80" w:type="dxa"/>
            </w:tcMar>
            <w:shd w:fill="F8FAFC"/>
          </w:tcPr>
          <w:p>
            <w:pPr>
              <w:bidi w:val="1"/>
              <w:jc w:val="right"/>
            </w:pPr>
            <w:r>
              <w:rPr>
                <w:rFonts w:ascii="Times New Roman" w:hAnsi="Times New Roman" w:cs="B Nazanin"/>
                <w:b w:val="0"/>
                <w:i w:val="0"/>
                <w:color w:val="4A5568"/>
                <w:sz w:val="20"/>
                <w:rtl/>
              </w:rPr>
              <w:t>0.8666</w:t>
            </w:r>
          </w:p>
        </w:tc>
        <w:tc>
          <w:tcPr>
            <w:tcW w:type="dxa" w:w="1134"/>
            <w:tcMar>
              <w:top w:w="70" w:type="dxa"/>
              <w:bottom w:w="70" w:type="dxa"/>
              <w:left w:w="80" w:type="dxa"/>
              <w:right w:w="80" w:type="dxa"/>
            </w:tcMar>
            <w:shd w:fill="F8FAFC"/>
          </w:tcPr>
          <w:p>
            <w:pPr>
              <w:bidi w:val="1"/>
              <w:jc w:val="right"/>
            </w:pPr>
            <w:r>
              <w:rPr>
                <w:rFonts w:ascii="Times New Roman" w:hAnsi="Times New Roman" w:cs="B Nazanin"/>
                <w:b w:val="0"/>
                <w:i w:val="0"/>
                <w:color w:val="4A5568"/>
                <w:sz w:val="20"/>
                <w:rtl/>
              </w:rPr>
              <w:t>0.2860</w:t>
            </w:r>
          </w:p>
        </w:tc>
        <w:tc>
          <w:tcPr>
            <w:tcW w:type="dxa" w:w="1134"/>
            <w:tcMar>
              <w:top w:w="70" w:type="dxa"/>
              <w:bottom w:w="70" w:type="dxa"/>
              <w:left w:w="80" w:type="dxa"/>
              <w:right w:w="80" w:type="dxa"/>
            </w:tcMar>
            <w:shd w:fill="F8FAFC"/>
          </w:tcPr>
          <w:p>
            <w:pPr>
              <w:bidi w:val="1"/>
              <w:jc w:val="right"/>
            </w:pPr>
            <w:r>
              <w:rPr>
                <w:rFonts w:ascii="Times New Roman" w:hAnsi="Times New Roman" w:cs="B Nazanin"/>
                <w:b w:val="0"/>
                <w:i w:val="0"/>
                <w:color w:val="4A5568"/>
                <w:sz w:val="20"/>
                <w:rtl/>
              </w:rPr>
              <w:t>1.3323</w:t>
            </w:r>
          </w:p>
        </w:tc>
        <w:tc>
          <w:tcPr>
            <w:tcW w:type="dxa" w:w="1134"/>
            <w:tcMar>
              <w:top w:w="70" w:type="dxa"/>
              <w:bottom w:w="70" w:type="dxa"/>
              <w:left w:w="80" w:type="dxa"/>
              <w:right w:w="80" w:type="dxa"/>
            </w:tcMar>
            <w:shd w:fill="F8FAFC"/>
          </w:tcPr>
          <w:p>
            <w:pPr>
              <w:bidi w:val="1"/>
              <w:jc w:val="right"/>
            </w:pPr>
            <w:r>
              <w:rPr>
                <w:rFonts w:ascii="Times New Roman" w:hAnsi="Times New Roman" w:cs="B Nazanin"/>
                <w:b w:val="0"/>
                <w:i w:val="0"/>
                <w:color w:val="4A5568"/>
                <w:sz w:val="20"/>
                <w:rtl/>
              </w:rPr>
              <w:t>304.2</w:t>
            </w:r>
          </w:p>
        </w:tc>
      </w:tr>
      <w:tr>
        <w:trPr>
          <w:cantSplit/>
        </w:trPr>
        <w:tc>
          <w:tcPr>
            <w:tcW w:type="dxa" w:w="2551"/>
            <w:tcMar>
              <w:top w:w="70" w:type="dxa"/>
              <w:bottom w:w="70" w:type="dxa"/>
              <w:left w:w="80" w:type="dxa"/>
              <w:right w:w="80" w:type="dxa"/>
            </w:tcMar>
            <w:shd w:fill="E6FFFA"/>
          </w:tcPr>
          <w:p>
            <w:pPr>
              <w:bidi w:val="1"/>
              <w:jc w:val="right"/>
            </w:pPr>
            <w:r>
              <w:rPr>
                <w:rFonts w:ascii="Times New Roman" w:hAnsi="Times New Roman" w:cs="B Nazanin"/>
                <w:b/>
                <w:i w:val="0"/>
                <w:color w:val="0A2540"/>
                <w:sz w:val="20"/>
                <w:rtl/>
              </w:rPr>
              <w:t>Proposed Higher-Order Curvature Framework (HG-CAN)</w:t>
            </w:r>
          </w:p>
        </w:tc>
        <w:tc>
          <w:tcPr>
            <w:tcW w:type="dxa" w:w="1134"/>
            <w:tcMar>
              <w:top w:w="70" w:type="dxa"/>
              <w:bottom w:w="70" w:type="dxa"/>
              <w:left w:w="80" w:type="dxa"/>
              <w:right w:w="80" w:type="dxa"/>
            </w:tcMar>
            <w:shd w:fill="E6FFFA"/>
          </w:tcPr>
          <w:p>
            <w:pPr>
              <w:bidi w:val="1"/>
              <w:jc w:val="right"/>
            </w:pPr>
            <w:r>
              <w:rPr>
                <w:rFonts w:ascii="Times New Roman" w:hAnsi="Times New Roman" w:cs="B Nazanin"/>
                <w:b/>
                <w:i w:val="0"/>
                <w:color w:val="0A2540"/>
                <w:sz w:val="20"/>
                <w:rtl/>
              </w:rPr>
              <w:t>0.8673</w:t>
            </w:r>
          </w:p>
        </w:tc>
        <w:tc>
          <w:tcPr>
            <w:tcW w:type="dxa" w:w="1134"/>
            <w:tcMar>
              <w:top w:w="70" w:type="dxa"/>
              <w:bottom w:w="70" w:type="dxa"/>
              <w:left w:w="80" w:type="dxa"/>
              <w:right w:w="80" w:type="dxa"/>
            </w:tcMar>
            <w:shd w:fill="E6FFFA"/>
          </w:tcPr>
          <w:p>
            <w:pPr>
              <w:bidi w:val="1"/>
              <w:jc w:val="right"/>
            </w:pPr>
            <w:r>
              <w:rPr>
                <w:rFonts w:ascii="Times New Roman" w:hAnsi="Times New Roman" w:cs="B Nazanin"/>
                <w:b/>
                <w:i w:val="0"/>
                <w:color w:val="0A2540"/>
                <w:sz w:val="20"/>
                <w:rtl/>
              </w:rPr>
              <w:t>0.8848</w:t>
            </w:r>
          </w:p>
        </w:tc>
        <w:tc>
          <w:tcPr>
            <w:tcW w:type="dxa" w:w="1134"/>
            <w:tcMar>
              <w:top w:w="70" w:type="dxa"/>
              <w:bottom w:w="70" w:type="dxa"/>
              <w:left w:w="80" w:type="dxa"/>
              <w:right w:w="80" w:type="dxa"/>
            </w:tcMar>
            <w:shd w:fill="E6FFFA"/>
          </w:tcPr>
          <w:p>
            <w:pPr>
              <w:bidi w:val="1"/>
              <w:jc w:val="right"/>
            </w:pPr>
            <w:r>
              <w:rPr>
                <w:rFonts w:ascii="Times New Roman" w:hAnsi="Times New Roman" w:cs="B Nazanin"/>
                <w:b/>
                <w:i w:val="0"/>
                <w:color w:val="0A2540"/>
                <w:sz w:val="20"/>
                <w:rtl/>
              </w:rPr>
              <w:t>0.8673</w:t>
            </w:r>
          </w:p>
        </w:tc>
        <w:tc>
          <w:tcPr>
            <w:tcW w:type="dxa" w:w="1134"/>
            <w:tcMar>
              <w:top w:w="70" w:type="dxa"/>
              <w:bottom w:w="70" w:type="dxa"/>
              <w:left w:w="80" w:type="dxa"/>
              <w:right w:w="80" w:type="dxa"/>
            </w:tcMar>
            <w:shd w:fill="E6FFFA"/>
          </w:tcPr>
          <w:p>
            <w:pPr>
              <w:bidi w:val="1"/>
              <w:jc w:val="right"/>
            </w:pPr>
            <w:r>
              <w:rPr>
                <w:rFonts w:ascii="Times New Roman" w:hAnsi="Times New Roman" w:cs="B Nazanin"/>
                <w:b/>
                <w:i w:val="0"/>
                <w:color w:val="0A2540"/>
                <w:sz w:val="20"/>
                <w:rtl/>
              </w:rPr>
              <w:t>0.1919</w:t>
            </w:r>
          </w:p>
        </w:tc>
        <w:tc>
          <w:tcPr>
            <w:tcW w:type="dxa" w:w="1134"/>
            <w:tcMar>
              <w:top w:w="70" w:type="dxa"/>
              <w:bottom w:w="70" w:type="dxa"/>
              <w:left w:w="80" w:type="dxa"/>
              <w:right w:w="80" w:type="dxa"/>
            </w:tcMar>
            <w:shd w:fill="E6FFFA"/>
          </w:tcPr>
          <w:p>
            <w:pPr>
              <w:bidi w:val="1"/>
              <w:jc w:val="right"/>
            </w:pPr>
            <w:r>
              <w:rPr>
                <w:rFonts w:ascii="Times New Roman" w:hAnsi="Times New Roman" w:cs="B Nazanin"/>
                <w:b/>
                <w:i w:val="0"/>
                <w:color w:val="0A2540"/>
                <w:sz w:val="20"/>
                <w:rtl/>
              </w:rPr>
              <w:t>1.9058</w:t>
            </w:r>
          </w:p>
        </w:tc>
        <w:tc>
          <w:tcPr>
            <w:tcW w:type="dxa" w:w="1134"/>
            <w:tcMar>
              <w:top w:w="70" w:type="dxa"/>
              <w:bottom w:w="70" w:type="dxa"/>
              <w:left w:w="80" w:type="dxa"/>
              <w:right w:w="80" w:type="dxa"/>
            </w:tcMar>
            <w:shd w:fill="E6FFFA"/>
          </w:tcPr>
          <w:p>
            <w:pPr>
              <w:bidi w:val="1"/>
              <w:jc w:val="right"/>
            </w:pPr>
            <w:r>
              <w:rPr>
                <w:rFonts w:ascii="Times New Roman" w:hAnsi="Times New Roman" w:cs="B Nazanin"/>
                <w:b/>
                <w:i w:val="0"/>
                <w:color w:val="0A2540"/>
                <w:sz w:val="20"/>
                <w:rtl/>
              </w:rPr>
              <w:t>169.4</w:t>
            </w:r>
          </w:p>
        </w:tc>
      </w:tr>
    </w:tbl>
    <w:p>
      <w:pPr>
        <w:spacing w:after="160"/>
      </w:pPr>
    </w:p>
    <w:p>
      <w:pPr>
        <w:keepNext/>
        <w:spacing w:before="200" w:after="80"/>
        <w:jc w:val="center"/>
      </w:pPr>
      <w:r>
        <w:drawing>
          <wp:inline xmlns:a="http://schemas.openxmlformats.org/drawingml/2006/main" xmlns:pic="http://schemas.openxmlformats.org/drawingml/2006/picture">
            <wp:extent cx="5580000" cy="4618541"/>
            <wp:docPr id="4" name="Picture 4"/>
            <wp:cNvGraphicFramePr>
              <a:graphicFrameLocks noChangeAspect="1"/>
            </wp:cNvGraphicFramePr>
            <a:graphic>
              <a:graphicData uri="http://schemas.openxmlformats.org/drawingml/2006/picture">
                <pic:pic>
                  <pic:nvPicPr>
                    <pic:cNvPr id="0" name="fig5_benchmark_fa.png"/>
                    <pic:cNvPicPr/>
                  </pic:nvPicPr>
                  <pic:blipFill>
                    <a:blip r:embed="rId12"/>
                    <a:stretch>
                      <a:fillRect/>
                    </a:stretch>
                  </pic:blipFill>
                  <pic:spPr>
                    <a:xfrm>
                      <a:off x="0" y="0"/>
                      <a:ext cx="5580000" cy="4618541"/>
                    </a:xfrm>
                    <a:prstGeom prst="rect"/>
                  </pic:spPr>
                </pic:pic>
              </a:graphicData>
            </a:graphic>
          </wp:inline>
        </w:drawing>
      </w:r>
    </w:p>
    <w:p>
      <w:pPr>
        <w:bidi w:val="1"/>
        <w:spacing w:after="240"/>
        <w:jc w:val="center"/>
      </w:pPr>
      <w:r>
        <w:rPr>
          <w:rFonts w:ascii="Times New Roman" w:hAnsi="Times New Roman" w:cs="B Nazanin"/>
          <w:b/>
          <w:i/>
          <w:color w:val="4A5568"/>
          <w:sz w:val="20"/>
          <w:rtl/>
        </w:rPr>
        <w:t>شکل ۴: مقایسه شاخص‌های انطباق (NMI و ARI) میان چارچوب پیشنهادی گراف و رویکرد سنتی RFM</w:t>
      </w:r>
    </w:p>
    <w:p>
      <w:pPr>
        <w:bidi w:val="1"/>
        <w:spacing w:after="120" w:line="300" w:lineRule="auto"/>
        <w:jc w:val="both"/>
      </w:pPr>
      <w:r>
        <w:rPr>
          <w:rFonts w:ascii="Times New Roman" w:hAnsi="Times New Roman" w:cs="B Nazanin"/>
          <w:b w:val="0"/>
          <w:i w:val="0"/>
          <w:color w:val="1E293B"/>
          <w:sz w:val="23"/>
          <w:rtl/>
        </w:rPr>
        <w:t>همان‌طور که در جدول و شکل ۴ مشاهده می‌شود، مدل پیشنهادی HG-CAN مجهز به انحنای ریمانی فرمن-ریچی، شاخص اطلاعات متقابل نرمال‌شده (NMI) را از ۰.۱۷۴۶ به ۰.۸۶۷۳ (بیش از ۳۹۶ درصد بهبود) و شاخص رند تعدیل‌شده (ARI) را از ۰.۰۴۸۳ به ۰.۸۸۴۸ (بیش از ۱۷۳۰ درصد بهبود) رسانده است. این جهش خیره‌کننده نشان می‌دهد که تلفیق انحنای هندسی فرمن-ریچی و شباهت توزیع اصناف در شبکه عصبی توجه‌محور، تفکیک رفتاری بی‌نظیری میان گروه‌های سرمایه‌گذار طلا، تجار آهن‌آلات، مسافران گردشگری و خریداران خرد خانگی ایجاد کرده است.</w:t>
      </w:r>
    </w:p>
    <w:p>
      <w:pPr>
        <w:keepNext/>
        <w:bidi w:val="1"/>
        <w:spacing w:before="240" w:after="80"/>
        <w:jc w:val="right"/>
      </w:pPr>
      <w:r>
        <w:rPr>
          <w:rFonts w:ascii="Times New Roman" w:hAnsi="Times New Roman" w:cs="B Nazanin"/>
          <w:b/>
          <w:i w:val="0"/>
          <w:color w:val="2B6CB0"/>
          <w:sz w:val="26"/>
          <w:rtl/>
        </w:rPr>
        <w:t>۴-۱ پرسوناهای کشف‌شده و فرصت‌های خلق ارزش برای بانک‌ها و PSPها</w:t>
      </w:r>
    </w:p>
    <w:p>
      <w:pPr>
        <w:keepNext/>
        <w:spacing w:before="200" w:after="80"/>
        <w:jc w:val="center"/>
      </w:pPr>
      <w:r>
        <w:drawing>
          <wp:inline xmlns:a="http://schemas.openxmlformats.org/drawingml/2006/main" xmlns:pic="http://schemas.openxmlformats.org/drawingml/2006/picture">
            <wp:extent cx="5580000" cy="5998500"/>
            <wp:docPr id="5" name="Picture 5"/>
            <wp:cNvGraphicFramePr>
              <a:graphicFrameLocks noChangeAspect="1"/>
            </wp:cNvGraphicFramePr>
            <a:graphic>
              <a:graphicData uri="http://schemas.openxmlformats.org/drawingml/2006/picture">
                <pic:pic>
                  <pic:nvPicPr>
                    <pic:cNvPr id="0" name="fig4_radar_fa.png"/>
                    <pic:cNvPicPr/>
                  </pic:nvPicPr>
                  <pic:blipFill>
                    <a:blip r:embed="rId13"/>
                    <a:stretch>
                      <a:fillRect/>
                    </a:stretch>
                  </pic:blipFill>
                  <pic:spPr>
                    <a:xfrm>
                      <a:off x="0" y="0"/>
                      <a:ext cx="5580000" cy="5998500"/>
                    </a:xfrm>
                    <a:prstGeom prst="rect"/>
                  </pic:spPr>
                </pic:pic>
              </a:graphicData>
            </a:graphic>
          </wp:inline>
        </w:drawing>
      </w:r>
    </w:p>
    <w:p>
      <w:pPr>
        <w:bidi w:val="1"/>
        <w:spacing w:after="240"/>
        <w:jc w:val="center"/>
      </w:pPr>
      <w:r>
        <w:rPr>
          <w:rFonts w:ascii="Times New Roman" w:hAnsi="Times New Roman" w:cs="B Nazanin"/>
          <w:b/>
          <w:i/>
          <w:color w:val="4A5568"/>
          <w:sz w:val="20"/>
          <w:rtl/>
        </w:rPr>
        <w:t>شکل ۵: ابعاد رفتاری چندگانه پرسوناهای سازمانی کشف‌شده در نمودار راداری</w:t>
      </w:r>
    </w:p>
    <w:tbl>
      <w:tblPr>
        <w:tblW w:type="auto" w:w="0"/>
        <w:jc w:val="center"/>
        <w:tblLook w:firstColumn="1" w:firstRow="1" w:lastColumn="0" w:lastRow="0" w:noHBand="0" w:noVBand="1" w:val="04A0"/>
        <w:bidiVisual/>
        <w:tblBorders>
          <w:top w:val="single" w:sz="6" w:space="0" w:color="CBD5E0"/>
          <w:bottom w:val="single" w:sz="8" w:space="0" w:color="4A5568"/>
          <w:insideH w:val="single" w:sz="4" w:space="0" w:color="E2E8F0"/>
          <w:insideV w:val="none"/>
          <w:left w:val="none"/>
          <w:right w:val="none"/>
        </w:tblBorders>
      </w:tblPr>
      <w:tblGrid>
        <w:gridCol w:w="1882"/>
        <w:gridCol w:w="1882"/>
        <w:gridCol w:w="1882"/>
        <w:gridCol w:w="1882"/>
        <w:gridCol w:w="1882"/>
      </w:tblGrid>
      <w:tr>
        <w:trPr>
          <w:cantSplit/>
          <w:tblHeader/>
        </w:trPr>
        <w:tc>
          <w:tcPr>
            <w:tcW w:type="dxa" w:w="850"/>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کد</w:t>
            </w:r>
          </w:p>
        </w:tc>
        <w:tc>
          <w:tcPr>
            <w:tcW w:type="dxa" w:w="2551"/>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عنوان پرسونای سازمانی</w:t>
            </w:r>
          </w:p>
        </w:tc>
        <w:tc>
          <w:tcPr>
            <w:tcW w:type="dxa" w:w="1417"/>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تعداد کارت</w:t>
            </w:r>
          </w:p>
        </w:tc>
        <w:tc>
          <w:tcPr>
            <w:tcW w:type="dxa" w:w="2268"/>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میانگین مبلغ (ریال)</w:t>
            </w:r>
          </w:p>
        </w:tc>
        <w:tc>
          <w:tcPr>
            <w:tcW w:type="dxa" w:w="2268"/>
            <w:shd w:fill="2B6CB0"/>
            <w:tcMar>
              <w:top w:w="80" w:type="dxa"/>
              <w:bottom w:w="80" w:type="dxa"/>
              <w:left w:w="80" w:type="dxa"/>
              <w:right w:w="80" w:type="dxa"/>
            </w:tcMar>
          </w:tcPr>
          <w:p>
            <w:pPr>
              <w:bidi w:val="1"/>
              <w:jc w:val="right"/>
            </w:pPr>
            <w:r>
              <w:rPr>
                <w:rFonts w:ascii="Times New Roman" w:hAnsi="Times New Roman" w:cs="B Nazanin"/>
                <w:b/>
                <w:i w:val="0"/>
                <w:color w:val="FFFFFF"/>
                <w:sz w:val="20"/>
                <w:rtl/>
              </w:rPr>
              <w:t>صنف غالب (cast_name)</w:t>
            </w:r>
          </w:p>
        </w:tc>
      </w:tr>
      <w:tr>
        <w:trPr>
          <w:cantSplit/>
        </w:trPr>
        <w:tc>
          <w:tcPr>
            <w:tcW w:type="dxa" w:w="850"/>
            <w:tcMar>
              <w:top w:w="60" w:type="dxa"/>
              <w:bottom w:w="60" w:type="dxa"/>
              <w:left w:w="80" w:type="dxa"/>
              <w:right w:w="80" w:type="dxa"/>
            </w:tcMar>
          </w:tcPr>
          <w:p>
            <w:pPr>
              <w:bidi w:val="1"/>
              <w:jc w:val="right"/>
            </w:pPr>
            <w:r>
              <w:rPr>
                <w:rFonts w:ascii="Times New Roman" w:hAnsi="Times New Roman" w:cs="B Nazanin"/>
                <w:b w:val="0"/>
                <w:i w:val="0"/>
                <w:color w:val="1E293B"/>
                <w:sz w:val="19"/>
                <w:rtl/>
              </w:rPr>
              <w:t>0</w:t>
            </w:r>
          </w:p>
        </w:tc>
        <w:tc>
          <w:tcPr>
            <w:tcW w:type="dxa" w:w="2551"/>
            <w:tcMar>
              <w:top w:w="60" w:type="dxa"/>
              <w:bottom w:w="60" w:type="dxa"/>
              <w:left w:w="80" w:type="dxa"/>
              <w:right w:w="80" w:type="dxa"/>
            </w:tcMar>
          </w:tcPr>
          <w:p>
            <w:pPr>
              <w:bidi w:val="1"/>
              <w:jc w:val="right"/>
            </w:pPr>
            <w:r>
              <w:rPr>
                <w:rFonts w:ascii="Times New Roman" w:hAnsi="Times New Roman" w:cs="B Nazanin"/>
                <w:b w:val="0"/>
                <w:i w:val="0"/>
                <w:color w:val="1E293B"/>
                <w:sz w:val="19"/>
                <w:rtl/>
              </w:rPr>
              <w:t>تجار و عمده‌فروشان آهن و مصالح صنعتی</w:t>
            </w:r>
          </w:p>
        </w:tc>
        <w:tc>
          <w:tcPr>
            <w:tcW w:type="dxa" w:w="1417"/>
            <w:tcMar>
              <w:top w:w="60" w:type="dxa"/>
              <w:bottom w:w="60" w:type="dxa"/>
              <w:left w:w="80" w:type="dxa"/>
              <w:right w:w="80" w:type="dxa"/>
            </w:tcMar>
          </w:tcPr>
          <w:p>
            <w:pPr>
              <w:bidi w:val="1"/>
              <w:jc w:val="right"/>
            </w:pPr>
            <w:r>
              <w:rPr>
                <w:rFonts w:ascii="Times New Roman" w:hAnsi="Times New Roman" w:cs="B Nazanin"/>
                <w:b w:val="0"/>
                <w:i w:val="0"/>
                <w:color w:val="1E293B"/>
                <w:sz w:val="19"/>
                <w:rtl/>
              </w:rPr>
              <w:t>289</w:t>
            </w:r>
          </w:p>
        </w:tc>
        <w:tc>
          <w:tcPr>
            <w:tcW w:type="dxa" w:w="2268"/>
            <w:tcMar>
              <w:top w:w="60" w:type="dxa"/>
              <w:bottom w:w="60" w:type="dxa"/>
              <w:left w:w="80" w:type="dxa"/>
              <w:right w:w="80" w:type="dxa"/>
            </w:tcMar>
          </w:tcPr>
          <w:p>
            <w:pPr>
              <w:bidi w:val="1"/>
              <w:jc w:val="right"/>
            </w:pPr>
            <w:r>
              <w:rPr>
                <w:rFonts w:ascii="Times New Roman" w:hAnsi="Times New Roman" w:cs="B Nazanin"/>
                <w:b w:val="0"/>
                <w:i w:val="0"/>
                <w:color w:val="1E293B"/>
                <w:sz w:val="19"/>
                <w:rtl/>
              </w:rPr>
              <w:t>36,829,280</w:t>
            </w:r>
          </w:p>
        </w:tc>
        <w:tc>
          <w:tcPr>
            <w:tcW w:type="dxa" w:w="2268"/>
            <w:tcMar>
              <w:top w:w="60" w:type="dxa"/>
              <w:bottom w:w="60" w:type="dxa"/>
              <w:left w:w="80" w:type="dxa"/>
              <w:right w:w="80" w:type="dxa"/>
            </w:tcMar>
          </w:tcPr>
          <w:p>
            <w:pPr>
              <w:bidi w:val="1"/>
              <w:jc w:val="right"/>
            </w:pPr>
            <w:r>
              <w:rPr>
                <w:rFonts w:ascii="Times New Roman" w:hAnsi="Times New Roman" w:cs="B Nazanin"/>
                <w:b w:val="0"/>
                <w:i w:val="0"/>
                <w:color w:val="1E293B"/>
                <w:sz w:val="19"/>
                <w:rtl/>
              </w:rPr>
              <w:t>آهن‌آلات و مصالح صنعتی</w:t>
            </w:r>
          </w:p>
        </w:tc>
      </w:tr>
      <w:tr>
        <w:trPr>
          <w:cantSplit/>
        </w:trPr>
        <w:tc>
          <w:tcPr>
            <w:tcW w:type="dxa" w:w="850"/>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1</w:t>
            </w:r>
          </w:p>
        </w:tc>
        <w:tc>
          <w:tcPr>
            <w:tcW w:type="dxa" w:w="2551"/>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مایحتاج روزمره و مصرف خانوار</w:t>
            </w:r>
          </w:p>
        </w:tc>
        <w:tc>
          <w:tcPr>
            <w:tcW w:type="dxa" w:w="1417"/>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295</w:t>
            </w:r>
          </w:p>
        </w:tc>
        <w:tc>
          <w:tcPr>
            <w:tcW w:type="dxa" w:w="2268"/>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3,804,442</w:t>
            </w:r>
          </w:p>
        </w:tc>
        <w:tc>
          <w:tcPr>
            <w:tcW w:type="dxa" w:w="2268"/>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سوپرمارکت و خواروبار</w:t>
            </w:r>
          </w:p>
        </w:tc>
      </w:tr>
      <w:tr>
        <w:trPr>
          <w:cantSplit/>
        </w:trPr>
        <w:tc>
          <w:tcPr>
            <w:tcW w:type="dxa" w:w="850"/>
            <w:tcMar>
              <w:top w:w="60" w:type="dxa"/>
              <w:bottom w:w="60" w:type="dxa"/>
              <w:left w:w="80" w:type="dxa"/>
              <w:right w:w="80" w:type="dxa"/>
            </w:tcMar>
          </w:tcPr>
          <w:p>
            <w:pPr>
              <w:bidi w:val="1"/>
              <w:jc w:val="right"/>
            </w:pPr>
            <w:r>
              <w:rPr>
                <w:rFonts w:ascii="Times New Roman" w:hAnsi="Times New Roman" w:cs="B Nazanin"/>
                <w:b w:val="0"/>
                <w:i w:val="0"/>
                <w:color w:val="1E293B"/>
                <w:sz w:val="19"/>
                <w:rtl/>
              </w:rPr>
              <w:t>2</w:t>
            </w:r>
          </w:p>
        </w:tc>
        <w:tc>
          <w:tcPr>
            <w:tcW w:type="dxa" w:w="2551"/>
            <w:tcMar>
              <w:top w:w="60" w:type="dxa"/>
              <w:bottom w:w="60" w:type="dxa"/>
              <w:left w:w="80" w:type="dxa"/>
              <w:right w:w="80" w:type="dxa"/>
            </w:tcMar>
          </w:tcPr>
          <w:p>
            <w:pPr>
              <w:bidi w:val="1"/>
              <w:jc w:val="right"/>
            </w:pPr>
            <w:r>
              <w:rPr>
                <w:rFonts w:ascii="Times New Roman" w:hAnsi="Times New Roman" w:cs="B Nazanin"/>
                <w:b w:val="0"/>
                <w:i w:val="0"/>
                <w:color w:val="1E293B"/>
                <w:sz w:val="19"/>
                <w:rtl/>
              </w:rPr>
              <w:t>سرمایه‌گذاران طلا و کالای لوکس</w:t>
            </w:r>
          </w:p>
        </w:tc>
        <w:tc>
          <w:tcPr>
            <w:tcW w:type="dxa" w:w="1417"/>
            <w:tcMar>
              <w:top w:w="60" w:type="dxa"/>
              <w:bottom w:w="60" w:type="dxa"/>
              <w:left w:w="80" w:type="dxa"/>
              <w:right w:w="80" w:type="dxa"/>
            </w:tcMar>
          </w:tcPr>
          <w:p>
            <w:pPr>
              <w:bidi w:val="1"/>
              <w:jc w:val="right"/>
            </w:pPr>
            <w:r>
              <w:rPr>
                <w:rFonts w:ascii="Times New Roman" w:hAnsi="Times New Roman" w:cs="B Nazanin"/>
                <w:b w:val="0"/>
                <w:i w:val="0"/>
                <w:color w:val="1E293B"/>
                <w:sz w:val="19"/>
                <w:rtl/>
              </w:rPr>
              <w:t>299</w:t>
            </w:r>
          </w:p>
        </w:tc>
        <w:tc>
          <w:tcPr>
            <w:tcW w:type="dxa" w:w="2268"/>
            <w:tcMar>
              <w:top w:w="60" w:type="dxa"/>
              <w:bottom w:w="60" w:type="dxa"/>
              <w:left w:w="80" w:type="dxa"/>
              <w:right w:w="80" w:type="dxa"/>
            </w:tcMar>
          </w:tcPr>
          <w:p>
            <w:pPr>
              <w:bidi w:val="1"/>
              <w:jc w:val="right"/>
            </w:pPr>
            <w:r>
              <w:rPr>
                <w:rFonts w:ascii="Times New Roman" w:hAnsi="Times New Roman" w:cs="B Nazanin"/>
                <w:b w:val="0"/>
                <w:i w:val="0"/>
                <w:color w:val="1E293B"/>
                <w:sz w:val="19"/>
                <w:rtl/>
              </w:rPr>
              <w:t>17,385,031</w:t>
            </w:r>
          </w:p>
        </w:tc>
        <w:tc>
          <w:tcPr>
            <w:tcW w:type="dxa" w:w="2268"/>
            <w:tcMar>
              <w:top w:w="60" w:type="dxa"/>
              <w:bottom w:w="60" w:type="dxa"/>
              <w:left w:w="80" w:type="dxa"/>
              <w:right w:w="80" w:type="dxa"/>
            </w:tcMar>
          </w:tcPr>
          <w:p>
            <w:pPr>
              <w:bidi w:val="1"/>
              <w:jc w:val="right"/>
            </w:pPr>
            <w:r>
              <w:rPr>
                <w:rFonts w:ascii="Times New Roman" w:hAnsi="Times New Roman" w:cs="B Nazanin"/>
                <w:b w:val="0"/>
                <w:i w:val="0"/>
                <w:color w:val="1E293B"/>
                <w:sz w:val="19"/>
                <w:rtl/>
              </w:rPr>
              <w:t>طلافروشی</w:t>
            </w:r>
          </w:p>
        </w:tc>
      </w:tr>
      <w:tr>
        <w:trPr>
          <w:cantSplit/>
        </w:trPr>
        <w:tc>
          <w:tcPr>
            <w:tcW w:type="dxa" w:w="850"/>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3</w:t>
            </w:r>
          </w:p>
        </w:tc>
        <w:tc>
          <w:tcPr>
            <w:tcW w:type="dxa" w:w="2551"/>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مسافران و گردشگران پریمیوم</w:t>
            </w:r>
          </w:p>
        </w:tc>
        <w:tc>
          <w:tcPr>
            <w:tcW w:type="dxa" w:w="1417"/>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299</w:t>
            </w:r>
          </w:p>
        </w:tc>
        <w:tc>
          <w:tcPr>
            <w:tcW w:type="dxa" w:w="2268"/>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10,432,221</w:t>
            </w:r>
          </w:p>
        </w:tc>
        <w:tc>
          <w:tcPr>
            <w:tcW w:type="dxa" w:w="2268"/>
            <w:tcMar>
              <w:top w:w="60" w:type="dxa"/>
              <w:bottom w:w="60" w:type="dxa"/>
              <w:left w:w="80" w:type="dxa"/>
              <w:right w:w="80" w:type="dxa"/>
            </w:tcMar>
            <w:shd w:fill="F8FAFC"/>
          </w:tcPr>
          <w:p>
            <w:pPr>
              <w:bidi w:val="1"/>
              <w:jc w:val="right"/>
            </w:pPr>
            <w:r>
              <w:rPr>
                <w:rFonts w:ascii="Times New Roman" w:hAnsi="Times New Roman" w:cs="B Nazanin"/>
                <w:b w:val="0"/>
                <w:i w:val="0"/>
                <w:color w:val="1E293B"/>
                <w:sz w:val="19"/>
                <w:rtl/>
              </w:rPr>
              <w:t>آژانس مسافرتی و گردشگری</w:t>
            </w:r>
          </w:p>
        </w:tc>
      </w:tr>
      <w:tr>
        <w:trPr>
          <w:cantSplit/>
        </w:trPr>
        <w:tc>
          <w:tcPr>
            <w:tcW w:type="dxa" w:w="850"/>
            <w:tcMar>
              <w:top w:w="60" w:type="dxa"/>
              <w:bottom w:w="60" w:type="dxa"/>
              <w:left w:w="80" w:type="dxa"/>
              <w:right w:w="80" w:type="dxa"/>
            </w:tcMar>
          </w:tcPr>
          <w:p>
            <w:pPr>
              <w:bidi w:val="1"/>
              <w:jc w:val="right"/>
            </w:pPr>
            <w:r>
              <w:rPr>
                <w:rFonts w:ascii="Times New Roman" w:hAnsi="Times New Roman" w:cs="B Nazanin"/>
                <w:b w:val="0"/>
                <w:i w:val="0"/>
                <w:color w:val="1E293B"/>
                <w:sz w:val="19"/>
                <w:rtl/>
              </w:rPr>
              <w:t>4</w:t>
            </w:r>
          </w:p>
        </w:tc>
        <w:tc>
          <w:tcPr>
            <w:tcW w:type="dxa" w:w="2551"/>
            <w:tcMar>
              <w:top w:w="60" w:type="dxa"/>
              <w:bottom w:w="60" w:type="dxa"/>
              <w:left w:w="80" w:type="dxa"/>
              <w:right w:w="80" w:type="dxa"/>
            </w:tcMar>
          </w:tcPr>
          <w:p>
            <w:pPr>
              <w:bidi w:val="1"/>
              <w:jc w:val="right"/>
            </w:pPr>
            <w:r>
              <w:rPr>
                <w:rFonts w:ascii="Times New Roman" w:hAnsi="Times New Roman" w:cs="B Nazanin"/>
                <w:b w:val="0"/>
                <w:i w:val="0"/>
                <w:color w:val="1E293B"/>
                <w:sz w:val="19"/>
                <w:rtl/>
              </w:rPr>
              <w:t>مصرف‌کنندگان خدمات پزشکی و سلامت</w:t>
            </w:r>
          </w:p>
        </w:tc>
        <w:tc>
          <w:tcPr>
            <w:tcW w:type="dxa" w:w="1417"/>
            <w:tcMar>
              <w:top w:w="60" w:type="dxa"/>
              <w:bottom w:w="60" w:type="dxa"/>
              <w:left w:w="80" w:type="dxa"/>
              <w:right w:w="80" w:type="dxa"/>
            </w:tcMar>
          </w:tcPr>
          <w:p>
            <w:pPr>
              <w:bidi w:val="1"/>
              <w:jc w:val="right"/>
            </w:pPr>
            <w:r>
              <w:rPr>
                <w:rFonts w:ascii="Times New Roman" w:hAnsi="Times New Roman" w:cs="B Nazanin"/>
                <w:b w:val="0"/>
                <w:i w:val="0"/>
                <w:color w:val="1E293B"/>
                <w:sz w:val="19"/>
                <w:rtl/>
              </w:rPr>
              <w:t>298</w:t>
            </w:r>
          </w:p>
        </w:tc>
        <w:tc>
          <w:tcPr>
            <w:tcW w:type="dxa" w:w="2268"/>
            <w:tcMar>
              <w:top w:w="60" w:type="dxa"/>
              <w:bottom w:w="60" w:type="dxa"/>
              <w:left w:w="80" w:type="dxa"/>
              <w:right w:w="80" w:type="dxa"/>
            </w:tcMar>
          </w:tcPr>
          <w:p>
            <w:pPr>
              <w:bidi w:val="1"/>
              <w:jc w:val="right"/>
            </w:pPr>
            <w:r>
              <w:rPr>
                <w:rFonts w:ascii="Times New Roman" w:hAnsi="Times New Roman" w:cs="B Nazanin"/>
                <w:b w:val="0"/>
                <w:i w:val="0"/>
                <w:color w:val="1E293B"/>
                <w:sz w:val="19"/>
                <w:rtl/>
              </w:rPr>
              <w:t>4,051,956</w:t>
            </w:r>
          </w:p>
        </w:tc>
        <w:tc>
          <w:tcPr>
            <w:tcW w:type="dxa" w:w="2268"/>
            <w:tcMar>
              <w:top w:w="60" w:type="dxa"/>
              <w:bottom w:w="60" w:type="dxa"/>
              <w:left w:w="80" w:type="dxa"/>
              <w:right w:w="80" w:type="dxa"/>
            </w:tcMar>
          </w:tcPr>
          <w:p>
            <w:pPr>
              <w:bidi w:val="1"/>
              <w:jc w:val="right"/>
            </w:pPr>
            <w:r>
              <w:rPr>
                <w:rFonts w:ascii="Times New Roman" w:hAnsi="Times New Roman" w:cs="B Nazanin"/>
                <w:b w:val="0"/>
                <w:i w:val="0"/>
                <w:color w:val="1E293B"/>
                <w:sz w:val="19"/>
                <w:rtl/>
              </w:rPr>
              <w:t>خدمات پزشکی و داروخانه</w:t>
            </w:r>
          </w:p>
        </w:tc>
      </w:tr>
    </w:tbl>
    <w:p>
      <w:pPr>
        <w:spacing w:after="160"/>
      </w:pPr>
    </w:p>
    <w:p>
      <w:pPr>
        <w:bidi w:val="1"/>
        <w:spacing w:after="120" w:line="300" w:lineRule="auto"/>
        <w:jc w:val="both"/>
      </w:pPr>
      <w:r>
        <w:rPr>
          <w:rFonts w:ascii="Times New Roman" w:hAnsi="Times New Roman" w:cs="B Nazanin"/>
          <w:b w:val="0"/>
          <w:i w:val="0"/>
          <w:color w:val="1E293B"/>
          <w:sz w:val="23"/>
          <w:rtl/>
        </w:rPr>
        <w:t>بر اساس این یافته‌ها، فرصت‌های تجاری راهبردی برای بازیگران صنعت پرداخت به شرح زیر دسته‌بندی می‌شوند:</w:t>
        <w:br/>
        <w:t>• پرسونای تجار و عمده‌فروشان آهن و مصالح صنعتی: با میانگین تراکنش بیش از ۳۶.۸ میلیون ریال، مخاطب اصلی تسهیلات سرمایه در گردش، ضمانت‌نامه‌ها و سقف انتقال وجه ویژه B2B هستند.</w:t>
        <w:br/>
        <w:t>• پرسونای سرمایه‌گذاران طلا و کالای لوکس (طلافروشی): با میانگین تراکنش ۱۷.۴ میلیون ریال، گزینه‌ای بی‌نظیر برای خدمات بانکداری اختصاصی (Private Banking)، تسهیلات با وثیقه طلا و کارت‌های اعتباری فوق‌پریمیوم هستند.</w:t>
        <w:br/>
        <w:t>• پرسونای مسافران و گردشگران پریمیوم (آژانس‌های مسافرتی): با میانگین تراکنش ۱۰.۴ میلیون ریال، مشتریان هدف برای بیمه‌های مسافرتی مشارکتی، کارت‌های ارزی و خدمات تشریفات فرودگاهی (CIP) می‌باشند.</w:t>
        <w:br/>
        <w:t>• پرسونای مصرف‌کنندگان سلامت (داروخانه و خدمات پزشکی): با میانگین ۴.۱ میلیون ریال، دارای تمرکز رفتاری بالا مناسب برای بسته‌های ویژه درمان و بیمه تکمیلی آنلاین.</w:t>
        <w:br/>
        <w:t>• پرسونای مایحتاج روزمره و خانوار (سوپرمارکت و خواروبار): با تکرار تراکنش بالا و میانگین ۳.۸ میلیون ریال، بهترین بستر برای راه‌اندازی باشگاه وفاداری، پاداش نقدی (Cashback) و پذیرش تراکنش‌های خرد NFC.</w:t>
      </w:r>
    </w:p>
    <w:p>
      <w:r>
        <w:br w:type="page"/>
      </w:r>
    </w:p>
    <w:p>
      <w:pPr>
        <w:keepNext/>
        <w:bidi w:val="1"/>
        <w:spacing w:before="320" w:after="120"/>
        <w:jc w:val="right"/>
        <w:pBdr>
          <w:bottom w:val="single" w:sz="12" w:space="4" w:color="2B6CB0"/>
        </w:pBdr>
      </w:pPr>
      <w:r>
        <w:rPr>
          <w:rFonts w:ascii="Times New Roman" w:hAnsi="Times New Roman" w:cs="B Nazanin"/>
          <w:b/>
          <w:i w:val="0"/>
          <w:color w:val="0A2540"/>
          <w:sz w:val="30"/>
          <w:rtl/>
        </w:rPr>
        <w:t>۵. نقشه فایل‌های پروژه و دستورالعمل اجرا</w:t>
      </w:r>
    </w:p>
    <w:p>
      <w:pPr>
        <w:bidi w:val="1"/>
        <w:spacing w:after="120" w:line="300" w:lineRule="auto"/>
        <w:jc w:val="both"/>
      </w:pPr>
      <w:r>
        <w:rPr>
          <w:rFonts w:ascii="Times New Roman" w:hAnsi="Times New Roman" w:cs="B Nazanin"/>
          <w:b w:val="0"/>
          <w:i w:val="0"/>
          <w:color w:val="1E293B"/>
          <w:sz w:val="23"/>
          <w:rtl/>
        </w:rPr>
        <w:t>کلیه کدها، داده‌ها، نمودارها و اسناد نهایی در مسیر d:\project\hamta سازمان‌دهی شده‌اند:</w:t>
      </w:r>
    </w:p>
    <w:p>
      <w:pPr>
        <w:bidi w:val="1"/>
        <w:spacing w:before="160" w:after="40"/>
        <w:jc w:val="right"/>
      </w:pPr>
      <w:r>
        <w:rPr>
          <w:rFonts w:ascii="Times New Roman" w:hAnsi="Times New Roman" w:cs="B Nazanin"/>
          <w:b/>
          <w:i w:val="0"/>
          <w:color w:val="2B6CB0"/>
          <w:sz w:val="22"/>
          <w:rtl/>
        </w:rPr>
        <w:t xml:space="preserve">💻 قطعه‌کد: </w:t>
      </w:r>
      <w:r>
        <w:rPr>
          <w:rFonts w:ascii="Consolas" w:hAnsi="Consolas" w:cs="Consolas"/>
          <w:b/>
          <w:i w:val="0"/>
          <w:color w:val="2D3748"/>
          <w:sz w:val="21"/>
        </w:rPr>
        <w:t>ساختار درختی فایل‌ها و پوشه‌های پروژه</w:t>
      </w:r>
    </w:p>
    <w:tbl>
      <w:tblPr>
        <w:tblW w:type="auto" w:w="0"/>
        <w:jc w:val="center"/>
        <w:tblLook w:firstColumn="1" w:firstRow="1" w:lastColumn="0" w:lastRow="0" w:noHBand="0" w:noVBand="1" w:val="04A0"/>
      </w:tblPr>
      <w:tblGrid>
        <w:gridCol w:w="9412"/>
      </w:tblGrid>
      <w:tr>
        <w:tc>
          <w:tcPr>
            <w:tcW w:type="dxa" w:w="9354"/>
            <w:shd w:fill="F8F9FA"/>
            <w:tcMar>
              <w:top w:w="100" w:type="dxa"/>
              <w:bottom w:w="100" w:type="dxa"/>
              <w:left w:w="140" w:type="dxa"/>
              <w:right w:w="140" w:type="dxa"/>
            </w:tcMar>
            <w:tcBorders>
              <w:top w:val="single" w:sz="6" w:space="0" w:color="CBD5E0"/>
              <w:bottom w:val="single" w:sz="6" w:space="0" w:color="CBD5E0"/>
              <w:left w:val="single" w:sz="6" w:space="0" w:color="CBD5E0"/>
              <w:right w:val="single" w:sz="18" w:space="0" w:color="4A5568"/>
            </w:tcBorders>
          </w:tcPr>
          <w:p>
            <w:pPr>
              <w:spacing w:before="0" w:after="0" w:line="264" w:lineRule="auto"/>
              <w:jc w:val="left"/>
            </w:pPr>
            <w:r>
              <w:rPr>
                <w:rFonts w:ascii="Consolas" w:hAnsi="Consolas" w:cs="Consolas"/>
                <w:b w:val="0"/>
                <w:i w:val="0"/>
                <w:color w:val="1E293B"/>
                <w:sz w:val="18"/>
              </w:rPr>
              <w:t>d:/project/hamta/</w:t>
              <w:br/>
              <w:t>├── src/                          # ماژول‌های اصلی کدهای پردازشی</w:t>
              <w:br/>
              <w:t>│   ├── config.py                 # تنظیمات، هایپرپارامترها و نگاشت اصناف</w:t>
              <w:br/>
              <w:t>│   ├── data_generator.py         # شبیه‌ساز تراکنش‌ها با ۵ فیلد الزامی</w:t>
              <w:br/>
              <w:t>│   ├── graph_builder.py          # ساخت ماتریس دوبخشی و گراف هم‌پذیرندگی</w:t>
              <w:br/>
              <w:t>│   ├── gnn_model.py              # مدل یادگیری عمیق گرافی GAT-GAE (PyTorch)</w:t>
              <w:br/>
              <w:t>│   ├── customer_discovery.py     # موتور کشف پرسونا و شاخص‌های سازمانی</w:t>
              <w:br/>
              <w:t>│   ├── figures.py                # ژنراتور نمودارهای انگلیسی</w:t>
              <w:br/>
              <w:t>│   └── figures_fa.py             # ژنراتور نمودارهای فارسی</w:t>
              <w:br/>
              <w:t>├── output/                       # خروجی‌های محاسباتی و داده‌های پردازش‌شده</w:t>
              <w:br/>
              <w:t>│   ├── payment_transactions.csv  # دیتاست ۳۲٬۰۰۰ تراکنش پرداخت</w:t>
              <w:br/>
              <w:t>│   ├── benchmark_results.csv     # نتایج مقایسه‌ای مدل‌ها</w:t>
              <w:br/>
              <w:t>│   └── discovered_personas_summary.csv # جزئیات پرسوناهای کشف‌شده</w:t>
              <w:br/>
              <w:t>├── figures/                      # نمودارهای انگلیسی (وضوح بالا)</w:t>
              <w:br/>
              <w:t>├── figures_fa/                   # نمودارهای فارسی (تایپوگرافی کامل)</w:t>
              <w:br/>
              <w:t>├── run_pipeline.py               # پایپ‌لاین سرتاسری اجرا و ارزیابی</w:t>
              <w:br/>
              <w:t>├── create_paper.py               # تولید مقاله انگلیسی ۲ ستونه IEEE (.docx, .doc, .pdf)</w:t>
              <w:br/>
              <w:t>├── create_paper_fa.py            # تولید مقاله فارسی کنفرانس (.docx, .doc, .pdf)</w:t>
              <w:br/>
              <w:t>├── From_Transactional_Data_to_Organizational_Intelligence.pdf # مقاله انگلیسی</w:t>
              <w:br/>
              <w:t>├── FA_From_Transactional_Data_to_Organizational_Intelligence.pdf # مقاله فارسی</w:t>
              <w:br/>
              <w:t>└── راهنمای_جامع_کدها_و_معماری_پروژه.pdf # همین فایل گزارش جامع فنی</w:t>
            </w:r>
          </w:p>
        </w:tc>
      </w:tr>
    </w:tbl>
    <w:p>
      <w:pPr>
        <w:spacing w:after="120"/>
      </w:pPr>
    </w:p>
    <w:p>
      <w:pPr>
        <w:keepNext/>
        <w:bidi w:val="1"/>
        <w:spacing w:before="240" w:after="80"/>
        <w:jc w:val="right"/>
      </w:pPr>
      <w:r>
        <w:rPr>
          <w:rFonts w:ascii="Times New Roman" w:hAnsi="Times New Roman" w:cs="B Nazanin"/>
          <w:b/>
          <w:i w:val="0"/>
          <w:color w:val="2B6CB0"/>
          <w:sz w:val="26"/>
          <w:rtl/>
        </w:rPr>
        <w:t>۵-۱ دستورات اجرای گام‌به‌گام در محیط خط فرمان</w:t>
      </w:r>
    </w:p>
    <w:p>
      <w:pPr>
        <w:bidi w:val="1"/>
        <w:spacing w:before="160" w:after="40"/>
        <w:jc w:val="right"/>
      </w:pPr>
      <w:r>
        <w:rPr>
          <w:rFonts w:ascii="Times New Roman" w:hAnsi="Times New Roman" w:cs="B Nazanin"/>
          <w:b/>
          <w:i w:val="0"/>
          <w:color w:val="2B6CB0"/>
          <w:sz w:val="22"/>
          <w:rtl/>
        </w:rPr>
        <w:t xml:space="preserve">💻 قطعه‌کد: </w:t>
      </w:r>
      <w:r>
        <w:rPr>
          <w:rFonts w:ascii="Consolas" w:hAnsi="Consolas" w:cs="Consolas"/>
          <w:b/>
          <w:i w:val="0"/>
          <w:color w:val="2D3748"/>
          <w:sz w:val="21"/>
        </w:rPr>
        <w:t>دستورات خط فرمان جهت اجرای پروژه‌ها</w:t>
      </w:r>
    </w:p>
    <w:tbl>
      <w:tblPr>
        <w:tblW w:type="auto" w:w="0"/>
        <w:jc w:val="center"/>
        <w:tblLook w:firstColumn="1" w:firstRow="1" w:lastColumn="0" w:lastRow="0" w:noHBand="0" w:noVBand="1" w:val="04A0"/>
      </w:tblPr>
      <w:tblGrid>
        <w:gridCol w:w="9412"/>
      </w:tblGrid>
      <w:tr>
        <w:tc>
          <w:tcPr>
            <w:tcW w:type="dxa" w:w="9354"/>
            <w:shd w:fill="F8F9FA"/>
            <w:tcMar>
              <w:top w:w="100" w:type="dxa"/>
              <w:bottom w:w="100" w:type="dxa"/>
              <w:left w:w="140" w:type="dxa"/>
              <w:right w:w="140" w:type="dxa"/>
            </w:tcMar>
            <w:tcBorders>
              <w:top w:val="single" w:sz="6" w:space="0" w:color="CBD5E0"/>
              <w:bottom w:val="single" w:sz="6" w:space="0" w:color="CBD5E0"/>
              <w:left w:val="single" w:sz="6" w:space="0" w:color="CBD5E0"/>
              <w:right w:val="single" w:sz="18" w:space="0" w:color="4A5568"/>
            </w:tcBorders>
          </w:tcPr>
          <w:p>
            <w:pPr>
              <w:spacing w:before="0" w:after="0" w:line="264" w:lineRule="auto"/>
              <w:jc w:val="left"/>
            </w:pPr>
            <w:r>
              <w:rPr>
                <w:rFonts w:ascii="Consolas" w:hAnsi="Consolas" w:cs="Consolas"/>
                <w:b w:val="0"/>
                <w:i w:val="0"/>
                <w:color w:val="1E293B"/>
                <w:sz w:val="18"/>
              </w:rPr>
              <w:t># ۱. اجرای کامل پایپ‌لاین تحلیل، ساخت گراف و آموزش مدل:</w:t>
              <w:br/>
              <w:t>python run_pipeline.py</w:t>
              <w:br/>
              <w:br/>
              <w:t># ۲. تولید مقاله انگلیسی ۲ ستونه IEEE به همراه PDF:</w:t>
              <w:br/>
              <w:t>python create_paper.py</w:t>
              <w:br/>
              <w:br/>
              <w:t># ۳. تولید مقاله فارسی رسمی کنفرانس به همراه PDF:</w:t>
              <w:br/>
              <w:t>python create_paper_fa.py</w:t>
              <w:br/>
              <w:br/>
              <w:t># ۴. تولید مستندات جامع فنی و راهنمای پروژه (فایل فعلی):</w:t>
              <w:br/>
              <w:t>python create_project_docs.py</w:t>
            </w:r>
          </w:p>
        </w:tc>
      </w:tr>
    </w:tbl>
    <w:p>
      <w:pPr>
        <w:spacing w:after="120"/>
      </w:pP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