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rtl/>
        </w:rPr>
        <w:t>از داده تراکنشی تا هوشمندی سازمانی: ارائه چارچوب معماری مبتنی بر گراف برای کشف مشتری در صنعت پرداخت</w:t>
      </w:r>
    </w:p>
    <w:p>
      <w:pPr>
        <w:pStyle w:val="Author"/>
      </w:pPr>
      <w:r>
        <w:rPr>
          <w:rFonts w:hint="cs"/>
          <w:rtl/>
        </w:rPr>
        <w:t>نام و نام خانوادگی نویسنده اول</w:t>
      </w:r>
      <w:r>
        <w:rPr>
          <w:rFonts w:hint="cs"/>
          <w:rtl/>
          <w:vertAlign w:val="superscript"/>
        </w:rPr>
        <w:t>1*</w:t>
      </w:r>
      <w:r>
        <w:rPr>
          <w:rFonts w:hint="cs"/>
          <w:rtl/>
        </w:rPr>
        <w:t>، نام و نام خانوادگی نویسنده دوم</w:t>
      </w:r>
      <w:r>
        <w:rPr>
          <w:rFonts w:hint="cs"/>
          <w:rtl/>
          <w:vertAlign w:val="superscript"/>
        </w:rPr>
        <w:t>2</w:t>
      </w:r>
      <w:r>
        <w:rPr>
          <w:rFonts w:hint="cs"/>
          <w:rtl/>
        </w:rPr>
        <w:t>، نام و نام خانوادگی نویسنده سوم</w:t>
      </w:r>
      <w:r>
        <w:rPr>
          <w:rFonts w:hint="cs"/>
          <w:rtl/>
          <w:vertAlign w:val="superscript"/>
        </w:rPr>
        <w:t>3</w:t>
      </w:r>
    </w:p>
    <w:p>
      <w:pPr>
        <w:pStyle w:val="Author"/>
      </w:pPr>
    </w:p>
    <w:p>
      <w:pPr>
        <w:pStyle w:val="Author"/>
      </w:pPr>
      <w:r>
        <w:rPr>
          <w:rFonts w:hint="cs"/>
          <w:rtl/>
          <w:vertAlign w:val="superscript"/>
        </w:rPr>
        <w:t>1</w:t>
      </w:r>
      <w:r>
        <w:rPr>
          <w:rFonts w:hint="cs"/>
          <w:rtl/>
        </w:rPr>
        <w:t xml:space="preserve"> رتبه علمی نویسنده، گروه آموزشی یا واحد سازمانی مربوطه، نام سازمان، شهر</w:t>
      </w:r>
    </w:p>
    <w:p>
      <w:pPr>
        <w:pStyle w:val="Author"/>
      </w:pPr>
      <w:r>
        <w:rPr>
          <w:rFonts w:hint="cs"/>
          <w:rtl/>
        </w:rPr>
        <w:t>آدرس پست الکترونیکی (* نویسنده مسئول)</w:t>
      </w:r>
    </w:p>
    <w:p>
      <w:pPr>
        <w:pStyle w:val="Author"/>
      </w:pPr>
    </w:p>
    <w:p>
      <w:pPr>
        <w:pStyle w:val="Author"/>
      </w:pPr>
      <w:r>
        <w:rPr>
          <w:rFonts w:hint="cs"/>
          <w:rtl/>
          <w:vertAlign w:val="superscript"/>
        </w:rPr>
        <w:t>2</w:t>
      </w:r>
      <w:r>
        <w:rPr>
          <w:rFonts w:hint="cs"/>
          <w:rtl/>
        </w:rPr>
        <w:t xml:space="preserve"> رتبه علمی نویسنده، گروه آموزشی یا واحد سازمانی مربوطه، نام سازمان، شهر</w:t>
      </w:r>
    </w:p>
    <w:p>
      <w:pPr>
        <w:pStyle w:val="Author"/>
      </w:pPr>
      <w:r>
        <w:rPr>
          <w:rFonts w:hint="cs"/>
          <w:rtl/>
        </w:rPr>
        <w:t>آدرس پست الکترونیکی</w:t>
      </w:r>
    </w:p>
    <w:p>
      <w:pPr>
        <w:pStyle w:val="Author"/>
      </w:pPr>
    </w:p>
    <w:p>
      <w:pPr>
        <w:pStyle w:val="Author"/>
      </w:pPr>
      <w:r>
        <w:rPr>
          <w:rFonts w:hint="cs"/>
          <w:rtl/>
          <w:vertAlign w:val="superscript"/>
        </w:rPr>
        <w:t>3</w:t>
      </w:r>
      <w:r>
        <w:rPr>
          <w:rFonts w:hint="cs"/>
          <w:rtl/>
        </w:rPr>
        <w:t xml:space="preserve"> رتبه علمی نویسنده، گروه آموزشی یا واحد سازمانی مربوطه، نام سازمان، شهر</w:t>
      </w:r>
    </w:p>
    <w:p>
      <w:pPr>
        <w:pStyle w:val="Author"/>
      </w:pPr>
      <w:r>
        <w:rPr>
          <w:rFonts w:hint="cs"/>
          <w:rtl/>
        </w:rPr>
        <w:t>آدرس پست الکترونیکی</w:t>
      </w:r>
    </w:p>
    <w:p>
      <w:pPr>
        <w:pStyle w:val="Author"/>
      </w:pPr>
    </w:p>
    <w:p>
      <w:pPr>
        <w:pStyle w:val="Heading0"/>
      </w:pPr>
      <w:r>
        <w:rPr>
          <w:rFonts w:hint="cs"/>
          <w:rtl/>
        </w:rPr>
        <w:t>چکیده</w:t>
      </w:r>
    </w:p>
    <w:p>
      <w:pPr>
        <w:pStyle w:val="Abstract"/>
      </w:pPr>
      <w:r>
        <w:rPr>
          <w:rFonts w:hint="cs"/>
          <w:rtl/>
        </w:rPr>
        <w:t>شرکت‌های ارائه‌دهنده خدمات پرداخت و بانک‌های پذیرنده روزانه جریان عظیمی از تراکنش‌های مالی را در پایانه‌های فروشگاهی و درگاه‌های پرداخت پردازش می‌کنند؛ با این‌حال، رویکردهای متداول تحلیل سبد مشتریان در صنعت بانکداری همچنان بر شاخص‌های جدولی و تک‌بعدی تازگی، تکرار و ارزش مالی استوار بوده و از بازشناسی ساختار هم‌رخدادی و پیوندهای توپولوژیک چندسطحی میان کارت‌های پرداخت، پایانه‌های پذیرندگی و اصناف تجاری ناتوان هستند. در این مقاله، برای نخستین بار چارچوبی معماری مبتنی بر خودرمزگذار عصبی توجه‌محور مجهز به انحنای گسسته فرمن-ریچی روی ابرگراف دوبخشی کارت-پذیرنده (</w:t>
      </w:r>
      <w:r>
        <w:rPr>
          <w:rFonts w:ascii="Times New Roman" w:hAnsi="Times New Roman" w:cs="Times New Roman"/>
        </w:rPr>
        <w:t>HG-CAN</w:t>
      </w:r>
      <w:r>
        <w:rPr>
          <w:rFonts w:hint="cs"/>
          <w:rtl/>
        </w:rPr>
        <w:t xml:space="preserve">) جهت تبدیل داده‌های خام تراکنشی به هوشمندی سازمانی و کشف رفتاری مشتریان ارائه می‌شود. در این چارچوب نوآورانه، تراکنش‌های پرداخت به‌صورت یک ابرگراف دوبخشی مدل‌سازی شده و با تصویرسازی توپولوژیک، انحنای ریمانی گسسته فرمن-ریچی بر روی یال‌های شبکه محاسبه می‌گردد تا پل‌های گلوگاهی جریان نقدینگی و خوشه‌های متراکم تجاری به دقت وزن‌دهی شوند. سپس یک شبکه توجه گراف چندسر با هدایت ضرایب هندسی انحنا، بردارهای بازنمایی فشرده کارت‌های پرداخت را در یک سازوکار خودنظارتی سه‌گانه فرا می‌گیرد. ارزیابی تجربی بر روی جریان تراکنش‌های واقعی شبیه‌سازی‌شده با </w:t>
      </w:r>
      <w:r>
        <w:rPr>
          <w:rFonts w:ascii="Times New Roman" w:hAnsi="Times New Roman" w:cs="Times New Roman"/>
        </w:rPr>
        <w:t>1480</w:t>
      </w:r>
      <w:r>
        <w:rPr>
          <w:rFonts w:hint="cs"/>
          <w:rtl/>
        </w:rPr>
        <w:t xml:space="preserve"> کارت بانکی، </w:t>
      </w:r>
      <w:r>
        <w:rPr>
          <w:rFonts w:ascii="Times New Roman" w:hAnsi="Times New Roman" w:cs="Times New Roman"/>
        </w:rPr>
        <w:t>350</w:t>
      </w:r>
      <w:r>
        <w:rPr>
          <w:rFonts w:hint="cs"/>
          <w:rtl/>
        </w:rPr>
        <w:t xml:space="preserve"> پایانه پذیرنده در </w:t>
      </w:r>
      <w:r>
        <w:rPr>
          <w:rFonts w:ascii="Times New Roman" w:hAnsi="Times New Roman" w:cs="Times New Roman"/>
        </w:rPr>
        <w:t>8</w:t>
      </w:r>
      <w:r>
        <w:rPr>
          <w:rFonts w:hint="cs"/>
          <w:rtl/>
        </w:rPr>
        <w:t xml:space="preserve"> صنف اقتصادی و </w:t>
      </w:r>
      <w:r>
        <w:rPr>
          <w:rFonts w:ascii="Times New Roman" w:hAnsi="Times New Roman" w:cs="Times New Roman"/>
        </w:rPr>
        <w:t>35000</w:t>
      </w:r>
      <w:r>
        <w:rPr>
          <w:rFonts w:hint="cs"/>
          <w:rtl/>
        </w:rPr>
        <w:t xml:space="preserve"> تراکنش مالی نشان می‌دهد که روش پیشنهادی به اطلاعات متقابل نرمال‌شده (</w:t>
      </w:r>
      <w:r>
        <w:rPr>
          <w:rFonts w:ascii="Times New Roman" w:hAnsi="Times New Roman" w:cs="Times New Roman"/>
        </w:rPr>
        <w:t>NMI</w:t>
      </w:r>
      <w:r>
        <w:rPr>
          <w:rFonts w:hint="cs"/>
          <w:rtl/>
        </w:rPr>
        <w:t xml:space="preserve">) معادل </w:t>
      </w:r>
      <w:r>
        <w:rPr>
          <w:rFonts w:ascii="Times New Roman" w:hAnsi="Times New Roman" w:cs="Times New Roman"/>
        </w:rPr>
        <w:t>0.867</w:t>
      </w:r>
      <w:r>
        <w:rPr>
          <w:rFonts w:hint="cs"/>
          <w:rtl/>
        </w:rPr>
        <w:t xml:space="preserve"> و ضریب تصادفی تعدیل‌شده (</w:t>
      </w:r>
      <w:r>
        <w:rPr>
          <w:rFonts w:ascii="Times New Roman" w:hAnsi="Times New Roman" w:cs="Times New Roman"/>
        </w:rPr>
        <w:t>ARI</w:t>
      </w:r>
      <w:r>
        <w:rPr>
          <w:rFonts w:hint="cs"/>
          <w:rtl/>
        </w:rPr>
        <w:t xml:space="preserve">) معادل </w:t>
      </w:r>
      <w:r>
        <w:rPr>
          <w:rFonts w:ascii="Times New Roman" w:hAnsi="Times New Roman" w:cs="Times New Roman"/>
        </w:rPr>
        <w:t>0.885</w:t>
      </w:r>
      <w:r>
        <w:rPr>
          <w:rFonts w:hint="cs"/>
          <w:rtl/>
        </w:rPr>
        <w:t xml:space="preserve"> دست یافته است؛ مقادیری که در مقایسه با روش متداول جدولی، بهبودی به میزان ۳۹۶.۷ درصد در </w:t>
      </w:r>
      <w:r>
        <w:rPr>
          <w:rFonts w:ascii="Times New Roman" w:hAnsi="Times New Roman" w:cs="Times New Roman"/>
        </w:rPr>
        <w:t>NMI</w:t>
      </w:r>
      <w:r>
        <w:rPr>
          <w:rFonts w:hint="cs"/>
          <w:rtl/>
        </w:rPr>
        <w:t xml:space="preserve"> و بیش از ۱۷۳۰ درصد در </w:t>
      </w:r>
      <w:r>
        <w:rPr>
          <w:rFonts w:ascii="Times New Roman" w:hAnsi="Times New Roman" w:cs="Times New Roman"/>
        </w:rPr>
        <w:t>ARI</w:t>
      </w:r>
      <w:r>
        <w:rPr>
          <w:rFonts w:hint="cs"/>
          <w:rtl/>
        </w:rPr>
        <w:t xml:space="preserve"> را به ثبت رسانده و پنج پرسونای استراتژیک سازمانی با دقت تفکیک بسیار بالا استخراج می‌نماید.</w:t>
      </w:r>
    </w:p>
    <w:p>
      <w:pPr>
        <w:pStyle w:val="Heading0"/>
      </w:pPr>
      <w:r>
        <w:rPr>
          <w:rFonts w:hint="cs"/>
          <w:rtl/>
        </w:rPr>
        <w:t>کلمات کلیدی</w:t>
      </w:r>
    </w:p>
    <w:p>
      <w:pPr>
        <w:pStyle w:val="Abstract"/>
      </w:pPr>
      <w:r>
        <w:rPr>
          <w:rFonts w:hint="cs"/>
          <w:rtl/>
        </w:rPr>
        <w:t>پرداخت الکترونیک، کشف مشتری، هوشمندی سازمانی، شبکه عصبی گراف، انحنای فرمن-ریچی، ابرگراف دوبخشی، خودرمزگذار هندسی، پرسونای رفتاری</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77" w:right="1134" w:bottom="1418" w:left="1134" w:header="0" w:footer="0" w:gutter="0"/>
          <w:cols w:space="720"/>
          <w:bidi/>
          <w:rtlGutter/>
          <w:docGrid w:linePitch="360"/>
        </w:sectPr>
      </w:pPr>
    </w:p>
    <w:p>
      <w:pPr>
        <w:pStyle w:val="Heading1"/>
      </w:pPr>
      <w:r>
        <w:rPr>
          <w:rFonts w:hint="cs"/>
          <w:rtl/>
        </w:rPr>
        <w:t>مقدمه</w:t>
      </w:r>
    </w:p>
    <w:p>
      <w:pPr>
        <w:pStyle w:val="Text1"/>
      </w:pPr>
      <w:r>
        <w:rPr>
          <w:rFonts w:hint="cs"/>
          <w:rtl/>
        </w:rPr>
        <w:t>تراکنش‌های کارتی در شبکه پرداخت الکترونیک، دقیق‌ترین و زنده‌ترین تصویر رفتاری از سبک زندگی، نیازهای مالی و توانگری اقتصادی آحاد جامعه را ترسیم می‌کنند. در هر لحظه از ثبت تراکنش در سوییچ‌های بانکی، مؤلفه‌های کلیدی رفتار اقتصادی شامل اطلاعات هویتی کارت بانکی پرداخت‌کننده، حجم ریالی مبادله، شناسه یکتای پایانه پذیرنده، مهر زمانی وقوع رویداد و رسته فعالیت صنف اقتصادی (همچون طلافروشی، سوپرمارکت، آهن‌آلات و مصالح ساختمانی، خدمات گردشگری و پزشکی) به ثبت می‌رسند. با این وجود، سامانه‌های سنتی هوش تجاری در صنعت پرداخت عموماً این سرمایه غنی داده‌ای را صرفاً در سطح تسویه مالی و گزارش‌های آماری ایستا مصرف کرده و ارزش استراتژیک پنهان در هم‌تنیدگی رفتاری مشتریان را نادیده می‌گذارند.</w:t>
      </w:r>
    </w:p>
    <w:p>
      <w:pPr>
        <w:pStyle w:val="Text"/>
      </w:pPr>
      <w:r>
        <w:rPr>
          <w:rFonts w:hint="cs"/>
          <w:rtl/>
        </w:rPr>
        <w:t>رویکرد مسلط دهه‌های اخیر در دسته‌بندی مشتریان بانکی، مدل تازگی، تکرار و ارزش مالی (</w:t>
      </w:r>
      <w:r>
        <w:rPr>
          <w:rFonts w:ascii="Times New Roman" w:hAnsi="Times New Roman" w:cs="Times New Roman"/>
        </w:rPr>
        <w:t>RFM</w:t>
      </w:r>
      <w:r>
        <w:rPr>
          <w:rFonts w:hint="cs"/>
          <w:rtl/>
        </w:rPr>
        <w:t xml:space="preserve">) است </w:t>
      </w:r>
      <w:r>
        <w:rPr>
          <w:rFonts w:ascii="Times New Roman" w:hAnsi="Times New Roman" w:cs="Times New Roman"/>
        </w:rPr>
        <w:t>[5]</w:t>
      </w:r>
      <w:r>
        <w:rPr>
          <w:rFonts w:hint="cs"/>
          <w:rtl/>
        </w:rPr>
        <w:t xml:space="preserve">. این متدولوژی با خلاصه‌سازی تراکنش‌ها در قالب شاخص‌های اسکالر و اعمال الگوریتم‌هایی نظیر </w:t>
      </w:r>
      <w:r>
        <w:rPr>
          <w:rFonts w:ascii="Times New Roman" w:hAnsi="Times New Roman" w:cs="Times New Roman"/>
        </w:rPr>
        <w:t>K-Means</w:t>
      </w:r>
      <w:r>
        <w:rPr>
          <w:rFonts w:hint="cs"/>
          <w:rtl/>
        </w:rPr>
        <w:t>، با محدودیت‌های بنیادین روبه‌رو است: نخست، فرض استقلال مشاهدات باعث کوری ساختاری نسبت به الگوهای پیوند میان مشتریان می‌گردد؛ دوم، جمع‌بندی خطی مبالغ، تمایز کیفی میان خریدهای سرمایه‌گذاری سنگین در طلافروشی با تجمیع خریدهای مکرر روزمره در سوپرمارکت‌ها را محو می‌سازد؛ و سوم، ناتوانی در شناسایی شباهت‌های توپولوژیک چندمرحله‌ای مانع از درک زنجیره هم‌رخدادی اصناف در سبد مصرفی می‌گردد.</w:t>
      </w:r>
    </w:p>
    <w:p>
      <w:pPr>
        <w:pStyle w:val="Text"/>
      </w:pPr>
      <w:r>
        <w:rPr>
          <w:rFonts w:hint="cs"/>
          <w:rtl/>
        </w:rPr>
        <w:t>یادگیری عمیق هندسی و شبکه‌های عصبی گراف (</w:t>
      </w:r>
      <w:r>
        <w:rPr>
          <w:rFonts w:ascii="Times New Roman" w:hAnsi="Times New Roman" w:cs="Times New Roman"/>
        </w:rPr>
        <w:t>GNN</w:t>
      </w:r>
      <w:r>
        <w:rPr>
          <w:rFonts w:hint="cs"/>
          <w:rtl/>
        </w:rPr>
        <w:t xml:space="preserve">) مرزهای نوینی را در بازنمایی داده‌های رابطه‌ای غیرارقلیدسی گشوده‌اند </w:t>
      </w:r>
      <w:r>
        <w:rPr>
          <w:rFonts w:ascii="Times New Roman" w:hAnsi="Times New Roman" w:cs="Times New Roman"/>
        </w:rPr>
        <w:t>[2,10]</w:t>
      </w:r>
      <w:r>
        <w:rPr>
          <w:rFonts w:hint="cs"/>
          <w:rtl/>
        </w:rPr>
        <w:t>. با این وجود، معماری‌های استاندارد گراف توجه‌محور به تنهایی قادر به حل پدیده گلوگاه جریان اطلاعات و پراکندگی افراطی در گراف‌های تراکنشی پرداخت نیستند. در این پژوهش، برای نخستین بار مفهومی نوآورانه بر پایه هندسه ریمانی گسسته و انحنای فرمن-ریچی (</w:t>
      </w:r>
      <w:r>
        <w:rPr>
          <w:rFonts w:ascii="Times New Roman" w:hAnsi="Times New Roman" w:cs="Times New Roman"/>
        </w:rPr>
        <w:t>Forman-Ricci Curvature</w:t>
      </w:r>
      <w:r>
        <w:rPr>
          <w:rFonts w:hint="cs"/>
          <w:rtl/>
        </w:rPr>
        <w:t>) معرفی می‌شود که تغییرات موضعی هندسی در ابرگراف دوبخشی کارت-پذیرنده را اندازه گرفته و توجه چندسر شبکه عصبی را به شکل مستقیم تعدیل می‌نماید. مشارکت‌های اصلی این مقاله به شرح زیر است:</w:t>
      </w:r>
    </w:p>
    <w:p>
      <w:pPr>
        <w:pStyle w:val="BulletedText"/>
      </w:pPr>
      <w:r>
        <w:rPr>
          <w:rFonts w:hint="cs"/>
          <w:rtl/>
        </w:rPr>
        <w:t>طراحی چارچوب معماری چهارلایه جامع از دفتر کل تراکنش تا استخراج پرسوناهای هوشمند و سنجه‌های سازمانی؛</w:t>
      </w:r>
    </w:p>
    <w:p>
      <w:pPr>
        <w:pStyle w:val="BulletedText"/>
      </w:pPr>
      <w:r>
        <w:rPr>
          <w:rFonts w:hint="cs"/>
          <w:rtl/>
        </w:rPr>
        <w:t xml:space="preserve">ارائه روش بدیع </w:t>
      </w:r>
      <w:r>
        <w:rPr>
          <w:rFonts w:ascii="Times New Roman" w:hAnsi="Times New Roman" w:cs="Times New Roman"/>
        </w:rPr>
        <w:t>HG-CAN</w:t>
      </w:r>
      <w:r>
        <w:rPr>
          <w:rFonts w:hint="cs"/>
          <w:rtl/>
        </w:rPr>
        <w:t xml:space="preserve"> برای تنظیم ضرایب توجه شبکه عصبی گراف با استفاده از انحنای فرمن-ریچی و شباهت توزیع اصناف؛</w:t>
      </w:r>
    </w:p>
    <w:p>
      <w:pPr>
        <w:pStyle w:val="BulletedText"/>
      </w:pPr>
      <w:r>
        <w:rPr>
          <w:rFonts w:hint="cs"/>
          <w:rtl/>
        </w:rPr>
        <w:t>تدوین تابع زیان سه‌گانه خودنظارتی شامل بازسازی ساختار پیوند، بازسازی ویژگی‌های گره و تنظیم انحنای هندسی؛</w:t>
      </w:r>
    </w:p>
    <w:p>
      <w:pPr>
        <w:pStyle w:val="BulletedText"/>
      </w:pPr>
      <w:r>
        <w:rPr>
          <w:rFonts w:hint="cs"/>
          <w:rtl/>
        </w:rPr>
        <w:t xml:space="preserve">اعتبارسنجی تجربی گسترده در مقایسه با روش سنتی </w:t>
      </w:r>
      <w:r>
        <w:rPr>
          <w:rFonts w:ascii="Times New Roman" w:hAnsi="Times New Roman" w:cs="Times New Roman"/>
        </w:rPr>
        <w:t>RFM</w:t>
      </w:r>
      <w:r>
        <w:rPr>
          <w:rFonts w:hint="cs"/>
          <w:rtl/>
        </w:rPr>
        <w:t xml:space="preserve"> و تجزیه ماتریسی </w:t>
      </w:r>
      <w:r>
        <w:rPr>
          <w:rFonts w:ascii="Times New Roman" w:hAnsi="Times New Roman" w:cs="Times New Roman"/>
        </w:rPr>
        <w:t>SVD</w:t>
      </w:r>
      <w:r>
        <w:rPr>
          <w:rFonts w:hint="cs"/>
          <w:rtl/>
        </w:rPr>
        <w:t xml:space="preserve"> و دستیابی به جهش چشمگیر در شاخص‌های </w:t>
      </w:r>
      <w:r>
        <w:rPr>
          <w:rFonts w:ascii="Times New Roman" w:hAnsi="Times New Roman" w:cs="Times New Roman"/>
        </w:rPr>
        <w:t>NMI</w:t>
      </w:r>
      <w:r>
        <w:rPr>
          <w:rFonts w:hint="cs"/>
          <w:rtl/>
        </w:rPr>
        <w:t xml:space="preserve"> و </w:t>
      </w:r>
      <w:r>
        <w:rPr>
          <w:rFonts w:ascii="Times New Roman" w:hAnsi="Times New Roman" w:cs="Times New Roman"/>
        </w:rPr>
        <w:t>ARI</w:t>
      </w:r>
      <w:r>
        <w:rPr>
          <w:rFonts w:hint="cs"/>
          <w:rtl/>
        </w:rPr>
        <w:t>.</w:t>
      </w:r>
    </w:p>
    <w:p>
      <w:pPr>
        <w:pStyle w:val="Text"/>
      </w:pPr>
      <w:r>
        <w:rPr>
          <w:rFonts w:hint="cs"/>
          <w:rtl/>
        </w:rPr>
        <w:t xml:space="preserve">ساختار ادامه مقاله بدین شرح است: بخش </w:t>
      </w:r>
      <w:r>
        <w:rPr>
          <w:rFonts w:ascii="Times New Roman" w:hAnsi="Times New Roman" w:cs="Times New Roman"/>
        </w:rPr>
        <w:t>2</w:t>
      </w:r>
      <w:r>
        <w:rPr>
          <w:rFonts w:hint="cs"/>
          <w:rtl/>
        </w:rPr>
        <w:t xml:space="preserve"> کارهای مرتبط را مرور می‌کند؛ بخش </w:t>
      </w:r>
      <w:r>
        <w:rPr>
          <w:rFonts w:ascii="Times New Roman" w:hAnsi="Times New Roman" w:cs="Times New Roman"/>
        </w:rPr>
        <w:t>3</w:t>
      </w:r>
      <w:r>
        <w:rPr>
          <w:rFonts w:hint="cs"/>
          <w:rtl/>
        </w:rPr>
        <w:t xml:space="preserve"> داده و صورت‌بندی مسئله را تشریح می‌نماید؛ بخش </w:t>
      </w:r>
      <w:r>
        <w:rPr>
          <w:rFonts w:ascii="Times New Roman" w:hAnsi="Times New Roman" w:cs="Times New Roman"/>
        </w:rPr>
        <w:t>4</w:t>
      </w:r>
      <w:r>
        <w:rPr>
          <w:rFonts w:hint="cs"/>
          <w:rtl/>
        </w:rPr>
        <w:t xml:space="preserve"> معماری پیشنهادی </w:t>
      </w:r>
      <w:r>
        <w:rPr>
          <w:rFonts w:ascii="Times New Roman" w:hAnsi="Times New Roman" w:cs="Times New Roman"/>
        </w:rPr>
        <w:t>HG-CAN</w:t>
      </w:r>
      <w:r>
        <w:rPr>
          <w:rFonts w:hint="cs"/>
          <w:rtl/>
        </w:rPr>
        <w:t xml:space="preserve"> را ارائه می‌دهد؛ بخش </w:t>
      </w:r>
      <w:r>
        <w:rPr>
          <w:rFonts w:ascii="Times New Roman" w:hAnsi="Times New Roman" w:cs="Times New Roman"/>
        </w:rPr>
        <w:t>5</w:t>
      </w:r>
      <w:r>
        <w:rPr>
          <w:rFonts w:hint="cs"/>
          <w:rtl/>
        </w:rPr>
        <w:t xml:space="preserve"> نتایج تجربی و تحلیل پرسوناها را گزارش می‌کند و بخش </w:t>
      </w:r>
      <w:r>
        <w:rPr>
          <w:rFonts w:ascii="Times New Roman" w:hAnsi="Times New Roman" w:cs="Times New Roman"/>
        </w:rPr>
        <w:t>6</w:t>
      </w:r>
      <w:r>
        <w:rPr>
          <w:rFonts w:hint="cs"/>
          <w:rtl/>
        </w:rPr>
        <w:t xml:space="preserve"> به نتیجه‌گیری می‌پردازد.</w:t>
      </w:r>
    </w:p>
    <w:p>
      <w:pPr>
        <w:pStyle w:val="Heading1"/>
      </w:pPr>
      <w:r>
        <w:rPr>
          <w:rFonts w:hint="cs"/>
          <w:rtl/>
        </w:rPr>
        <w:t>کارهای مرتبط</w:t>
      </w:r>
    </w:p>
    <w:p>
      <w:pPr>
        <w:pStyle w:val="Heading2"/>
      </w:pPr>
      <w:r>
        <w:rPr>
          <w:rFonts w:hint="cs"/>
          <w:rtl/>
        </w:rPr>
        <w:t xml:space="preserve">بخش‌بندی مشتریان بر پایه </w:t>
      </w:r>
      <w:r>
        <w:rPr>
          <w:rFonts w:ascii="Times New Roman" w:hAnsi="Times New Roman" w:cs="Times New Roman"/>
        </w:rPr>
        <w:t>RFM</w:t>
      </w:r>
    </w:p>
    <w:p>
      <w:pPr>
        <w:pStyle w:val="Text1"/>
      </w:pPr>
      <w:r>
        <w:rPr>
          <w:rFonts w:hint="cs"/>
          <w:rtl/>
        </w:rPr>
        <w:t xml:space="preserve">مدل </w:t>
      </w:r>
      <w:r>
        <w:rPr>
          <w:rFonts w:ascii="Times New Roman" w:hAnsi="Times New Roman" w:cs="Times New Roman"/>
        </w:rPr>
        <w:t>RFM</w:t>
      </w:r>
      <w:r>
        <w:rPr>
          <w:rFonts w:hint="cs"/>
          <w:rtl/>
        </w:rPr>
        <w:t xml:space="preserve"> از بازاریابی مستقیم به بانکداری راه یافته و معمولاً با الگوریتم‌هایی مانند </w:t>
      </w:r>
      <w:r>
        <w:rPr>
          <w:rFonts w:ascii="Times New Roman" w:hAnsi="Times New Roman" w:cs="Times New Roman"/>
        </w:rPr>
        <w:t>K-Means</w:t>
      </w:r>
      <w:r>
        <w:rPr>
          <w:rFonts w:hint="cs"/>
          <w:rtl/>
        </w:rPr>
        <w:t xml:space="preserve"> ترکیب می‌شود </w:t>
      </w:r>
      <w:r>
        <w:rPr>
          <w:rFonts w:ascii="Times New Roman" w:hAnsi="Times New Roman" w:cs="Times New Roman"/>
        </w:rPr>
        <w:t>[5]</w:t>
      </w:r>
      <w:r>
        <w:rPr>
          <w:rFonts w:hint="cs"/>
          <w:rtl/>
        </w:rPr>
        <w:t>. این رویکرد ارزان و تفسیرپذیر است، اما مشتری را به چند عدد تجمیعی تقلیل می‌دهد و از اطلاعات صنف و رابطه میان مشتریان استفاده نمی‌کند. تجزیه ماتریس مشتری–صنف گامی به‌سوی استفاده از این اطلاعات است، ولی بازنمایی خطی می‌سازد و ویژگی‌های رفتاری گره‌ها را مستقیماً وارد نمی‌کند.</w:t>
      </w:r>
    </w:p>
    <w:p>
      <w:pPr>
        <w:pStyle w:val="Heading2"/>
      </w:pPr>
      <w:r>
        <w:rPr>
          <w:rFonts w:hint="cs"/>
          <w:rtl/>
        </w:rPr>
        <w:t>یادگیری بازنمایی روی گراف</w:t>
      </w:r>
    </w:p>
    <w:p>
      <w:pPr>
        <w:pStyle w:val="Text1"/>
      </w:pPr>
      <w:r>
        <w:rPr>
          <w:rFonts w:hint="cs"/>
          <w:rtl/>
        </w:rPr>
        <w:t xml:space="preserve">روش‌هایی مانند </w:t>
      </w:r>
      <w:r>
        <w:rPr>
          <w:rFonts w:ascii="Times New Roman" w:hAnsi="Times New Roman" w:cs="Times New Roman"/>
        </w:rPr>
        <w:t>node2vec</w:t>
      </w:r>
      <w:r>
        <w:rPr>
          <w:rFonts w:hint="cs"/>
          <w:rtl/>
        </w:rPr>
        <w:t xml:space="preserve"> </w:t>
      </w:r>
      <w:r>
        <w:rPr>
          <w:rFonts w:ascii="Times New Roman" w:hAnsi="Times New Roman" w:cs="Times New Roman"/>
        </w:rPr>
        <w:t>[3]</w:t>
      </w:r>
      <w:r>
        <w:rPr>
          <w:rFonts w:hint="cs"/>
          <w:rtl/>
        </w:rPr>
        <w:t>، شبکه کانولوشنی گراف (</w:t>
      </w:r>
      <w:r>
        <w:rPr>
          <w:rFonts w:ascii="Times New Roman" w:hAnsi="Times New Roman" w:cs="Times New Roman"/>
        </w:rPr>
        <w:t>GCN</w:t>
      </w:r>
      <w:r>
        <w:rPr>
          <w:rFonts w:hint="cs"/>
          <w:rtl/>
        </w:rPr>
        <w:t xml:space="preserve">) </w:t>
      </w:r>
      <w:r>
        <w:rPr>
          <w:rFonts w:ascii="Times New Roman" w:hAnsi="Times New Roman" w:cs="Times New Roman"/>
        </w:rPr>
        <w:t>[7]</w:t>
      </w:r>
      <w:r>
        <w:rPr>
          <w:rFonts w:hint="cs"/>
          <w:rtl/>
        </w:rPr>
        <w:t xml:space="preserve">، </w:t>
      </w:r>
      <w:r>
        <w:rPr>
          <w:rFonts w:ascii="Times New Roman" w:hAnsi="Times New Roman" w:cs="Times New Roman"/>
        </w:rPr>
        <w:t>GraphSAGE</w:t>
      </w:r>
      <w:r>
        <w:rPr>
          <w:rFonts w:hint="cs"/>
          <w:rtl/>
        </w:rPr>
        <w:t xml:space="preserve"> </w:t>
      </w:r>
      <w:r>
        <w:rPr>
          <w:rFonts w:ascii="Times New Roman" w:hAnsi="Times New Roman" w:cs="Times New Roman"/>
        </w:rPr>
        <w:t>[4]</w:t>
      </w:r>
      <w:r>
        <w:rPr>
          <w:rFonts w:hint="cs"/>
          <w:rtl/>
        </w:rPr>
        <w:t xml:space="preserve"> و شبکه توجه گراف (</w:t>
      </w:r>
      <w:r>
        <w:rPr>
          <w:rFonts w:ascii="Times New Roman" w:hAnsi="Times New Roman" w:cs="Times New Roman"/>
        </w:rPr>
        <w:t>GAT</w:t>
      </w:r>
      <w:r>
        <w:rPr>
          <w:rFonts w:hint="cs"/>
          <w:rtl/>
        </w:rPr>
        <w:t xml:space="preserve">) </w:t>
      </w:r>
      <w:r>
        <w:rPr>
          <w:rFonts w:ascii="Times New Roman" w:hAnsi="Times New Roman" w:cs="Times New Roman"/>
        </w:rPr>
        <w:t>[8]</w:t>
      </w:r>
      <w:r>
        <w:rPr>
          <w:rFonts w:hint="cs"/>
          <w:rtl/>
        </w:rPr>
        <w:t xml:space="preserve"> بازنمایی گره‌ها را از ساختار گراف می‌آموزند. خودرمزگذار گراف تغییرگون </w:t>
      </w:r>
      <w:r>
        <w:rPr>
          <w:rFonts w:ascii="Times New Roman" w:hAnsi="Times New Roman" w:cs="Times New Roman"/>
        </w:rPr>
        <w:t>[6]</w:t>
      </w:r>
      <w:r>
        <w:rPr>
          <w:rFonts w:hint="cs"/>
          <w:rtl/>
        </w:rPr>
        <w:t xml:space="preserve"> این ایده را به یادگیری بی‌نظارت گسترش داده است. این خانواده روش‌ها در شبکه‌های مالی بیشتر برای تشخیص ناهنجاری به کار رفته‌اند </w:t>
      </w:r>
      <w:r>
        <w:rPr>
          <w:rFonts w:ascii="Times New Roman" w:hAnsi="Times New Roman" w:cs="Times New Roman"/>
        </w:rPr>
        <w:t>[9]</w:t>
      </w:r>
      <w:r>
        <w:rPr>
          <w:rFonts w:hint="cs"/>
          <w:rtl/>
        </w:rPr>
        <w:t>. آنچه این مقاله اضافه می‌کند، کاربرد آن‌ها در کشف مشتری و ترجمه خروجی به پرسونا و شاخص‌های سازمانی است.</w:t>
      </w:r>
    </w:p>
    <w:p>
      <w:pPr>
        <w:pStyle w:val="Heading1"/>
      </w:pPr>
      <w:r>
        <w:rPr>
          <w:rFonts w:hint="cs"/>
          <w:rtl/>
        </w:rPr>
        <w:t>داده و صورت‌بندی مسئله</w:t>
      </w:r>
    </w:p>
    <w:p>
      <w:pPr>
        <w:pStyle w:val="Text1"/>
      </w:pPr>
      <w:r>
        <w:rPr>
          <w:rFonts w:hint="cs"/>
          <w:rtl/>
        </w:rPr>
        <w:t xml:space="preserve">دفتر کل تراکنش‌های پرداخت الکترونیک شامل دنباله‌ای از تراکنش‌های مالی به صورت </w:t>
      </w:r>
      <w:r>
        <w:rPr>
          <w:rFonts w:ascii="Times New Roman" w:hAnsi="Times New Roman" w:cs="Times New Roman"/>
        </w:rPr>
        <w:t>T</w:t>
      </w:r>
      <w:r>
        <w:rPr>
          <w:rFonts w:hint="cs"/>
          <w:rtl/>
        </w:rPr>
        <w:t xml:space="preserve"> = {</w:t>
      </w:r>
      <w:r>
        <w:rPr>
          <w:rFonts w:ascii="Times New Roman" w:hAnsi="Times New Roman" w:cs="Times New Roman"/>
        </w:rPr>
        <w:t>t_1</w:t>
      </w:r>
      <w:r>
        <w:rPr>
          <w:rFonts w:hint="cs"/>
          <w:rtl/>
        </w:rPr>
        <w:t xml:space="preserve">, </w:t>
      </w:r>
      <w:r>
        <w:rPr>
          <w:rFonts w:ascii="Times New Roman" w:hAnsi="Times New Roman" w:cs="Times New Roman"/>
        </w:rPr>
        <w:t>t_2</w:t>
      </w:r>
      <w:r>
        <w:rPr>
          <w:rFonts w:hint="cs"/>
          <w:rtl/>
        </w:rPr>
        <w:t xml:space="preserve">, ..., </w:t>
      </w:r>
      <w:r>
        <w:rPr>
          <w:rFonts w:ascii="Times New Roman" w:hAnsi="Times New Roman" w:cs="Times New Roman"/>
        </w:rPr>
        <w:t>t_M</w:t>
      </w:r>
      <w:r>
        <w:rPr>
          <w:rFonts w:hint="cs"/>
          <w:rtl/>
        </w:rPr>
        <w:t xml:space="preserve">} است که در آن هر تراکنش </w:t>
      </w:r>
      <w:r>
        <w:rPr>
          <w:rFonts w:ascii="Times New Roman" w:hAnsi="Times New Roman" w:cs="Times New Roman"/>
        </w:rPr>
        <w:t>t_m</w:t>
      </w:r>
      <w:r>
        <w:rPr>
          <w:rFonts w:hint="cs"/>
          <w:rtl/>
        </w:rPr>
        <w:t xml:space="preserve"> با پنج فیلد استاندارد مدل‌سازی می‌شود:</w:t>
      </w:r>
    </w:p>
    <w:p>
      <w:pPr>
        <w:pStyle w:val="BulletedText"/>
      </w:pPr>
      <w:r>
        <w:rPr>
          <w:rFonts w:ascii="Times New Roman" w:hAnsi="Times New Roman" w:cs="Times New Roman"/>
        </w:rPr>
        <w:t>pan</w:t>
      </w:r>
      <w:r>
        <w:rPr>
          <w:rFonts w:hint="cs"/>
          <w:rtl/>
        </w:rPr>
        <w:t>: شماره کارت بانکی پرداخت‌کننده به صورت توکن پوشانده‌شده (</w:t>
      </w:r>
      <w:r>
        <w:rPr>
          <w:rFonts w:ascii="Times New Roman" w:hAnsi="Times New Roman" w:cs="Times New Roman"/>
        </w:rPr>
        <w:t>Masked PAN</w:t>
      </w:r>
      <w:r>
        <w:rPr>
          <w:rFonts w:hint="cs"/>
          <w:rtl/>
        </w:rPr>
        <w:t>)؛</w:t>
      </w:r>
    </w:p>
    <w:p>
      <w:pPr>
        <w:pStyle w:val="BulletedText"/>
      </w:pPr>
      <w:r>
        <w:rPr>
          <w:rFonts w:ascii="Times New Roman" w:hAnsi="Times New Roman" w:cs="Times New Roman"/>
        </w:rPr>
        <w:t>amount</w:t>
      </w:r>
      <w:r>
        <w:rPr>
          <w:rFonts w:hint="cs"/>
          <w:rtl/>
        </w:rPr>
        <w:t>: ارزش مالی تراکنش بر حسب ریال؛</w:t>
      </w:r>
    </w:p>
    <w:p>
      <w:pPr>
        <w:pStyle w:val="BulletedText"/>
      </w:pPr>
      <w:r>
        <w:rPr>
          <w:rFonts w:ascii="Times New Roman" w:hAnsi="Times New Roman" w:cs="Times New Roman"/>
        </w:rPr>
        <w:t>merchant_id</w:t>
      </w:r>
      <w:r>
        <w:rPr>
          <w:rFonts w:hint="cs"/>
          <w:rtl/>
        </w:rPr>
        <w:t>: شناسه یکتای پایانه پذیرندگی یا درگاه اینترنتی فروشنده؛</w:t>
      </w:r>
    </w:p>
    <w:p>
      <w:pPr>
        <w:pStyle w:val="BulletedText"/>
      </w:pPr>
      <w:r>
        <w:rPr>
          <w:rFonts w:ascii="Times New Roman" w:hAnsi="Times New Roman" w:cs="Times New Roman"/>
        </w:rPr>
        <w:t>create_date</w:t>
      </w:r>
      <w:r>
        <w:rPr>
          <w:rFonts w:hint="cs"/>
          <w:rtl/>
        </w:rPr>
        <w:t>: مهر زمانی دقیق ثبت تراکنش در سوییچ پرداخت؛</w:t>
      </w:r>
    </w:p>
    <w:p>
      <w:pPr>
        <w:pStyle w:val="BulletedText"/>
      </w:pPr>
      <w:r>
        <w:rPr>
          <w:rFonts w:ascii="Times New Roman" w:hAnsi="Times New Roman" w:cs="Times New Roman"/>
        </w:rPr>
        <w:t>cast_name</w:t>
      </w:r>
      <w:r>
        <w:rPr>
          <w:rFonts w:hint="cs"/>
          <w:rtl/>
        </w:rPr>
        <w:t>: رسته فعالیت یا صنف اقتصادی پذیرنده (شامل طلافروشی، سوپرمارکت و خواروبار، آهن‌آلات و مصالح، آژانس مسافرتی، خدمات پزشکی و ...).</w:t>
      </w:r>
    </w:p>
    <w:p>
      <w:pPr>
        <w:pStyle w:val="Text"/>
      </w:pPr>
      <w:r>
        <w:rPr>
          <w:rFonts w:hint="cs"/>
          <w:rtl/>
        </w:rPr>
        <w:t xml:space="preserve">مسئله کشف مشتری عبارت است از نگاشت بی‌نظارت هر کارت </w:t>
      </w:r>
      <w:r>
        <w:rPr>
          <w:rFonts w:ascii="Times New Roman" w:hAnsi="Times New Roman" w:cs="Times New Roman"/>
        </w:rPr>
        <w:t>pan_u</w:t>
      </w:r>
      <w:r>
        <w:rPr>
          <w:rFonts w:hint="cs"/>
          <w:rtl/>
        </w:rPr>
        <w:t xml:space="preserve"> به یک بردار تعبیه پیوسته </w:t>
      </w:r>
      <w:r>
        <w:rPr>
          <w:rFonts w:ascii="Times New Roman" w:hAnsi="Times New Roman" w:cs="Times New Roman"/>
        </w:rPr>
        <w:t>z_u</w:t>
      </w:r>
      <w:r>
        <w:rPr>
          <w:rFonts w:hint="cs"/>
          <w:rtl/>
        </w:rPr>
        <w:t xml:space="preserve"> ∈ </w:t>
      </w:r>
      <w:r>
        <w:rPr>
          <w:rFonts w:ascii="Times New Roman" w:hAnsi="Times New Roman" w:cs="Times New Roman"/>
        </w:rPr>
        <w:t>R</w:t>
      </w:r>
      <w:r>
        <w:rPr>
          <w:rFonts w:hint="cs"/>
          <w:rtl/>
        </w:rPr>
        <w:t>^</w:t>
      </w:r>
      <w:r>
        <w:rPr>
          <w:rFonts w:ascii="Times New Roman" w:hAnsi="Times New Roman" w:cs="Times New Roman"/>
        </w:rPr>
        <w:t>d</w:t>
      </w:r>
      <w:r>
        <w:rPr>
          <w:rFonts w:hint="cs"/>
          <w:rtl/>
        </w:rPr>
        <w:t>، به‌گونه‌ای که فاصله هندسی در فضای بازنمایی، همبستگی رفتاری و قرابت الگوی مصرف کارت‌ها را در اصناف پذیرندگی بازتاب دهد.</w:t>
      </w:r>
    </w:p>
    <w:p>
      <w:pPr>
        <w:pStyle w:val="Heading2"/>
      </w:pPr>
      <w:r>
        <w:rPr>
          <w:rFonts w:hint="cs"/>
          <w:rtl/>
        </w:rPr>
        <w:t>داده آزمایش شبیه‌سازی‌شده</w:t>
      </w:r>
    </w:p>
    <w:p>
      <w:pPr>
        <w:pStyle w:val="Text1"/>
      </w:pPr>
      <w:r>
        <w:rPr>
          <w:rFonts w:hint="cs"/>
          <w:rtl/>
        </w:rPr>
        <w:t xml:space="preserve">به دلیل الزامات صیانت از محرمانگی داده‌های بانکی، یک موتور شبیه‌سازی چندعاملی با الگوهای تجاری شبکه شتاب طراحی گردید. مجموعه داده تولیدشده شامل </w:t>
      </w:r>
      <w:r>
        <w:rPr>
          <w:rFonts w:ascii="Times New Roman" w:hAnsi="Times New Roman" w:cs="Times New Roman"/>
        </w:rPr>
        <w:t>35</w:t>
      </w:r>
      <w:r>
        <w:rPr>
          <w:rFonts w:hint="cs"/>
          <w:rtl/>
        </w:rPr>
        <w:t>,</w:t>
      </w:r>
      <w:r>
        <w:rPr>
          <w:rFonts w:ascii="Times New Roman" w:hAnsi="Times New Roman" w:cs="Times New Roman"/>
        </w:rPr>
        <w:t>000</w:t>
      </w:r>
      <w:r>
        <w:rPr>
          <w:rFonts w:hint="cs"/>
          <w:rtl/>
        </w:rPr>
        <w:t xml:space="preserve"> رکورد تراکنش، </w:t>
      </w:r>
      <w:r>
        <w:rPr>
          <w:rFonts w:ascii="Times New Roman" w:hAnsi="Times New Roman" w:cs="Times New Roman"/>
        </w:rPr>
        <w:t>1</w:t>
      </w:r>
      <w:r>
        <w:rPr>
          <w:rFonts w:hint="cs"/>
          <w:rtl/>
        </w:rPr>
        <w:t>,</w:t>
      </w:r>
      <w:r>
        <w:rPr>
          <w:rFonts w:ascii="Times New Roman" w:hAnsi="Times New Roman" w:cs="Times New Roman"/>
        </w:rPr>
        <w:t>480</w:t>
      </w:r>
      <w:r>
        <w:rPr>
          <w:rFonts w:hint="cs"/>
          <w:rtl/>
        </w:rPr>
        <w:t xml:space="preserve"> کارت پرداخت فعال، </w:t>
      </w:r>
      <w:r>
        <w:rPr>
          <w:rFonts w:ascii="Times New Roman" w:hAnsi="Times New Roman" w:cs="Times New Roman"/>
        </w:rPr>
        <w:t>350</w:t>
      </w:r>
      <w:r>
        <w:rPr>
          <w:rFonts w:hint="cs"/>
          <w:rtl/>
        </w:rPr>
        <w:t xml:space="preserve"> پایانه پذیرندگی و </w:t>
      </w:r>
      <w:r>
        <w:rPr>
          <w:rFonts w:ascii="Times New Roman" w:hAnsi="Times New Roman" w:cs="Times New Roman"/>
        </w:rPr>
        <w:t>8</w:t>
      </w:r>
      <w:r>
        <w:rPr>
          <w:rFonts w:hint="cs"/>
          <w:rtl/>
        </w:rPr>
        <w:t xml:space="preserve"> صنف اقتصادی در یک بازه زمانی ۹۰ روزه است. مبالغ تراکنش بر اساس توزیع لگ‌نرمال منطبق با ماهیت اصناف شبیه‌سازی شده و برچسب‌های رفتاری پنهان صرفاً جهت ارزیابی بیرونی نگهداری شده‌اند.</w:t>
      </w:r>
    </w:p>
    <w:p>
      <w:pPr>
        <w:pStyle w:val="Heading1"/>
      </w:pPr>
      <w:r>
        <w:rPr>
          <w:rFonts w:hint="cs"/>
          <w:rtl/>
        </w:rPr>
        <w:t>چارچوب معماری پیشنهادی (</w:t>
      </w:r>
      <w:r>
        <w:rPr>
          <w:rFonts w:ascii="Times New Roman" w:hAnsi="Times New Roman" w:cs="Times New Roman"/>
        </w:rPr>
        <w:t>HG-CAN</w:t>
      </w:r>
      <w:r>
        <w:rPr>
          <w:rFonts w:hint="cs"/>
          <w:rtl/>
        </w:rPr>
        <w:t>)</w:t>
      </w:r>
    </w:p>
    <w:p>
      <w:pPr>
        <w:pStyle w:val="Text1"/>
      </w:pPr>
      <w:r>
        <w:rPr>
          <w:rFonts w:hint="cs"/>
          <w:rtl/>
        </w:rPr>
        <w:t>چارچوب معماری پیشنهادی از چهار لایه پیوسته و مستقل عملیاتی تشکیل گردیده است (شکل (</w:t>
      </w:r>
      <w:r>
        <w:rPr>
          <w:rFonts w:ascii="Times New Roman" w:hAnsi="Times New Roman" w:cs="Times New Roman"/>
        </w:rPr>
        <w:t>1</w:t>
      </w:r>
      <w:r>
        <w:rPr>
          <w:rFonts w:hint="cs"/>
          <w:rtl/>
        </w:rPr>
        <w:t>)):</w:t>
      </w:r>
    </w:p>
    <w:p>
      <w:pPr>
        <w:pStyle w:val="FigureText"/>
        <w:keepNext/>
      </w:pPr>
      <w:r>
        <w:drawing>
          <wp:inline xmlns:a="http://schemas.openxmlformats.org/drawingml/2006/main" xmlns:pic="http://schemas.openxmlformats.org/drawingml/2006/picture">
            <wp:extent cx="2664000" cy="3392010"/>
            <wp:docPr id="1" name="Picture 1"/>
            <wp:cNvGraphicFramePr>
              <a:graphicFrameLocks noChangeAspect="1"/>
            </wp:cNvGraphicFramePr>
            <a:graphic>
              <a:graphicData uri="http://schemas.openxmlformats.org/drawingml/2006/picture">
                <pic:pic>
                  <pic:nvPicPr>
                    <pic:cNvPr id="0" name="fig1_architecture_fa.png"/>
                    <pic:cNvPicPr/>
                  </pic:nvPicPr>
                  <pic:blipFill>
                    <a:blip r:embed="rId21"/>
                    <a:stretch>
                      <a:fillRect/>
                    </a:stretch>
                  </pic:blipFill>
                  <pic:spPr>
                    <a:xfrm>
                      <a:off x="0" y="0"/>
                      <a:ext cx="2664000" cy="3392010"/>
                    </a:xfrm>
                    <a:prstGeom prst="rect"/>
                  </pic:spPr>
                </pic:pic>
              </a:graphicData>
            </a:graphic>
          </wp:inline>
        </w:drawing>
      </w:r>
    </w:p>
    <w:p>
      <w:pPr>
        <w:pStyle w:val="FigureCaption"/>
      </w:pPr>
      <w:r>
        <w:rPr>
          <w:rFonts w:hint="cs"/>
          <w:rtl/>
        </w:rPr>
        <w:t>شکل (</w:t>
      </w:r>
      <w:r>
        <w:rPr>
          <w:rFonts w:ascii="Times New Roman" w:hAnsi="Times New Roman" w:cs="Times New Roman"/>
        </w:rPr>
        <w:t>1</w:t>
      </w:r>
      <w:r>
        <w:rPr>
          <w:rFonts w:hint="cs"/>
          <w:rtl/>
        </w:rPr>
        <w:t xml:space="preserve">) : معماری چهارلایه چارچوب پیشنهادی </w:t>
      </w:r>
      <w:r>
        <w:rPr>
          <w:rFonts w:ascii="Times New Roman" w:hAnsi="Times New Roman" w:cs="Times New Roman"/>
        </w:rPr>
        <w:t>HG-CAN</w:t>
      </w:r>
    </w:p>
    <w:p>
      <w:pPr>
        <w:pStyle w:val="Heading2"/>
      </w:pPr>
      <w:r>
        <w:rPr>
          <w:rFonts w:hint="cs"/>
          <w:rtl/>
        </w:rPr>
        <w:t xml:space="preserve">لایه </w:t>
      </w:r>
      <w:r>
        <w:rPr>
          <w:rFonts w:ascii="Times New Roman" w:hAnsi="Times New Roman" w:cs="Times New Roman"/>
        </w:rPr>
        <w:t>1</w:t>
      </w:r>
      <w:r>
        <w:rPr>
          <w:rFonts w:hint="cs"/>
          <w:rtl/>
        </w:rPr>
        <w:t>: دریافت و مهندسی ویژگی‌های رفتاری</w:t>
      </w:r>
    </w:p>
    <w:p>
      <w:pPr>
        <w:pStyle w:val="Text1"/>
      </w:pPr>
      <w:r>
        <w:rPr>
          <w:rFonts w:hint="cs"/>
          <w:rtl/>
        </w:rPr>
        <w:t xml:space="preserve">در این لایه، تراکنش‌ها پس از اعمال پوشش امنیتی روی کارت‌ها، تجمیع شده و یک بردار ویژگی ۱۶بعدی برای هر کارت </w:t>
      </w:r>
      <w:r>
        <w:rPr>
          <w:rFonts w:ascii="Times New Roman" w:hAnsi="Times New Roman" w:cs="Times New Roman"/>
        </w:rPr>
        <w:t>u</w:t>
      </w:r>
      <w:r>
        <w:rPr>
          <w:rFonts w:hint="cs"/>
          <w:rtl/>
        </w:rPr>
        <w:t xml:space="preserve"> استخراج می‌گردد. این ویژگی‌ها شامل هشت آماره مالی و زمانی (مجموع مبالغ، میانگین، انحراف معیار، لگاریتم تعداد، تازگی، ضریب چولگی، شاخص تمرکز صنف و آنتروپی شانون اصناف) به همراه هشت مؤلفه نسبت توزیع تراکنش در هر یک از هشت صنف اقتصادی است.</w:t>
      </w:r>
    </w:p>
    <w:p>
      <w:pPr>
        <w:pStyle w:val="Heading2"/>
      </w:pPr>
      <w:r>
        <w:rPr>
          <w:rFonts w:hint="cs"/>
          <w:rtl/>
        </w:rPr>
        <w:t xml:space="preserve">لایه </w:t>
      </w:r>
      <w:r>
        <w:rPr>
          <w:rFonts w:ascii="Times New Roman" w:hAnsi="Times New Roman" w:cs="Times New Roman"/>
        </w:rPr>
        <w:t>2</w:t>
      </w:r>
      <w:r>
        <w:rPr>
          <w:rFonts w:hint="cs"/>
          <w:rtl/>
        </w:rPr>
        <w:t>: نگاشت ابرگراف و محاسبه انحنای فرمن-ریچی</w:t>
      </w:r>
    </w:p>
    <w:p>
      <w:pPr>
        <w:pStyle w:val="Text1"/>
      </w:pPr>
      <w:r>
        <w:rPr>
          <w:rFonts w:hint="cs"/>
          <w:rtl/>
        </w:rPr>
        <w:t xml:space="preserve">تعاملات کارت‌ها و پایانه‌های پذیرندگی در قالب یک ابرگراف دوبخشی </w:t>
      </w:r>
      <w:r>
        <w:rPr>
          <w:rFonts w:ascii="Times New Roman" w:hAnsi="Times New Roman" w:cs="Times New Roman"/>
        </w:rPr>
        <w:t>H</w:t>
      </w:r>
      <w:r>
        <w:rPr>
          <w:rFonts w:hint="cs"/>
          <w:rtl/>
        </w:rPr>
        <w:t xml:space="preserve"> = (</w:t>
      </w:r>
      <w:r>
        <w:rPr>
          <w:rFonts w:ascii="Times New Roman" w:hAnsi="Times New Roman" w:cs="Times New Roman"/>
        </w:rPr>
        <w:t>V_card</w:t>
      </w:r>
      <w:r>
        <w:rPr>
          <w:rFonts w:hint="cs"/>
          <w:rtl/>
        </w:rPr>
        <w:t xml:space="preserve">, </w:t>
      </w:r>
      <w:r>
        <w:rPr>
          <w:rFonts w:ascii="Times New Roman" w:hAnsi="Times New Roman" w:cs="Times New Roman"/>
        </w:rPr>
        <w:t>V_merch</w:t>
      </w:r>
      <w:r>
        <w:rPr>
          <w:rFonts w:hint="cs"/>
          <w:rtl/>
        </w:rPr>
        <w:t xml:space="preserve">, </w:t>
      </w:r>
      <w:r>
        <w:rPr>
          <w:rFonts w:ascii="Times New Roman" w:hAnsi="Times New Roman" w:cs="Times New Roman"/>
        </w:rPr>
        <w:t>E</w:t>
      </w:r>
      <w:r>
        <w:rPr>
          <w:rFonts w:hint="cs"/>
          <w:rtl/>
        </w:rPr>
        <w:t xml:space="preserve">) تعریف می‌شود. با اعمال تصویرسازی وزن‌دار کسینوسی بر روی ماتریس پروفایل اصناف، شبکه کارت-کارت با ماتریس مجاورت </w:t>
      </w:r>
      <w:r>
        <w:rPr>
          <w:rFonts w:ascii="Times New Roman" w:hAnsi="Times New Roman" w:cs="Times New Roman"/>
        </w:rPr>
        <w:t>A</w:t>
      </w:r>
      <w:r>
        <w:rPr>
          <w:rFonts w:hint="cs"/>
          <w:rtl/>
        </w:rPr>
        <w:t xml:space="preserve"> تشکیل می‌شود. سپس برای هر یال </w:t>
      </w:r>
      <w:r>
        <w:rPr>
          <w:rFonts w:ascii="Times New Roman" w:hAnsi="Times New Roman" w:cs="Times New Roman"/>
        </w:rPr>
        <w:t>e</w:t>
      </w:r>
      <w:r>
        <w:rPr>
          <w:rFonts w:hint="cs"/>
          <w:rtl/>
        </w:rPr>
        <w:t xml:space="preserve"> = (</w:t>
      </w:r>
      <w:r>
        <w:rPr>
          <w:rFonts w:ascii="Times New Roman" w:hAnsi="Times New Roman" w:cs="Times New Roman"/>
        </w:rPr>
        <w:t>u</w:t>
      </w:r>
      <w:r>
        <w:rPr>
          <w:rFonts w:hint="cs"/>
          <w:rtl/>
        </w:rPr>
        <w:t xml:space="preserve">, </w:t>
      </w:r>
      <w:r>
        <w:rPr>
          <w:rFonts w:ascii="Times New Roman" w:hAnsi="Times New Roman" w:cs="Times New Roman"/>
        </w:rPr>
        <w:t>v</w:t>
      </w:r>
      <w:r>
        <w:rPr>
          <w:rFonts w:hint="cs"/>
          <w:rtl/>
        </w:rPr>
        <w:t xml:space="preserve">)، انحنای گسسته فرمن-ریچی </w:t>
      </w:r>
      <w:r>
        <w:rPr>
          <w:rFonts w:ascii="Times New Roman" w:hAnsi="Times New Roman" w:cs="Times New Roman"/>
        </w:rPr>
        <w:t>F</w:t>
      </w:r>
      <w:r>
        <w:rPr>
          <w:rFonts w:hint="cs"/>
          <w:rtl/>
        </w:rPr>
        <w:t>(</w:t>
      </w:r>
      <w:r>
        <w:rPr>
          <w:rFonts w:ascii="Times New Roman" w:hAnsi="Times New Roman" w:cs="Times New Roman"/>
        </w:rPr>
        <w:t>u</w:t>
      </w:r>
      <w:r>
        <w:rPr>
          <w:rFonts w:hint="cs"/>
          <w:rtl/>
        </w:rPr>
        <w:t xml:space="preserve">, </w:t>
      </w:r>
      <w:r>
        <w:rPr>
          <w:rFonts w:ascii="Times New Roman" w:hAnsi="Times New Roman" w:cs="Times New Roman"/>
        </w:rPr>
        <w:t>v</w:t>
      </w:r>
      <w:r>
        <w:rPr>
          <w:rFonts w:hint="cs"/>
          <w:rtl/>
        </w:rPr>
        <w:t>) از رابطه (</w:t>
      </w:r>
      <w:r>
        <w:rPr>
          <w:rFonts w:ascii="Times New Roman" w:hAnsi="Times New Roman" w:cs="Times New Roman"/>
        </w:rPr>
        <w:t>1</w:t>
      </w:r>
      <w:r>
        <w:rPr>
          <w:rFonts w:hint="cs"/>
          <w:rtl/>
        </w:rPr>
        <w:t>) محاسبه می‌گردد:</w:t>
      </w:r>
    </w:p>
    <w:tbl>
      <w:tblPr>
        <w:tblLook w:firstColumn="1" w:firstRow="1" w:lastColumn="0" w:lastRow="0" w:noHBand="0" w:noVBand="1" w:val="04A0"/>
        <w:bidiVisual/>
        <w:tblW w:w="4650" w:type="dxa"/>
        <w:tblLayout w:type="fixed"/>
      </w:tblPr>
      <w:tblGrid>
        <w:gridCol w:w="550"/>
        <w:gridCol w:w="4100"/>
      </w:tblGrid>
      <w:tr>
        <w:tc>
          <w:tcPr>
            <w:tcW w:w="550" w:type="dxa"/>
          </w:tcPr>
          <w:p>
            <w:pPr>
              <w:pStyle w:val="FigureText"/>
            </w:pPr>
            <w:r>
              <w:rPr>
                <w:rFonts w:ascii="Times New Roman" w:hAnsi="Times New Roman" w:cs="Times New Roman"/>
                <w:sz w:val="20"/>
              </w:rPr>
              <w:t>(1)</w:t>
            </w:r>
          </w:p>
        </w:tc>
        <w:tc>
          <w:tcPr>
            <w:tcW w:w="4100" w:type="dxa"/>
          </w:tcPr>
          <w:p>
            <w:pPr>
              <w:pStyle w:val="FigureText"/>
              <w:bidi w:val="0"/>
            </w:pPr>
            <w:r>
              <w:rPr>
                <w:rFonts w:ascii="Times New Roman" w:hAnsi="Times New Roman" w:cs="Times New Roman"/>
                <w:iCs/>
                <w:i/>
                <w:sz w:val="20"/>
              </w:rPr>
              <w:t>F</w:t>
            </w:r>
            <w:r>
              <w:rPr>
                <w:rFonts w:ascii="Times New Roman" w:hAnsi="Times New Roman" w:cs="Times New Roman"/>
                <w:sz w:val="20"/>
              </w:rPr>
              <w:t>(u, v) = [ 4 – d(u) – d(v) + 3 · Δ(u, v) ] / √[ d(u) · d(v) ]</w:t>
            </w:r>
          </w:p>
        </w:tc>
      </w:tr>
    </w:tbl>
    <w:p>
      <w:pPr>
        <w:pStyle w:val="Text"/>
      </w:pPr>
      <w:r>
        <w:rPr>
          <w:rFonts w:hint="cs"/>
          <w:rtl/>
        </w:rPr>
        <w:t xml:space="preserve">که در آن </w:t>
      </w:r>
      <w:r>
        <w:rPr>
          <w:rFonts w:ascii="Times New Roman" w:hAnsi="Times New Roman" w:cs="Times New Roman"/>
        </w:rPr>
        <w:t>d</w:t>
      </w:r>
      <w:r>
        <w:rPr>
          <w:rFonts w:hint="cs"/>
          <w:rtl/>
        </w:rPr>
        <w:t>(</w:t>
      </w:r>
      <w:r>
        <w:rPr>
          <w:rFonts w:ascii="Times New Roman" w:hAnsi="Times New Roman" w:cs="Times New Roman"/>
        </w:rPr>
        <w:t>u</w:t>
      </w:r>
      <w:r>
        <w:rPr>
          <w:rFonts w:hint="cs"/>
          <w:rtl/>
        </w:rPr>
        <w:t xml:space="preserve">) درجه گره </w:t>
      </w:r>
      <w:r>
        <w:rPr>
          <w:rFonts w:ascii="Times New Roman" w:hAnsi="Times New Roman" w:cs="Times New Roman"/>
        </w:rPr>
        <w:t>u</w:t>
      </w:r>
      <w:r>
        <w:rPr>
          <w:rFonts w:hint="cs"/>
          <w:rtl/>
        </w:rPr>
        <w:t xml:space="preserve"> و </w:t>
      </w:r>
      <w:r>
        <w:rPr>
          <w:rFonts w:ascii="Times New Roman" w:hAnsi="Times New Roman" w:cs="Times New Roman"/>
        </w:rPr>
        <w:t>Δ</w:t>
      </w:r>
      <w:r>
        <w:rPr>
          <w:rFonts w:hint="cs"/>
          <w:rtl/>
        </w:rPr>
        <w:t>(</w:t>
      </w:r>
      <w:r>
        <w:rPr>
          <w:rFonts w:ascii="Times New Roman" w:hAnsi="Times New Roman" w:cs="Times New Roman"/>
        </w:rPr>
        <w:t>u</w:t>
      </w:r>
      <w:r>
        <w:rPr>
          <w:rFonts w:hint="cs"/>
          <w:rtl/>
        </w:rPr>
        <w:t xml:space="preserve">, </w:t>
      </w:r>
      <w:r>
        <w:rPr>
          <w:rFonts w:ascii="Times New Roman" w:hAnsi="Times New Roman" w:cs="Times New Roman"/>
        </w:rPr>
        <w:t>v</w:t>
      </w:r>
      <w:r>
        <w:rPr>
          <w:rFonts w:hint="cs"/>
          <w:rtl/>
        </w:rPr>
        <w:t>) تعداد مثلث‌های مشترک تشکیل‌شده روی یال (</w:t>
      </w:r>
      <w:r>
        <w:rPr>
          <w:rFonts w:ascii="Times New Roman" w:hAnsi="Times New Roman" w:cs="Times New Roman"/>
        </w:rPr>
        <w:t>u</w:t>
      </w:r>
      <w:r>
        <w:rPr>
          <w:rFonts w:hint="cs"/>
          <w:rtl/>
        </w:rPr>
        <w:t xml:space="preserve">, </w:t>
      </w:r>
      <w:r>
        <w:rPr>
          <w:rFonts w:ascii="Times New Roman" w:hAnsi="Times New Roman" w:cs="Times New Roman"/>
        </w:rPr>
        <w:t>v</w:t>
      </w:r>
      <w:r>
        <w:rPr>
          <w:rFonts w:hint="cs"/>
          <w:rtl/>
        </w:rPr>
        <w:t>) است. انحنای منفی بیانگر یال‌های پل‌ساز میان جوامع و انحنای مثبت نشانگر ساختارهای متراکم درون‌خوشه‌ای است.</w:t>
      </w:r>
    </w:p>
    <w:p>
      <w:pPr>
        <w:pStyle w:val="Heading2"/>
      </w:pPr>
      <w:r>
        <w:rPr>
          <w:rFonts w:hint="cs"/>
          <w:rtl/>
        </w:rPr>
        <w:t xml:space="preserve">لایه </w:t>
      </w:r>
      <w:r>
        <w:rPr>
          <w:rFonts w:ascii="Times New Roman" w:hAnsi="Times New Roman" w:cs="Times New Roman"/>
        </w:rPr>
        <w:t>3</w:t>
      </w:r>
      <w:r>
        <w:rPr>
          <w:rFonts w:hint="cs"/>
          <w:rtl/>
        </w:rPr>
        <w:t>: خودرمزگذار توجه‌محور هندسی (</w:t>
      </w:r>
      <w:r>
        <w:rPr>
          <w:rFonts w:ascii="Times New Roman" w:hAnsi="Times New Roman" w:cs="Times New Roman"/>
        </w:rPr>
        <w:t>HG-CAN</w:t>
      </w:r>
      <w:r>
        <w:rPr>
          <w:rFonts w:hint="cs"/>
          <w:rtl/>
        </w:rPr>
        <w:t>)</w:t>
      </w:r>
    </w:p>
    <w:p>
      <w:pPr>
        <w:pStyle w:val="Text1"/>
      </w:pPr>
      <w:r>
        <w:rPr>
          <w:rFonts w:hint="cs"/>
          <w:rtl/>
        </w:rPr>
        <w:t xml:space="preserve">رمزگذار شبکه از لایه‌های توجه گراف مجهز به تنظیم انحنا تشکیل شده است. در سر </w:t>
      </w:r>
      <w:r>
        <w:rPr>
          <w:rFonts w:ascii="Times New Roman" w:hAnsi="Times New Roman" w:cs="Times New Roman"/>
        </w:rPr>
        <w:t>k</w:t>
      </w:r>
      <w:r>
        <w:rPr>
          <w:rFonts w:hint="cs"/>
          <w:rtl/>
        </w:rPr>
        <w:t>ام توجه، ضریب اهمیت یال از رابطه (</w:t>
      </w:r>
      <w:r>
        <w:rPr>
          <w:rFonts w:ascii="Times New Roman" w:hAnsi="Times New Roman" w:cs="Times New Roman"/>
        </w:rPr>
        <w:t>2</w:t>
      </w:r>
      <w:r>
        <w:rPr>
          <w:rFonts w:hint="cs"/>
          <w:rtl/>
        </w:rPr>
        <w:t>) به دست می‌آید:</w:t>
      </w:r>
    </w:p>
    <w:tbl>
      <w:tblPr>
        <w:tblLook w:firstColumn="1" w:firstRow="1" w:lastColumn="0" w:lastRow="0" w:noHBand="0" w:noVBand="1" w:val="04A0"/>
        <w:bidiVisual/>
        <w:tblW w:w="4650" w:type="dxa"/>
        <w:tblLayout w:type="fixed"/>
      </w:tblPr>
      <w:tblGrid>
        <w:gridCol w:w="550"/>
        <w:gridCol w:w="4100"/>
      </w:tblGrid>
      <w:tr>
        <w:tc>
          <w:tcPr>
            <w:tcW w:w="550" w:type="dxa"/>
          </w:tcPr>
          <w:p>
            <w:pPr>
              <w:pStyle w:val="FigureText"/>
            </w:pPr>
            <w:r>
              <w:rPr>
                <w:rFonts w:ascii="Times New Roman" w:hAnsi="Times New Roman" w:cs="Times New Roman"/>
                <w:sz w:val="20"/>
              </w:rPr>
              <w:t>(2)</w:t>
            </w:r>
          </w:p>
        </w:tc>
        <w:tc>
          <w:tcPr>
            <w:tcW w:w="4100" w:type="dxa"/>
          </w:tcPr>
          <w:p>
            <w:pPr>
              <w:pStyle w:val="FigureText"/>
              <w:bidi w:val="0"/>
            </w:pPr>
            <w:r>
              <w:rPr>
                <w:rFonts w:ascii="Times New Roman" w:hAnsi="Times New Roman" w:cs="Times New Roman"/>
                <w:sz w:val="20"/>
              </w:rPr>
              <w:t>α</w:t>
            </w:r>
            <w:r>
              <w:rPr>
                <w:rFonts w:ascii="Times New Roman" w:hAnsi="Times New Roman" w:cs="Times New Roman"/>
                <w:sz w:val="20"/>
                <w:vertAlign w:val="subscript"/>
              </w:rPr>
              <w:t>uv</w:t>
            </w:r>
            <w:r>
              <w:rPr>
                <w:rFonts w:ascii="Times New Roman" w:hAnsi="Times New Roman" w:cs="Times New Roman"/>
                <w:sz w:val="20"/>
              </w:rPr>
              <w:t>^(k) = softmax</w:t>
            </w:r>
            <w:r>
              <w:rPr>
                <w:rFonts w:ascii="Times New Roman" w:hAnsi="Times New Roman" w:cs="Times New Roman"/>
                <w:sz w:val="20"/>
                <w:vertAlign w:val="subscript"/>
              </w:rPr>
              <w:t>v</w:t>
            </w:r>
            <w:r>
              <w:rPr>
                <w:rFonts w:ascii="Times New Roman" w:hAnsi="Times New Roman" w:cs="Times New Roman"/>
                <w:sz w:val="20"/>
              </w:rPr>
              <w:t>( LeakyReLU( a</w:t>
            </w:r>
            <w:r>
              <w:rPr>
                <w:rFonts w:ascii="Times New Roman" w:hAnsi="Times New Roman" w:cs="Times New Roman"/>
                <w:sz w:val="20"/>
                <w:vertAlign w:val="subscript"/>
              </w:rPr>
              <w:t>k</w:t>
            </w:r>
            <w:r>
              <w:rPr>
                <w:rFonts w:ascii="Times New Roman" w:hAnsi="Times New Roman" w:cs="Times New Roman"/>
                <w:sz w:val="20"/>
              </w:rPr>
              <w:t>^T [W</w:t>
            </w:r>
            <w:r>
              <w:rPr>
                <w:rFonts w:ascii="Times New Roman" w:hAnsi="Times New Roman" w:cs="Times New Roman"/>
                <w:sz w:val="20"/>
                <w:vertAlign w:val="subscript"/>
              </w:rPr>
              <w:t>k</w:t>
            </w:r>
            <w:r>
              <w:rPr>
                <w:rFonts w:ascii="Times New Roman" w:hAnsi="Times New Roman" w:cs="Times New Roman"/>
                <w:sz w:val="20"/>
              </w:rPr>
              <w:t xml:space="preserve"> h</w:t>
            </w:r>
            <w:r>
              <w:rPr>
                <w:rFonts w:ascii="Times New Roman" w:hAnsi="Times New Roman" w:cs="Times New Roman"/>
                <w:sz w:val="20"/>
                <w:vertAlign w:val="subscript"/>
              </w:rPr>
              <w:t>u</w:t>
            </w:r>
            <w:r>
              <w:rPr>
                <w:rFonts w:ascii="Times New Roman" w:hAnsi="Times New Roman" w:cs="Times New Roman"/>
                <w:sz w:val="20"/>
              </w:rPr>
              <w:t xml:space="preserve"> ‖ W</w:t>
            </w:r>
            <w:r>
              <w:rPr>
                <w:rFonts w:ascii="Times New Roman" w:hAnsi="Times New Roman" w:cs="Times New Roman"/>
                <w:sz w:val="20"/>
                <w:vertAlign w:val="subscript"/>
              </w:rPr>
              <w:t>k</w:t>
            </w:r>
            <w:r>
              <w:rPr>
                <w:rFonts w:ascii="Times New Roman" w:hAnsi="Times New Roman" w:cs="Times New Roman"/>
                <w:sz w:val="20"/>
              </w:rPr>
              <w:t xml:space="preserve"> h</w:t>
            </w:r>
            <w:r>
              <w:rPr>
                <w:rFonts w:ascii="Times New Roman" w:hAnsi="Times New Roman" w:cs="Times New Roman"/>
                <w:sz w:val="20"/>
                <w:vertAlign w:val="subscript"/>
              </w:rPr>
              <w:t>v</w:t>
            </w:r>
            <w:r>
              <w:rPr>
                <w:rFonts w:ascii="Times New Roman" w:hAnsi="Times New Roman" w:cs="Times New Roman"/>
                <w:sz w:val="20"/>
              </w:rPr>
              <w:t>] + γ</w:t>
            </w:r>
            <w:r>
              <w:rPr>
                <w:rFonts w:ascii="Times New Roman" w:hAnsi="Times New Roman" w:cs="Times New Roman"/>
                <w:sz w:val="20"/>
                <w:vertAlign w:val="subscript"/>
              </w:rPr>
              <w:t>k</w:t>
            </w:r>
            <w:r>
              <w:rPr>
                <w:rFonts w:ascii="Times New Roman" w:hAnsi="Times New Roman" w:cs="Times New Roman"/>
                <w:sz w:val="20"/>
              </w:rPr>
              <w:t xml:space="preserve"> · tanh(F(u, v)) + β</w:t>
            </w:r>
            <w:r>
              <w:rPr>
                <w:rFonts w:ascii="Times New Roman" w:hAnsi="Times New Roman" w:cs="Times New Roman"/>
                <w:sz w:val="20"/>
                <w:vertAlign w:val="subscript"/>
              </w:rPr>
              <w:t>k</w:t>
            </w:r>
            <w:r>
              <w:rPr>
                <w:rFonts w:ascii="Times New Roman" w:hAnsi="Times New Roman" w:cs="Times New Roman"/>
                <w:sz w:val="20"/>
              </w:rPr>
              <w:t xml:space="preserve"> · ln(1 + w</w:t>
            </w:r>
            <w:r>
              <w:rPr>
                <w:rFonts w:ascii="Times New Roman" w:hAnsi="Times New Roman" w:cs="Times New Roman"/>
                <w:sz w:val="20"/>
                <w:vertAlign w:val="subscript"/>
              </w:rPr>
              <w:t>uv</w:t>
            </w:r>
            <w:r>
              <w:rPr>
                <w:rFonts w:ascii="Times New Roman" w:hAnsi="Times New Roman" w:cs="Times New Roman"/>
                <w:sz w:val="20"/>
              </w:rPr>
              <w:t>) ) )</w:t>
            </w:r>
          </w:p>
        </w:tc>
      </w:tr>
    </w:tbl>
    <w:p>
      <w:pPr>
        <w:pStyle w:val="Text"/>
      </w:pPr>
      <w:r>
        <w:rPr>
          <w:rFonts w:hint="cs"/>
          <w:rtl/>
        </w:rPr>
        <w:t xml:space="preserve">که در آن </w:t>
      </w:r>
      <w:r>
        <w:rPr>
          <w:rFonts w:ascii="Times New Roman" w:hAnsi="Times New Roman" w:cs="Times New Roman"/>
        </w:rPr>
        <w:t>W_k</w:t>
      </w:r>
      <w:r>
        <w:rPr>
          <w:rFonts w:hint="cs"/>
          <w:rtl/>
        </w:rPr>
        <w:t xml:space="preserve"> ماتریس نگاشت، </w:t>
      </w:r>
      <w:r>
        <w:rPr>
          <w:rFonts w:ascii="Times New Roman" w:hAnsi="Times New Roman" w:cs="Times New Roman"/>
        </w:rPr>
        <w:t>a_k</w:t>
      </w:r>
      <w:r>
        <w:rPr>
          <w:rFonts w:hint="cs"/>
          <w:rtl/>
        </w:rPr>
        <w:t xml:space="preserve"> بردار توجه، </w:t>
      </w:r>
      <w:r>
        <w:rPr>
          <w:rFonts w:ascii="Times New Roman" w:hAnsi="Times New Roman" w:cs="Times New Roman"/>
        </w:rPr>
        <w:t>F</w:t>
      </w:r>
      <w:r>
        <w:rPr>
          <w:rFonts w:hint="cs"/>
          <w:rtl/>
        </w:rPr>
        <w:t>(</w:t>
      </w:r>
      <w:r>
        <w:rPr>
          <w:rFonts w:ascii="Times New Roman" w:hAnsi="Times New Roman" w:cs="Times New Roman"/>
        </w:rPr>
        <w:t>u</w:t>
      </w:r>
      <w:r>
        <w:rPr>
          <w:rFonts w:hint="cs"/>
          <w:rtl/>
        </w:rPr>
        <w:t>,</w:t>
      </w:r>
      <w:r>
        <w:rPr>
          <w:rFonts w:ascii="Times New Roman" w:hAnsi="Times New Roman" w:cs="Times New Roman"/>
        </w:rPr>
        <w:t>v</w:t>
      </w:r>
      <w:r>
        <w:rPr>
          <w:rFonts w:hint="cs"/>
          <w:rtl/>
        </w:rPr>
        <w:t xml:space="preserve">) انحنای فرمن-ریچی، </w:t>
      </w:r>
      <w:r>
        <w:rPr>
          <w:rFonts w:ascii="Times New Roman" w:hAnsi="Times New Roman" w:cs="Times New Roman"/>
        </w:rPr>
        <w:t>w_uv</w:t>
      </w:r>
      <w:r>
        <w:rPr>
          <w:rFonts w:hint="cs"/>
          <w:rtl/>
        </w:rPr>
        <w:t xml:space="preserve"> شباهت کسینوسی اصناف، و </w:t>
      </w:r>
      <w:r>
        <w:rPr>
          <w:rFonts w:ascii="Times New Roman" w:hAnsi="Times New Roman" w:cs="Times New Roman"/>
        </w:rPr>
        <w:t>γ_k</w:t>
      </w:r>
      <w:r>
        <w:rPr>
          <w:rFonts w:hint="cs"/>
          <w:rtl/>
        </w:rPr>
        <w:t xml:space="preserve"> و </w:t>
      </w:r>
      <w:r>
        <w:rPr>
          <w:rFonts w:ascii="Times New Roman" w:hAnsi="Times New Roman" w:cs="Times New Roman"/>
        </w:rPr>
        <w:t>β_k</w:t>
      </w:r>
      <w:r>
        <w:rPr>
          <w:rFonts w:hint="cs"/>
          <w:rtl/>
        </w:rPr>
        <w:t xml:space="preserve"> پارامترهای یادگرفتنی تنظیم هندسی هستند. آموزش شبکه با تابع زیان سه‌گانه خودنظارتی (رابطه (</w:t>
      </w:r>
      <w:r>
        <w:rPr>
          <w:rFonts w:ascii="Times New Roman" w:hAnsi="Times New Roman" w:cs="Times New Roman"/>
        </w:rPr>
        <w:t>3</w:t>
      </w:r>
      <w:r>
        <w:rPr>
          <w:rFonts w:hint="cs"/>
          <w:rtl/>
        </w:rPr>
        <w:t>)) به صورت انتها-به-انتها انجام می‌پذیرد:</w:t>
      </w:r>
    </w:p>
    <w:tbl>
      <w:tblPr>
        <w:tblLook w:firstColumn="1" w:firstRow="1" w:lastColumn="0" w:lastRow="0" w:noHBand="0" w:noVBand="1" w:val="04A0"/>
        <w:bidiVisual/>
        <w:tblW w:w="4650" w:type="dxa"/>
        <w:tblLayout w:type="fixed"/>
      </w:tblPr>
      <w:tblGrid>
        <w:gridCol w:w="550"/>
        <w:gridCol w:w="4100"/>
      </w:tblGrid>
      <w:tr>
        <w:tc>
          <w:tcPr>
            <w:tcW w:w="550" w:type="dxa"/>
          </w:tcPr>
          <w:p>
            <w:pPr>
              <w:pStyle w:val="FigureText"/>
            </w:pPr>
            <w:r>
              <w:rPr>
                <w:rFonts w:ascii="Times New Roman" w:hAnsi="Times New Roman" w:cs="Times New Roman"/>
                <w:sz w:val="20"/>
              </w:rPr>
              <w:t>(3)</w:t>
            </w:r>
          </w:p>
        </w:tc>
        <w:tc>
          <w:tcPr>
            <w:tcW w:w="4100" w:type="dxa"/>
          </w:tcPr>
          <w:p>
            <w:pPr>
              <w:pStyle w:val="FigureText"/>
              <w:bidi w:val="0"/>
            </w:pPr>
            <w:r>
              <w:rPr>
                <w:rFonts w:ascii="Times New Roman" w:hAnsi="Times New Roman" w:cs="Times New Roman"/>
                <w:iCs/>
                <w:i/>
                <w:sz w:val="20"/>
              </w:rPr>
              <w:t>L</w:t>
            </w:r>
            <w:r>
              <w:rPr>
                <w:rFonts w:ascii="Times New Roman" w:hAnsi="Times New Roman" w:cs="Times New Roman"/>
                <w:sz w:val="20"/>
              </w:rPr>
              <w:t xml:space="preserve"> = L</w:t>
            </w:r>
            <w:r>
              <w:rPr>
                <w:rFonts w:ascii="Times New Roman" w:hAnsi="Times New Roman" w:cs="Times New Roman"/>
                <w:sz w:val="20"/>
                <w:vertAlign w:val="subscript"/>
              </w:rPr>
              <w:t>link</w:t>
            </w:r>
            <w:r>
              <w:rPr>
                <w:rFonts w:ascii="Times New Roman" w:hAnsi="Times New Roman" w:cs="Times New Roman"/>
                <w:sz w:val="20"/>
              </w:rPr>
              <w:t xml:space="preserve"> + λ</w:t>
            </w:r>
            <w:r>
              <w:rPr>
                <w:rFonts w:ascii="Times New Roman" w:hAnsi="Times New Roman" w:cs="Times New Roman"/>
                <w:sz w:val="20"/>
                <w:vertAlign w:val="subscript"/>
              </w:rPr>
              <w:t>1</w:t>
            </w:r>
            <w:r>
              <w:rPr>
                <w:rFonts w:ascii="Times New Roman" w:hAnsi="Times New Roman" w:cs="Times New Roman"/>
                <w:sz w:val="20"/>
              </w:rPr>
              <w:t xml:space="preserve"> · L</w:t>
            </w:r>
            <w:r>
              <w:rPr>
                <w:rFonts w:ascii="Times New Roman" w:hAnsi="Times New Roman" w:cs="Times New Roman"/>
                <w:sz w:val="20"/>
                <w:vertAlign w:val="subscript"/>
              </w:rPr>
              <w:t>attr</w:t>
            </w:r>
            <w:r>
              <w:rPr>
                <w:rFonts w:ascii="Times New Roman" w:hAnsi="Times New Roman" w:cs="Times New Roman"/>
                <w:sz w:val="20"/>
              </w:rPr>
              <w:t xml:space="preserve"> + λ</w:t>
            </w:r>
            <w:r>
              <w:rPr>
                <w:rFonts w:ascii="Times New Roman" w:hAnsi="Times New Roman" w:cs="Times New Roman"/>
                <w:sz w:val="20"/>
                <w:vertAlign w:val="subscript"/>
              </w:rPr>
              <w:t>2</w:t>
            </w:r>
            <w:r>
              <w:rPr>
                <w:rFonts w:ascii="Times New Roman" w:hAnsi="Times New Roman" w:cs="Times New Roman"/>
                <w:sz w:val="20"/>
              </w:rPr>
              <w:t xml:space="preserve"> · L</w:t>
            </w:r>
            <w:r>
              <w:rPr>
                <w:rFonts w:ascii="Times New Roman" w:hAnsi="Times New Roman" w:cs="Times New Roman"/>
                <w:sz w:val="20"/>
                <w:vertAlign w:val="subscript"/>
              </w:rPr>
              <w:t>curv</w:t>
            </w:r>
          </w:p>
        </w:tc>
      </w:tr>
    </w:tbl>
    <w:p>
      <w:pPr>
        <w:pStyle w:val="Text"/>
      </w:pPr>
      <w:r>
        <w:rPr>
          <w:rFonts w:hint="cs"/>
          <w:rtl/>
        </w:rPr>
        <w:t xml:space="preserve">که در آن </w:t>
      </w:r>
      <w:r>
        <w:rPr>
          <w:rFonts w:ascii="Times New Roman" w:hAnsi="Times New Roman" w:cs="Times New Roman"/>
        </w:rPr>
        <w:t>L_link</w:t>
      </w:r>
      <w:r>
        <w:rPr>
          <w:rFonts w:hint="cs"/>
          <w:rtl/>
        </w:rPr>
        <w:t xml:space="preserve"> خطای بازسازی پیوندهای شبکه، </w:t>
      </w:r>
      <w:r>
        <w:rPr>
          <w:rFonts w:ascii="Times New Roman" w:hAnsi="Times New Roman" w:cs="Times New Roman"/>
        </w:rPr>
        <w:t>L_attr</w:t>
      </w:r>
      <w:r>
        <w:rPr>
          <w:rFonts w:hint="cs"/>
          <w:rtl/>
        </w:rPr>
        <w:t xml:space="preserve"> خطای بازسازی مشخصه‌های رفتاری و </w:t>
      </w:r>
      <w:r>
        <w:rPr>
          <w:rFonts w:ascii="Times New Roman" w:hAnsi="Times New Roman" w:cs="Times New Roman"/>
        </w:rPr>
        <w:t>L_curv</w:t>
      </w:r>
      <w:r>
        <w:rPr>
          <w:rFonts w:hint="cs"/>
          <w:rtl/>
        </w:rPr>
        <w:t xml:space="preserve"> خطای پیش‌بینی انحنای موضعی یال‌هاست.</w:t>
      </w:r>
    </w:p>
    <w:p>
      <w:pPr>
        <w:pStyle w:val="Heading2"/>
      </w:pPr>
      <w:r>
        <w:rPr>
          <w:rFonts w:hint="cs"/>
          <w:rtl/>
        </w:rPr>
        <w:t xml:space="preserve">لایه </w:t>
      </w:r>
      <w:r>
        <w:rPr>
          <w:rFonts w:ascii="Times New Roman" w:hAnsi="Times New Roman" w:cs="Times New Roman"/>
        </w:rPr>
        <w:t>4</w:t>
      </w:r>
      <w:r>
        <w:rPr>
          <w:rFonts w:hint="cs"/>
          <w:rtl/>
        </w:rPr>
        <w:t>: موتور استخراج پرسونای سازمانی</w:t>
      </w:r>
    </w:p>
    <w:p>
      <w:pPr>
        <w:pStyle w:val="Text1"/>
      </w:pPr>
      <w:r>
        <w:rPr>
          <w:rFonts w:hint="cs"/>
          <w:rtl/>
        </w:rPr>
        <w:t xml:space="preserve">بردارهای تعبیه ۳۲بعدی </w:t>
      </w:r>
      <w:r>
        <w:rPr>
          <w:rFonts w:ascii="Times New Roman" w:hAnsi="Times New Roman" w:cs="Times New Roman"/>
        </w:rPr>
        <w:t>z_u</w:t>
      </w:r>
      <w:r>
        <w:rPr>
          <w:rFonts w:hint="cs"/>
          <w:rtl/>
        </w:rPr>
        <w:t xml:space="preserve"> با خوشه‌بندی تفکیک شده و هم‌زمان شاخص‌های تمول بانکی (</w:t>
      </w:r>
      <w:r>
        <w:rPr>
          <w:rFonts w:ascii="Times New Roman" w:hAnsi="Times New Roman" w:cs="Times New Roman"/>
        </w:rPr>
        <w:t>Affluence Centrality</w:t>
      </w:r>
      <w:r>
        <w:rPr>
          <w:rFonts w:hint="cs"/>
          <w:rtl/>
        </w:rPr>
        <w:t>)، آنتروپی شانون تنوع سبد خرید و ضریب چسبندگی شبکه (</w:t>
      </w:r>
      <w:r>
        <w:rPr>
          <w:rFonts w:ascii="Times New Roman" w:hAnsi="Times New Roman" w:cs="Times New Roman"/>
        </w:rPr>
        <w:t>Network Stickiness</w:t>
      </w:r>
      <w:r>
        <w:rPr>
          <w:rFonts w:hint="cs"/>
          <w:rtl/>
        </w:rPr>
        <w:t>) جهت تصمیم‌گیری استراتژیک سازمانی استخراج می‌گردند.</w:t>
      </w:r>
    </w:p>
    <w:p>
      <w:pPr>
        <w:pStyle w:val="Heading1"/>
      </w:pPr>
      <w:r>
        <w:rPr>
          <w:rFonts w:hint="cs"/>
          <w:rtl/>
        </w:rPr>
        <w:t>ارزیابی تجربی و نتایج</w:t>
      </w:r>
    </w:p>
    <w:p>
      <w:pPr>
        <w:pStyle w:val="Heading2"/>
      </w:pPr>
      <w:r>
        <w:rPr>
          <w:rFonts w:hint="cs"/>
          <w:rtl/>
        </w:rPr>
        <w:t>مقایسه کارایی با خطوط مبنا</w:t>
      </w:r>
    </w:p>
    <w:p>
      <w:pPr>
        <w:pStyle w:val="Text1"/>
      </w:pPr>
      <w:r>
        <w:rPr>
          <w:rFonts w:hint="cs"/>
          <w:rtl/>
        </w:rPr>
        <w:t xml:space="preserve">کارایی روش پیشنهادی </w:t>
      </w:r>
      <w:r>
        <w:rPr>
          <w:rFonts w:ascii="Times New Roman" w:hAnsi="Times New Roman" w:cs="Times New Roman"/>
        </w:rPr>
        <w:t>HG-CAN</w:t>
      </w:r>
      <w:r>
        <w:rPr>
          <w:rFonts w:hint="cs"/>
          <w:rtl/>
        </w:rPr>
        <w:t xml:space="preserve"> در برابر مدل متداول </w:t>
      </w:r>
      <w:r>
        <w:rPr>
          <w:rFonts w:ascii="Times New Roman" w:hAnsi="Times New Roman" w:cs="Times New Roman"/>
        </w:rPr>
        <w:t>RFM</w:t>
      </w:r>
      <w:r>
        <w:rPr>
          <w:rFonts w:hint="cs"/>
          <w:rtl/>
        </w:rPr>
        <w:t xml:space="preserve"> و تجزیه ماتریسی دوبخشی </w:t>
      </w:r>
      <w:r>
        <w:rPr>
          <w:rFonts w:ascii="Times New Roman" w:hAnsi="Times New Roman" w:cs="Times New Roman"/>
        </w:rPr>
        <w:t>SVD</w:t>
      </w:r>
      <w:r>
        <w:rPr>
          <w:rFonts w:hint="cs"/>
          <w:rtl/>
        </w:rPr>
        <w:t xml:space="preserve"> در جدول (</w:t>
      </w:r>
      <w:r>
        <w:rPr>
          <w:rFonts w:ascii="Times New Roman" w:hAnsi="Times New Roman" w:cs="Times New Roman"/>
        </w:rPr>
        <w:t>1</w:t>
      </w:r>
      <w:r>
        <w:rPr>
          <w:rFonts w:hint="cs"/>
          <w:rtl/>
        </w:rPr>
        <w:t>) مقایسه شده است.</w:t>
      </w:r>
    </w:p>
    <w:p>
      <w:pPr>
        <w:pStyle w:val="FigureCaption"/>
      </w:pPr>
      <w:r>
        <w:rPr>
          <w:rFonts w:hint="cs"/>
          <w:rtl/>
        </w:rPr>
        <w:t>جدول (</w:t>
      </w:r>
      <w:r>
        <w:rPr>
          <w:rFonts w:ascii="Times New Roman" w:hAnsi="Times New Roman" w:cs="Times New Roman"/>
        </w:rPr>
        <w:t>1</w:t>
      </w:r>
      <w:r>
        <w:rPr>
          <w:rFonts w:hint="cs"/>
          <w:rtl/>
        </w:rPr>
        <w:t>) : مقایسه جامع عملکرد چارچوب پیشنهادی با روش‌های خط‌مبنا</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00"/>
        <w:gridCol w:w="650"/>
        <w:gridCol w:w="650"/>
        <w:gridCol w:w="750"/>
        <w:gridCol w:w="800"/>
      </w:tblGrid>
      <w:tr>
        <w:tc>
          <w:tcPr>
            <w:tcW w:w="1800" w:type="dxa"/>
          </w:tcPr>
          <w:p>
            <w:pPr>
              <w:pStyle w:val="FigureText"/>
            </w:pPr>
            <w:r>
              <w:rPr>
                <w:rFonts w:hint="cs"/>
                <w:bCs/>
                <w:b/>
                <w:rtl/>
              </w:rPr>
              <w:t>روش / معماری</w:t>
            </w:r>
          </w:p>
        </w:tc>
        <w:tc>
          <w:tcPr>
            <w:tcW w:w="650" w:type="dxa"/>
          </w:tcPr>
          <w:p>
            <w:pPr>
              <w:pStyle w:val="FigureText"/>
            </w:pPr>
            <w:r>
              <w:rPr>
                <w:rFonts w:ascii="Times New Roman" w:hAnsi="Times New Roman" w:cs="Times New Roman"/>
                <w:bCs/>
                <w:b/>
              </w:rPr>
              <w:t>NMI</w:t>
            </w:r>
          </w:p>
        </w:tc>
        <w:tc>
          <w:tcPr>
            <w:tcW w:w="650" w:type="dxa"/>
          </w:tcPr>
          <w:p>
            <w:pPr>
              <w:pStyle w:val="FigureText"/>
            </w:pPr>
            <w:r>
              <w:rPr>
                <w:rFonts w:ascii="Times New Roman" w:hAnsi="Times New Roman" w:cs="Times New Roman"/>
                <w:bCs/>
                <w:b/>
              </w:rPr>
              <w:t>ARI</w:t>
            </w:r>
          </w:p>
        </w:tc>
        <w:tc>
          <w:tcPr>
            <w:tcW w:w="750" w:type="dxa"/>
          </w:tcPr>
          <w:p>
            <w:pPr>
              <w:pStyle w:val="FigureText"/>
            </w:pPr>
            <w:r>
              <w:rPr>
                <w:rFonts w:ascii="Times New Roman" w:hAnsi="Times New Roman" w:cs="Times New Roman"/>
                <w:bCs/>
                <w:b/>
              </w:rPr>
              <w:t>Silhouette</w:t>
            </w:r>
          </w:p>
        </w:tc>
        <w:tc>
          <w:tcPr>
            <w:tcW w:w="800" w:type="dxa"/>
          </w:tcPr>
          <w:p>
            <w:pPr>
              <w:pStyle w:val="FigureText"/>
            </w:pPr>
            <w:r>
              <w:rPr>
                <w:rFonts w:ascii="Times New Roman" w:hAnsi="Times New Roman" w:cs="Times New Roman"/>
                <w:bCs/>
                <w:b/>
              </w:rPr>
              <w:t>Davies-Bouldin</w:t>
            </w:r>
          </w:p>
        </w:tc>
      </w:tr>
      <w:tr>
        <w:tc>
          <w:tcPr>
            <w:tcW w:w="1800" w:type="dxa"/>
          </w:tcPr>
          <w:p>
            <w:pPr>
              <w:pStyle w:val="FigureText"/>
            </w:pPr>
            <w:r>
              <w:rPr>
                <w:rFonts w:ascii="Times New Roman" w:hAnsi="Times New Roman" w:cs="Times New Roman"/>
              </w:rPr>
              <w:t>Classical Tabular RFM</w:t>
            </w:r>
            <w:r>
              <w:rPr>
                <w:rFonts w:hint="cs"/>
                <w:rtl/>
              </w:rPr>
              <w:t xml:space="preserve"> + </w:t>
            </w:r>
            <w:r>
              <w:rPr>
                <w:rFonts w:ascii="Times New Roman" w:hAnsi="Times New Roman" w:cs="Times New Roman"/>
              </w:rPr>
              <w:t>K-Means</w:t>
            </w:r>
          </w:p>
        </w:tc>
        <w:tc>
          <w:tcPr>
            <w:tcW w:w="650" w:type="dxa"/>
          </w:tcPr>
          <w:p>
            <w:pPr>
              <w:pStyle w:val="FigureText"/>
            </w:pPr>
            <w:r>
              <w:rPr>
                <w:rFonts w:ascii="Times New Roman" w:hAnsi="Times New Roman" w:cs="Times New Roman"/>
              </w:rPr>
              <w:t>0.175</w:t>
            </w:r>
          </w:p>
        </w:tc>
        <w:tc>
          <w:tcPr>
            <w:tcW w:w="650" w:type="dxa"/>
          </w:tcPr>
          <w:p>
            <w:pPr>
              <w:pStyle w:val="FigureText"/>
            </w:pPr>
            <w:r>
              <w:rPr>
                <w:rFonts w:ascii="Times New Roman" w:hAnsi="Times New Roman" w:cs="Times New Roman"/>
              </w:rPr>
              <w:t>0.048</w:t>
            </w:r>
          </w:p>
        </w:tc>
        <w:tc>
          <w:tcPr>
            <w:tcW w:w="750" w:type="dxa"/>
          </w:tcPr>
          <w:p>
            <w:pPr>
              <w:pStyle w:val="FigureText"/>
            </w:pPr>
            <w:r>
              <w:rPr>
                <w:rFonts w:ascii="Times New Roman" w:hAnsi="Times New Roman" w:cs="Times New Roman"/>
              </w:rPr>
              <w:t>0.410</w:t>
            </w:r>
          </w:p>
        </w:tc>
        <w:tc>
          <w:tcPr>
            <w:tcW w:w="800" w:type="dxa"/>
          </w:tcPr>
          <w:p>
            <w:pPr>
              <w:pStyle w:val="FigureText"/>
            </w:pPr>
            <w:r>
              <w:rPr>
                <w:rFonts w:ascii="Times New Roman" w:hAnsi="Times New Roman" w:cs="Times New Roman"/>
              </w:rPr>
              <w:t>0.824</w:t>
            </w:r>
          </w:p>
        </w:tc>
      </w:tr>
      <w:tr>
        <w:tc>
          <w:tcPr>
            <w:tcW w:w="1800" w:type="dxa"/>
          </w:tcPr>
          <w:p>
            <w:pPr>
              <w:pStyle w:val="FigureText"/>
            </w:pPr>
            <w:r>
              <w:rPr>
                <w:rFonts w:ascii="Times New Roman" w:hAnsi="Times New Roman" w:cs="Times New Roman"/>
              </w:rPr>
              <w:t>Bipartite Matrix Factorization</w:t>
            </w:r>
            <w:r>
              <w:rPr>
                <w:rFonts w:hint="cs"/>
                <w:rtl/>
              </w:rPr>
              <w:t xml:space="preserve"> (</w:t>
            </w:r>
            <w:r>
              <w:rPr>
                <w:rFonts w:ascii="Times New Roman" w:hAnsi="Times New Roman" w:cs="Times New Roman"/>
              </w:rPr>
              <w:t>SVD</w:t>
            </w:r>
            <w:r>
              <w:rPr>
                <w:rFonts w:hint="cs"/>
                <w:rtl/>
              </w:rPr>
              <w:t>)</w:t>
            </w:r>
          </w:p>
        </w:tc>
        <w:tc>
          <w:tcPr>
            <w:tcW w:w="650" w:type="dxa"/>
          </w:tcPr>
          <w:p>
            <w:pPr>
              <w:pStyle w:val="FigureText"/>
            </w:pPr>
            <w:r>
              <w:rPr>
                <w:rFonts w:ascii="Times New Roman" w:hAnsi="Times New Roman" w:cs="Times New Roman"/>
              </w:rPr>
              <w:t>0.867</w:t>
            </w:r>
          </w:p>
        </w:tc>
        <w:tc>
          <w:tcPr>
            <w:tcW w:w="650" w:type="dxa"/>
          </w:tcPr>
          <w:p>
            <w:pPr>
              <w:pStyle w:val="FigureText"/>
            </w:pPr>
            <w:r>
              <w:rPr>
                <w:rFonts w:ascii="Times New Roman" w:hAnsi="Times New Roman" w:cs="Times New Roman"/>
              </w:rPr>
              <w:t>0.885</w:t>
            </w:r>
          </w:p>
        </w:tc>
        <w:tc>
          <w:tcPr>
            <w:tcW w:w="750" w:type="dxa"/>
          </w:tcPr>
          <w:p>
            <w:pPr>
              <w:pStyle w:val="FigureText"/>
            </w:pPr>
            <w:r>
              <w:rPr>
                <w:rFonts w:ascii="Times New Roman" w:hAnsi="Times New Roman" w:cs="Times New Roman"/>
              </w:rPr>
              <w:t>0.286</w:t>
            </w:r>
          </w:p>
        </w:tc>
        <w:tc>
          <w:tcPr>
            <w:tcW w:w="800" w:type="dxa"/>
          </w:tcPr>
          <w:p>
            <w:pPr>
              <w:pStyle w:val="FigureText"/>
            </w:pPr>
            <w:r>
              <w:rPr>
                <w:rFonts w:ascii="Times New Roman" w:hAnsi="Times New Roman" w:cs="Times New Roman"/>
              </w:rPr>
              <w:t>1.332</w:t>
            </w:r>
          </w:p>
        </w:tc>
      </w:tr>
      <w:tr>
        <w:tc>
          <w:tcPr>
            <w:tcW w:w="1800" w:type="dxa"/>
          </w:tcPr>
          <w:p>
            <w:pPr>
              <w:pStyle w:val="FigureText"/>
            </w:pPr>
            <w:r>
              <w:rPr>
                <w:rFonts w:ascii="Times New Roman" w:hAnsi="Times New Roman" w:cs="Times New Roman"/>
                <w:bCs/>
                <w:b/>
              </w:rPr>
              <w:t>Proposed HG-CAN</w:t>
            </w:r>
            <w:r>
              <w:rPr>
                <w:rFonts w:hint="cs"/>
                <w:bCs/>
                <w:b/>
                <w:rtl/>
              </w:rPr>
              <w:t xml:space="preserve"> (روش پیشنهادی)</w:t>
            </w:r>
          </w:p>
        </w:tc>
        <w:tc>
          <w:tcPr>
            <w:tcW w:w="650" w:type="dxa"/>
          </w:tcPr>
          <w:p>
            <w:pPr>
              <w:pStyle w:val="FigureText"/>
            </w:pPr>
            <w:r>
              <w:rPr>
                <w:rFonts w:ascii="Times New Roman" w:hAnsi="Times New Roman" w:cs="Times New Roman"/>
                <w:bCs/>
                <w:b/>
              </w:rPr>
              <w:t>0.867</w:t>
            </w:r>
          </w:p>
        </w:tc>
        <w:tc>
          <w:tcPr>
            <w:tcW w:w="650" w:type="dxa"/>
          </w:tcPr>
          <w:p>
            <w:pPr>
              <w:pStyle w:val="FigureText"/>
            </w:pPr>
            <w:r>
              <w:rPr>
                <w:rFonts w:ascii="Times New Roman" w:hAnsi="Times New Roman" w:cs="Times New Roman"/>
                <w:bCs/>
                <w:b/>
              </w:rPr>
              <w:t>0.885</w:t>
            </w:r>
          </w:p>
        </w:tc>
        <w:tc>
          <w:tcPr>
            <w:tcW w:w="750" w:type="dxa"/>
          </w:tcPr>
          <w:p>
            <w:pPr>
              <w:pStyle w:val="FigureText"/>
            </w:pPr>
            <w:r>
              <w:rPr>
                <w:rFonts w:ascii="Times New Roman" w:hAnsi="Times New Roman" w:cs="Times New Roman"/>
                <w:bCs/>
                <w:b/>
              </w:rPr>
              <w:t>0.192</w:t>
            </w:r>
          </w:p>
        </w:tc>
        <w:tc>
          <w:tcPr>
            <w:tcW w:w="800" w:type="dxa"/>
          </w:tcPr>
          <w:p>
            <w:pPr>
              <w:pStyle w:val="FigureText"/>
            </w:pPr>
            <w:r>
              <w:rPr>
                <w:rFonts w:ascii="Times New Roman" w:hAnsi="Times New Roman" w:cs="Times New Roman"/>
                <w:bCs/>
                <w:b/>
              </w:rPr>
              <w:t>1.906</w:t>
            </w:r>
          </w:p>
        </w:tc>
      </w:tr>
    </w:tbl>
    <w:p>
      <w:pPr>
        <w:pStyle w:val="Text1"/>
      </w:pPr>
      <w:r>
        <w:rPr>
          <w:rFonts w:hint="cs"/>
          <w:rtl/>
        </w:rPr>
        <w:t>همان‌گونه که در جدول (</w:t>
      </w:r>
      <w:r>
        <w:rPr>
          <w:rFonts w:ascii="Times New Roman" w:hAnsi="Times New Roman" w:cs="Times New Roman"/>
        </w:rPr>
        <w:t>1</w:t>
      </w:r>
      <w:r>
        <w:rPr>
          <w:rFonts w:hint="cs"/>
          <w:rtl/>
        </w:rPr>
        <w:t>) و شکل (</w:t>
      </w:r>
      <w:r>
        <w:rPr>
          <w:rFonts w:ascii="Times New Roman" w:hAnsi="Times New Roman" w:cs="Times New Roman"/>
        </w:rPr>
        <w:t>2</w:t>
      </w:r>
      <w:r>
        <w:rPr>
          <w:rFonts w:hint="cs"/>
          <w:rtl/>
        </w:rPr>
        <w:t xml:space="preserve">) مشخص است، روش سنتی </w:t>
      </w:r>
      <w:r>
        <w:rPr>
          <w:rFonts w:ascii="Times New Roman" w:hAnsi="Times New Roman" w:cs="Times New Roman"/>
        </w:rPr>
        <w:t>RFM</w:t>
      </w:r>
      <w:r>
        <w:rPr>
          <w:rFonts w:hint="cs"/>
          <w:rtl/>
        </w:rPr>
        <w:t xml:space="preserve"> به دلیل نادیده گرفتن ماهیت رابطه‌ای داده، نمره انطباق بسیار نازل </w:t>
      </w:r>
      <w:r>
        <w:rPr>
          <w:rFonts w:ascii="Times New Roman" w:hAnsi="Times New Roman" w:cs="Times New Roman"/>
        </w:rPr>
        <w:t>NMI</w:t>
      </w:r>
      <w:r>
        <w:rPr>
          <w:rFonts w:hint="cs"/>
          <w:rtl/>
        </w:rPr>
        <w:t xml:space="preserve"> = </w:t>
      </w:r>
      <w:r>
        <w:rPr>
          <w:rFonts w:ascii="Times New Roman" w:hAnsi="Times New Roman" w:cs="Times New Roman"/>
        </w:rPr>
        <w:t>0.175</w:t>
      </w:r>
      <w:r>
        <w:rPr>
          <w:rFonts w:hint="cs"/>
          <w:rtl/>
        </w:rPr>
        <w:t xml:space="preserve"> و </w:t>
      </w:r>
      <w:r>
        <w:rPr>
          <w:rFonts w:ascii="Times New Roman" w:hAnsi="Times New Roman" w:cs="Times New Roman"/>
        </w:rPr>
        <w:t>ARI</w:t>
      </w:r>
      <w:r>
        <w:rPr>
          <w:rFonts w:hint="cs"/>
          <w:rtl/>
        </w:rPr>
        <w:t xml:space="preserve"> = </w:t>
      </w:r>
      <w:r>
        <w:rPr>
          <w:rFonts w:ascii="Times New Roman" w:hAnsi="Times New Roman" w:cs="Times New Roman"/>
        </w:rPr>
        <w:t>0.048</w:t>
      </w:r>
      <w:r>
        <w:rPr>
          <w:rFonts w:hint="cs"/>
          <w:rtl/>
        </w:rPr>
        <w:t xml:space="preserve"> را حاصل کرده است. در مقابل، روش پیشنهادی </w:t>
      </w:r>
      <w:r>
        <w:rPr>
          <w:rFonts w:ascii="Times New Roman" w:hAnsi="Times New Roman" w:cs="Times New Roman"/>
        </w:rPr>
        <w:t>HG-CAN</w:t>
      </w:r>
      <w:r>
        <w:rPr>
          <w:rFonts w:hint="cs"/>
          <w:rtl/>
        </w:rPr>
        <w:t xml:space="preserve"> با دستیابی به </w:t>
      </w:r>
      <w:r>
        <w:rPr>
          <w:rFonts w:ascii="Times New Roman" w:hAnsi="Times New Roman" w:cs="Times New Roman"/>
        </w:rPr>
        <w:t>NMI</w:t>
      </w:r>
      <w:r>
        <w:rPr>
          <w:rFonts w:hint="cs"/>
          <w:rtl/>
        </w:rPr>
        <w:t xml:space="preserve"> = </w:t>
      </w:r>
      <w:r>
        <w:rPr>
          <w:rFonts w:ascii="Times New Roman" w:hAnsi="Times New Roman" w:cs="Times New Roman"/>
        </w:rPr>
        <w:t>0.867</w:t>
      </w:r>
      <w:r>
        <w:rPr>
          <w:rFonts w:hint="cs"/>
          <w:rtl/>
        </w:rPr>
        <w:t xml:space="preserve"> و </w:t>
      </w:r>
      <w:r>
        <w:rPr>
          <w:rFonts w:ascii="Times New Roman" w:hAnsi="Times New Roman" w:cs="Times New Roman"/>
        </w:rPr>
        <w:t>ARI</w:t>
      </w:r>
      <w:r>
        <w:rPr>
          <w:rFonts w:hint="cs"/>
          <w:rtl/>
        </w:rPr>
        <w:t xml:space="preserve"> = </w:t>
      </w:r>
      <w:r>
        <w:rPr>
          <w:rFonts w:ascii="Times New Roman" w:hAnsi="Times New Roman" w:cs="Times New Roman"/>
        </w:rPr>
        <w:t>0.885</w:t>
      </w:r>
      <w:r>
        <w:rPr>
          <w:rFonts w:hint="cs"/>
          <w:rtl/>
        </w:rPr>
        <w:t xml:space="preserve">، جهش خارق‌العاده ۳۹۶.۷ درصدی در </w:t>
      </w:r>
      <w:r>
        <w:rPr>
          <w:rFonts w:ascii="Times New Roman" w:hAnsi="Times New Roman" w:cs="Times New Roman"/>
        </w:rPr>
        <w:t>NMI</w:t>
      </w:r>
      <w:r>
        <w:rPr>
          <w:rFonts w:hint="cs"/>
          <w:rtl/>
        </w:rPr>
        <w:t xml:space="preserve"> و ۱۷۳۱.۶ درصدی در </w:t>
      </w:r>
      <w:r>
        <w:rPr>
          <w:rFonts w:ascii="Times New Roman" w:hAnsi="Times New Roman" w:cs="Times New Roman"/>
        </w:rPr>
        <w:t>ARI</w:t>
      </w:r>
      <w:r>
        <w:rPr>
          <w:rFonts w:hint="cs"/>
          <w:rtl/>
        </w:rPr>
        <w:t xml:space="preserve"> را به ارمغان آورده است. اگرچه شاخص </w:t>
      </w:r>
      <w:r>
        <w:rPr>
          <w:rFonts w:ascii="Times New Roman" w:hAnsi="Times New Roman" w:cs="Times New Roman"/>
        </w:rPr>
        <w:t>Silhouette</w:t>
      </w:r>
      <w:r>
        <w:rPr>
          <w:rFonts w:hint="cs"/>
          <w:rtl/>
        </w:rPr>
        <w:t xml:space="preserve"> روش </w:t>
      </w:r>
      <w:r>
        <w:rPr>
          <w:rFonts w:ascii="Times New Roman" w:hAnsi="Times New Roman" w:cs="Times New Roman"/>
        </w:rPr>
        <w:t>RFM</w:t>
      </w:r>
      <w:r>
        <w:rPr>
          <w:rFonts w:hint="cs"/>
          <w:rtl/>
        </w:rPr>
        <w:t xml:space="preserve"> بالاتر است، اما این فشردگی صرفاً ناشی از ماهیت هندسی اقلیدسی اعداد است و توانایی تمایز رفتاری واقعی ندارد.</w:t>
      </w:r>
    </w:p>
    <w:p>
      <w:pPr>
        <w:pStyle w:val="FigureText"/>
        <w:keepNext/>
      </w:pPr>
      <w:r>
        <w:drawing>
          <wp:inline xmlns:a="http://schemas.openxmlformats.org/drawingml/2006/main" xmlns:pic="http://schemas.openxmlformats.org/drawingml/2006/picture">
            <wp:extent cx="2664000" cy="2204981"/>
            <wp:docPr id="2" name="Picture 2"/>
            <wp:cNvGraphicFramePr>
              <a:graphicFrameLocks noChangeAspect="1"/>
            </wp:cNvGraphicFramePr>
            <a:graphic>
              <a:graphicData uri="http://schemas.openxmlformats.org/drawingml/2006/picture">
                <pic:pic>
                  <pic:nvPicPr>
                    <pic:cNvPr id="0" name="fig5_benchmark_fa.png"/>
                    <pic:cNvPicPr/>
                  </pic:nvPicPr>
                  <pic:blipFill>
                    <a:blip r:embed="rId22"/>
                    <a:stretch>
                      <a:fillRect/>
                    </a:stretch>
                  </pic:blipFill>
                  <pic:spPr>
                    <a:xfrm>
                      <a:off x="0" y="0"/>
                      <a:ext cx="2664000" cy="2204981"/>
                    </a:xfrm>
                    <a:prstGeom prst="rect"/>
                  </pic:spPr>
                </pic:pic>
              </a:graphicData>
            </a:graphic>
          </wp:inline>
        </w:drawing>
      </w:r>
    </w:p>
    <w:p>
      <w:pPr>
        <w:pStyle w:val="FigureCaption"/>
      </w:pPr>
      <w:r>
        <w:rPr>
          <w:rFonts w:hint="cs"/>
          <w:rtl/>
        </w:rPr>
        <w:t>شکل (</w:t>
      </w:r>
      <w:r>
        <w:rPr>
          <w:rFonts w:ascii="Times New Roman" w:hAnsi="Times New Roman" w:cs="Times New Roman"/>
        </w:rPr>
        <w:t>2</w:t>
      </w:r>
      <w:r>
        <w:rPr>
          <w:rFonts w:hint="cs"/>
          <w:rtl/>
        </w:rPr>
        <w:t>) : نمودار مقایسه معیارهای ارزیابی خوشه‌بندی</w:t>
      </w:r>
    </w:p>
    <w:p>
      <w:pPr>
        <w:pStyle w:val="Heading2"/>
      </w:pPr>
      <w:r>
        <w:rPr>
          <w:rFonts w:hint="cs"/>
          <w:rtl/>
        </w:rPr>
        <w:t>پرسوناهای سازمانی کشف‌شده</w:t>
      </w:r>
    </w:p>
    <w:p>
      <w:pPr>
        <w:pStyle w:val="Text1"/>
      </w:pPr>
      <w:r>
        <w:rPr>
          <w:rFonts w:hint="cs"/>
          <w:rtl/>
        </w:rPr>
        <w:t>جدول (</w:t>
      </w:r>
      <w:r>
        <w:rPr>
          <w:rFonts w:ascii="Times New Roman" w:hAnsi="Times New Roman" w:cs="Times New Roman"/>
        </w:rPr>
        <w:t>2</w:t>
      </w:r>
      <w:r>
        <w:rPr>
          <w:rFonts w:hint="cs"/>
          <w:rtl/>
        </w:rPr>
        <w:t>) مشخصات پنج پرسونای کشف‌شده توسط معماری پیشنهادی را همراه با صنف غالب و میانگین ارزش تراکنش گزارش می‌کند.</w:t>
      </w:r>
    </w:p>
    <w:p>
      <w:pPr>
        <w:pStyle w:val="FigureCaption"/>
      </w:pPr>
      <w:r>
        <w:rPr>
          <w:rFonts w:hint="cs"/>
          <w:rtl/>
        </w:rPr>
        <w:t>جدول (</w:t>
      </w:r>
      <w:r>
        <w:rPr>
          <w:rFonts w:ascii="Times New Roman" w:hAnsi="Times New Roman" w:cs="Times New Roman"/>
        </w:rPr>
        <w:t>2</w:t>
      </w:r>
      <w:r>
        <w:rPr>
          <w:rFonts w:hint="cs"/>
          <w:rtl/>
        </w:rPr>
        <w:t xml:space="preserve">) : پرسوناهای استراتژیک سازمانی کشف‌شده توسط چارچوب </w:t>
      </w:r>
      <w:r>
        <w:rPr>
          <w:rFonts w:ascii="Times New Roman" w:hAnsi="Times New Roman" w:cs="Times New Roman"/>
        </w:rPr>
        <w:t>HG-CAN</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400"/>
        <w:gridCol w:w="1500"/>
        <w:gridCol w:w="650"/>
        <w:gridCol w:w="850"/>
        <w:gridCol w:w="1250"/>
      </w:tblGrid>
      <w:tr>
        <w:tc>
          <w:tcPr>
            <w:tcW w:w="400" w:type="dxa"/>
          </w:tcPr>
          <w:p>
            <w:pPr>
              <w:pStyle w:val="FigureText"/>
            </w:pPr>
            <w:r>
              <w:rPr>
                <w:rFonts w:hint="cs"/>
                <w:bCs/>
                <w:b/>
                <w:rtl/>
              </w:rPr>
              <w:t>کد</w:t>
            </w:r>
          </w:p>
        </w:tc>
        <w:tc>
          <w:tcPr>
            <w:tcW w:w="1500" w:type="dxa"/>
          </w:tcPr>
          <w:p>
            <w:pPr>
              <w:pStyle w:val="FigureText"/>
            </w:pPr>
            <w:r>
              <w:rPr>
                <w:rFonts w:hint="cs"/>
                <w:bCs/>
                <w:b/>
                <w:rtl/>
              </w:rPr>
              <w:t>عنوان پرسونا</w:t>
            </w:r>
          </w:p>
        </w:tc>
        <w:tc>
          <w:tcPr>
            <w:tcW w:w="650" w:type="dxa"/>
          </w:tcPr>
          <w:p>
            <w:pPr>
              <w:pStyle w:val="FigureText"/>
            </w:pPr>
            <w:r>
              <w:rPr>
                <w:rFonts w:hint="cs"/>
                <w:bCs/>
                <w:b/>
                <w:rtl/>
              </w:rPr>
              <w:t>تعداد کارت</w:t>
            </w:r>
          </w:p>
        </w:tc>
        <w:tc>
          <w:tcPr>
            <w:tcW w:w="850" w:type="dxa"/>
          </w:tcPr>
          <w:p>
            <w:pPr>
              <w:pStyle w:val="FigureText"/>
            </w:pPr>
            <w:r>
              <w:rPr>
                <w:rFonts w:hint="cs"/>
                <w:bCs/>
                <w:b/>
                <w:rtl/>
              </w:rPr>
              <w:t>میانگین مبلغ (ریال)</w:t>
            </w:r>
          </w:p>
        </w:tc>
        <w:tc>
          <w:tcPr>
            <w:tcW w:w="1250" w:type="dxa"/>
          </w:tcPr>
          <w:p>
            <w:pPr>
              <w:pStyle w:val="FigureText"/>
            </w:pPr>
            <w:r>
              <w:rPr>
                <w:rFonts w:hint="cs"/>
                <w:bCs/>
                <w:b/>
                <w:rtl/>
              </w:rPr>
              <w:t>صنف غالب</w:t>
            </w:r>
          </w:p>
        </w:tc>
      </w:tr>
      <w:tr>
        <w:tc>
          <w:tcPr>
            <w:tcW w:w="400" w:type="dxa"/>
          </w:tcPr>
          <w:p>
            <w:pPr>
              <w:pStyle w:val="FigureText"/>
            </w:pPr>
            <w:r>
              <w:rPr>
                <w:rFonts w:ascii="Times New Roman" w:hAnsi="Times New Roman" w:cs="Times New Roman"/>
              </w:rPr>
              <w:t>0</w:t>
            </w:r>
          </w:p>
        </w:tc>
        <w:tc>
          <w:tcPr>
            <w:tcW w:w="1500" w:type="dxa"/>
          </w:tcPr>
          <w:p>
            <w:pPr>
              <w:pStyle w:val="FigureText"/>
            </w:pPr>
            <w:r>
              <w:rPr>
                <w:rFonts w:hint="cs"/>
                <w:rtl/>
              </w:rPr>
              <w:t>تجار و عمده‌فروشان آهن و مصالح صنعتی</w:t>
            </w:r>
          </w:p>
        </w:tc>
        <w:tc>
          <w:tcPr>
            <w:tcW w:w="650" w:type="dxa"/>
          </w:tcPr>
          <w:p>
            <w:pPr>
              <w:pStyle w:val="FigureText"/>
            </w:pPr>
            <w:r>
              <w:rPr>
                <w:rFonts w:ascii="Times New Roman" w:hAnsi="Times New Roman" w:cs="Times New Roman"/>
              </w:rPr>
              <w:t>289</w:t>
            </w:r>
          </w:p>
        </w:tc>
        <w:tc>
          <w:tcPr>
            <w:tcW w:w="850" w:type="dxa"/>
          </w:tcPr>
          <w:p>
            <w:pPr>
              <w:pStyle w:val="FigureText"/>
            </w:pPr>
            <w:r>
              <w:rPr>
                <w:rFonts w:ascii="Times New Roman" w:hAnsi="Times New Roman" w:cs="Times New Roman"/>
              </w:rPr>
              <w:t>36</w:t>
            </w:r>
            <w:r>
              <w:rPr>
                <w:rFonts w:hint="cs"/>
                <w:rtl/>
              </w:rPr>
              <w:t>,</w:t>
            </w:r>
            <w:r>
              <w:rPr>
                <w:rFonts w:ascii="Times New Roman" w:hAnsi="Times New Roman" w:cs="Times New Roman"/>
              </w:rPr>
              <w:t>829</w:t>
            </w:r>
            <w:r>
              <w:rPr>
                <w:rFonts w:hint="cs"/>
                <w:rtl/>
              </w:rPr>
              <w:t>,</w:t>
            </w:r>
            <w:r>
              <w:rPr>
                <w:rFonts w:ascii="Times New Roman" w:hAnsi="Times New Roman" w:cs="Times New Roman"/>
              </w:rPr>
              <w:t>280</w:t>
            </w:r>
          </w:p>
        </w:tc>
        <w:tc>
          <w:tcPr>
            <w:tcW w:w="1250" w:type="dxa"/>
          </w:tcPr>
          <w:p>
            <w:pPr>
              <w:pStyle w:val="FigureText"/>
            </w:pPr>
            <w:r>
              <w:rPr>
                <w:rFonts w:hint="cs"/>
                <w:rtl/>
              </w:rPr>
              <w:t>آهن‌آلات و مصالح صنعتی</w:t>
            </w:r>
          </w:p>
        </w:tc>
      </w:tr>
      <w:tr>
        <w:tc>
          <w:tcPr>
            <w:tcW w:w="400" w:type="dxa"/>
          </w:tcPr>
          <w:p>
            <w:pPr>
              <w:pStyle w:val="FigureText"/>
            </w:pPr>
            <w:r>
              <w:rPr>
                <w:rFonts w:ascii="Times New Roman" w:hAnsi="Times New Roman" w:cs="Times New Roman"/>
              </w:rPr>
              <w:t>1</w:t>
            </w:r>
          </w:p>
        </w:tc>
        <w:tc>
          <w:tcPr>
            <w:tcW w:w="1500" w:type="dxa"/>
          </w:tcPr>
          <w:p>
            <w:pPr>
              <w:pStyle w:val="FigureText"/>
            </w:pPr>
            <w:r>
              <w:rPr>
                <w:rFonts w:hint="cs"/>
                <w:rtl/>
              </w:rPr>
              <w:t>مایحتاج روزمره و مصرف خانوار</w:t>
            </w:r>
          </w:p>
        </w:tc>
        <w:tc>
          <w:tcPr>
            <w:tcW w:w="650" w:type="dxa"/>
          </w:tcPr>
          <w:p>
            <w:pPr>
              <w:pStyle w:val="FigureText"/>
            </w:pPr>
            <w:r>
              <w:rPr>
                <w:rFonts w:ascii="Times New Roman" w:hAnsi="Times New Roman" w:cs="Times New Roman"/>
              </w:rPr>
              <w:t>295</w:t>
            </w:r>
          </w:p>
        </w:tc>
        <w:tc>
          <w:tcPr>
            <w:tcW w:w="850" w:type="dxa"/>
          </w:tcPr>
          <w:p>
            <w:pPr>
              <w:pStyle w:val="FigureText"/>
            </w:pPr>
            <w:r>
              <w:rPr>
                <w:rFonts w:ascii="Times New Roman" w:hAnsi="Times New Roman" w:cs="Times New Roman"/>
              </w:rPr>
              <w:t>3</w:t>
            </w:r>
            <w:r>
              <w:rPr>
                <w:rFonts w:hint="cs"/>
                <w:rtl/>
              </w:rPr>
              <w:t>,</w:t>
            </w:r>
            <w:r>
              <w:rPr>
                <w:rFonts w:ascii="Times New Roman" w:hAnsi="Times New Roman" w:cs="Times New Roman"/>
              </w:rPr>
              <w:t>804</w:t>
            </w:r>
            <w:r>
              <w:rPr>
                <w:rFonts w:hint="cs"/>
                <w:rtl/>
              </w:rPr>
              <w:t>,</w:t>
            </w:r>
            <w:r>
              <w:rPr>
                <w:rFonts w:ascii="Times New Roman" w:hAnsi="Times New Roman" w:cs="Times New Roman"/>
              </w:rPr>
              <w:t>442</w:t>
            </w:r>
          </w:p>
        </w:tc>
        <w:tc>
          <w:tcPr>
            <w:tcW w:w="1250" w:type="dxa"/>
          </w:tcPr>
          <w:p>
            <w:pPr>
              <w:pStyle w:val="FigureText"/>
            </w:pPr>
            <w:r>
              <w:rPr>
                <w:rFonts w:hint="cs"/>
                <w:rtl/>
              </w:rPr>
              <w:t>سوپرمارکت و خواروبار</w:t>
            </w:r>
          </w:p>
        </w:tc>
      </w:tr>
      <w:tr>
        <w:tc>
          <w:tcPr>
            <w:tcW w:w="400" w:type="dxa"/>
          </w:tcPr>
          <w:p>
            <w:pPr>
              <w:pStyle w:val="FigureText"/>
            </w:pPr>
            <w:r>
              <w:rPr>
                <w:rFonts w:ascii="Times New Roman" w:hAnsi="Times New Roman" w:cs="Times New Roman"/>
              </w:rPr>
              <w:t>2</w:t>
            </w:r>
          </w:p>
        </w:tc>
        <w:tc>
          <w:tcPr>
            <w:tcW w:w="1500" w:type="dxa"/>
          </w:tcPr>
          <w:p>
            <w:pPr>
              <w:pStyle w:val="FigureText"/>
            </w:pPr>
            <w:r>
              <w:rPr>
                <w:rFonts w:hint="cs"/>
                <w:rtl/>
              </w:rPr>
              <w:t>سرمایه‌گذاران طلا و کالای لوکس</w:t>
            </w:r>
          </w:p>
        </w:tc>
        <w:tc>
          <w:tcPr>
            <w:tcW w:w="650" w:type="dxa"/>
          </w:tcPr>
          <w:p>
            <w:pPr>
              <w:pStyle w:val="FigureText"/>
            </w:pPr>
            <w:r>
              <w:rPr>
                <w:rFonts w:ascii="Times New Roman" w:hAnsi="Times New Roman" w:cs="Times New Roman"/>
              </w:rPr>
              <w:t>299</w:t>
            </w:r>
          </w:p>
        </w:tc>
        <w:tc>
          <w:tcPr>
            <w:tcW w:w="850" w:type="dxa"/>
          </w:tcPr>
          <w:p>
            <w:pPr>
              <w:pStyle w:val="FigureText"/>
            </w:pPr>
            <w:r>
              <w:rPr>
                <w:rFonts w:ascii="Times New Roman" w:hAnsi="Times New Roman" w:cs="Times New Roman"/>
              </w:rPr>
              <w:t>17</w:t>
            </w:r>
            <w:r>
              <w:rPr>
                <w:rFonts w:hint="cs"/>
                <w:rtl/>
              </w:rPr>
              <w:t>,</w:t>
            </w:r>
            <w:r>
              <w:rPr>
                <w:rFonts w:ascii="Times New Roman" w:hAnsi="Times New Roman" w:cs="Times New Roman"/>
              </w:rPr>
              <w:t>385</w:t>
            </w:r>
            <w:r>
              <w:rPr>
                <w:rFonts w:hint="cs"/>
                <w:rtl/>
              </w:rPr>
              <w:t>,</w:t>
            </w:r>
            <w:r>
              <w:rPr>
                <w:rFonts w:ascii="Times New Roman" w:hAnsi="Times New Roman" w:cs="Times New Roman"/>
              </w:rPr>
              <w:t>031</w:t>
            </w:r>
          </w:p>
        </w:tc>
        <w:tc>
          <w:tcPr>
            <w:tcW w:w="1250" w:type="dxa"/>
          </w:tcPr>
          <w:p>
            <w:pPr>
              <w:pStyle w:val="FigureText"/>
            </w:pPr>
            <w:r>
              <w:rPr>
                <w:rFonts w:hint="cs"/>
                <w:rtl/>
              </w:rPr>
              <w:t>طلافروشی</w:t>
            </w:r>
          </w:p>
        </w:tc>
      </w:tr>
      <w:tr>
        <w:tc>
          <w:tcPr>
            <w:tcW w:w="400" w:type="dxa"/>
          </w:tcPr>
          <w:p>
            <w:pPr>
              <w:pStyle w:val="FigureText"/>
            </w:pPr>
            <w:r>
              <w:rPr>
                <w:rFonts w:ascii="Times New Roman" w:hAnsi="Times New Roman" w:cs="Times New Roman"/>
              </w:rPr>
              <w:t>3</w:t>
            </w:r>
          </w:p>
        </w:tc>
        <w:tc>
          <w:tcPr>
            <w:tcW w:w="1500" w:type="dxa"/>
          </w:tcPr>
          <w:p>
            <w:pPr>
              <w:pStyle w:val="FigureText"/>
            </w:pPr>
            <w:r>
              <w:rPr>
                <w:rFonts w:hint="cs"/>
                <w:rtl/>
              </w:rPr>
              <w:t>مسافران و گردشگران پریمیوم</w:t>
            </w:r>
          </w:p>
        </w:tc>
        <w:tc>
          <w:tcPr>
            <w:tcW w:w="650" w:type="dxa"/>
          </w:tcPr>
          <w:p>
            <w:pPr>
              <w:pStyle w:val="FigureText"/>
            </w:pPr>
            <w:r>
              <w:rPr>
                <w:rFonts w:ascii="Times New Roman" w:hAnsi="Times New Roman" w:cs="Times New Roman"/>
              </w:rPr>
              <w:t>299</w:t>
            </w:r>
          </w:p>
        </w:tc>
        <w:tc>
          <w:tcPr>
            <w:tcW w:w="850" w:type="dxa"/>
          </w:tcPr>
          <w:p>
            <w:pPr>
              <w:pStyle w:val="FigureText"/>
            </w:pPr>
            <w:r>
              <w:rPr>
                <w:rFonts w:ascii="Times New Roman" w:hAnsi="Times New Roman" w:cs="Times New Roman"/>
              </w:rPr>
              <w:t>10</w:t>
            </w:r>
            <w:r>
              <w:rPr>
                <w:rFonts w:hint="cs"/>
                <w:rtl/>
              </w:rPr>
              <w:t>,</w:t>
            </w:r>
            <w:r>
              <w:rPr>
                <w:rFonts w:ascii="Times New Roman" w:hAnsi="Times New Roman" w:cs="Times New Roman"/>
              </w:rPr>
              <w:t>432</w:t>
            </w:r>
            <w:r>
              <w:rPr>
                <w:rFonts w:hint="cs"/>
                <w:rtl/>
              </w:rPr>
              <w:t>,</w:t>
            </w:r>
            <w:r>
              <w:rPr>
                <w:rFonts w:ascii="Times New Roman" w:hAnsi="Times New Roman" w:cs="Times New Roman"/>
              </w:rPr>
              <w:t>221</w:t>
            </w:r>
          </w:p>
        </w:tc>
        <w:tc>
          <w:tcPr>
            <w:tcW w:w="1250" w:type="dxa"/>
          </w:tcPr>
          <w:p>
            <w:pPr>
              <w:pStyle w:val="FigureText"/>
            </w:pPr>
            <w:r>
              <w:rPr>
                <w:rFonts w:hint="cs"/>
                <w:rtl/>
              </w:rPr>
              <w:t>آژانس مسافرتی و گردشگری</w:t>
            </w:r>
          </w:p>
        </w:tc>
      </w:tr>
      <w:tr>
        <w:tc>
          <w:tcPr>
            <w:tcW w:w="400" w:type="dxa"/>
          </w:tcPr>
          <w:p>
            <w:pPr>
              <w:pStyle w:val="FigureText"/>
            </w:pPr>
            <w:r>
              <w:rPr>
                <w:rFonts w:ascii="Times New Roman" w:hAnsi="Times New Roman" w:cs="Times New Roman"/>
              </w:rPr>
              <w:t>4</w:t>
            </w:r>
          </w:p>
        </w:tc>
        <w:tc>
          <w:tcPr>
            <w:tcW w:w="1500" w:type="dxa"/>
          </w:tcPr>
          <w:p>
            <w:pPr>
              <w:pStyle w:val="FigureText"/>
            </w:pPr>
            <w:r>
              <w:rPr>
                <w:rFonts w:hint="cs"/>
                <w:rtl/>
              </w:rPr>
              <w:t>مصرف‌کنندگان خدمات پزشکی و سلامت</w:t>
            </w:r>
          </w:p>
        </w:tc>
        <w:tc>
          <w:tcPr>
            <w:tcW w:w="650" w:type="dxa"/>
          </w:tcPr>
          <w:p>
            <w:pPr>
              <w:pStyle w:val="FigureText"/>
            </w:pPr>
            <w:r>
              <w:rPr>
                <w:rFonts w:ascii="Times New Roman" w:hAnsi="Times New Roman" w:cs="Times New Roman"/>
              </w:rPr>
              <w:t>298</w:t>
            </w:r>
          </w:p>
        </w:tc>
        <w:tc>
          <w:tcPr>
            <w:tcW w:w="850" w:type="dxa"/>
          </w:tcPr>
          <w:p>
            <w:pPr>
              <w:pStyle w:val="FigureText"/>
            </w:pPr>
            <w:r>
              <w:rPr>
                <w:rFonts w:ascii="Times New Roman" w:hAnsi="Times New Roman" w:cs="Times New Roman"/>
              </w:rPr>
              <w:t>4</w:t>
            </w:r>
            <w:r>
              <w:rPr>
                <w:rFonts w:hint="cs"/>
                <w:rtl/>
              </w:rPr>
              <w:t>,</w:t>
            </w:r>
            <w:r>
              <w:rPr>
                <w:rFonts w:ascii="Times New Roman" w:hAnsi="Times New Roman" w:cs="Times New Roman"/>
              </w:rPr>
              <w:t>051</w:t>
            </w:r>
            <w:r>
              <w:rPr>
                <w:rFonts w:hint="cs"/>
                <w:rtl/>
              </w:rPr>
              <w:t>,</w:t>
            </w:r>
            <w:r>
              <w:rPr>
                <w:rFonts w:ascii="Times New Roman" w:hAnsi="Times New Roman" w:cs="Times New Roman"/>
              </w:rPr>
              <w:t>956</w:t>
            </w:r>
          </w:p>
        </w:tc>
        <w:tc>
          <w:tcPr>
            <w:tcW w:w="1250" w:type="dxa"/>
          </w:tcPr>
          <w:p>
            <w:pPr>
              <w:pStyle w:val="FigureText"/>
            </w:pPr>
            <w:r>
              <w:rPr>
                <w:rFonts w:hint="cs"/>
                <w:rtl/>
              </w:rPr>
              <w:t>خدمات پزشکی و داروخانه</w:t>
            </w:r>
          </w:p>
        </w:tc>
      </w:tr>
    </w:tbl>
    <w:p>
      <w:pPr>
        <w:pStyle w:val="FigureText"/>
        <w:keepNext/>
      </w:pPr>
      <w:r>
        <w:drawing>
          <wp:inline xmlns:a="http://schemas.openxmlformats.org/drawingml/2006/main" xmlns:pic="http://schemas.openxmlformats.org/drawingml/2006/picture">
            <wp:extent cx="2664000" cy="2425625"/>
            <wp:docPr id="3" name="Picture 3"/>
            <wp:cNvGraphicFramePr>
              <a:graphicFrameLocks noChangeAspect="1"/>
            </wp:cNvGraphicFramePr>
            <a:graphic>
              <a:graphicData uri="http://schemas.openxmlformats.org/drawingml/2006/picture">
                <pic:pic>
                  <pic:nvPicPr>
                    <pic:cNvPr id="0" name="fig2_topology_fa.png"/>
                    <pic:cNvPicPr/>
                  </pic:nvPicPr>
                  <pic:blipFill>
                    <a:blip r:embed="rId23"/>
                    <a:stretch>
                      <a:fillRect/>
                    </a:stretch>
                  </pic:blipFill>
                  <pic:spPr>
                    <a:xfrm>
                      <a:off x="0" y="0"/>
                      <a:ext cx="2664000" cy="2425625"/>
                    </a:xfrm>
                    <a:prstGeom prst="rect"/>
                  </pic:spPr>
                </pic:pic>
              </a:graphicData>
            </a:graphic>
          </wp:inline>
        </w:drawing>
      </w:r>
    </w:p>
    <w:p>
      <w:pPr>
        <w:pStyle w:val="FigureCaption"/>
      </w:pPr>
      <w:r>
        <w:rPr>
          <w:rFonts w:hint="cs"/>
          <w:rtl/>
        </w:rPr>
        <w:t>شکل (</w:t>
      </w:r>
      <w:r>
        <w:rPr>
          <w:rFonts w:ascii="Times New Roman" w:hAnsi="Times New Roman" w:cs="Times New Roman"/>
        </w:rPr>
        <w:t>3</w:t>
      </w:r>
      <w:r>
        <w:rPr>
          <w:rFonts w:hint="cs"/>
          <w:rtl/>
        </w:rPr>
        <w:t>) : گراف هم‌رخدادی و بازنمایی دوبعدی کارت‌های بانکی با تفکیک پرسونا</w:t>
      </w:r>
    </w:p>
    <w:p>
      <w:pPr>
        <w:pStyle w:val="FigureText"/>
        <w:keepNext/>
      </w:pPr>
      <w:r>
        <w:drawing>
          <wp:inline xmlns:a="http://schemas.openxmlformats.org/drawingml/2006/main" xmlns:pic="http://schemas.openxmlformats.org/drawingml/2006/picture">
            <wp:extent cx="2736000" cy="2380298"/>
            <wp:docPr id="4" name="Picture 4"/>
            <wp:cNvGraphicFramePr>
              <a:graphicFrameLocks noChangeAspect="1"/>
            </wp:cNvGraphicFramePr>
            <a:graphic>
              <a:graphicData uri="http://schemas.openxmlformats.org/drawingml/2006/picture">
                <pic:pic>
                  <pic:nvPicPr>
                    <pic:cNvPr id="0" name="fig3_guild_heatmap_fa.png"/>
                    <pic:cNvPicPr/>
                  </pic:nvPicPr>
                  <pic:blipFill>
                    <a:blip r:embed="rId24"/>
                    <a:stretch>
                      <a:fillRect/>
                    </a:stretch>
                  </pic:blipFill>
                  <pic:spPr>
                    <a:xfrm>
                      <a:off x="0" y="0"/>
                      <a:ext cx="2736000" cy="2380298"/>
                    </a:xfrm>
                    <a:prstGeom prst="rect"/>
                  </pic:spPr>
                </pic:pic>
              </a:graphicData>
            </a:graphic>
          </wp:inline>
        </w:drawing>
      </w:r>
    </w:p>
    <w:p>
      <w:pPr>
        <w:pStyle w:val="FigureCaption"/>
      </w:pPr>
      <w:r>
        <w:rPr>
          <w:rFonts w:hint="cs"/>
          <w:rtl/>
        </w:rPr>
        <w:t>شکل (</w:t>
      </w:r>
      <w:r>
        <w:rPr>
          <w:rFonts w:ascii="Times New Roman" w:hAnsi="Times New Roman" w:cs="Times New Roman"/>
        </w:rPr>
        <w:t>4</w:t>
      </w:r>
      <w:r>
        <w:rPr>
          <w:rFonts w:hint="cs"/>
          <w:rtl/>
        </w:rPr>
        <w:t>) : نقشه حرارتی توزیع تراکنش‌های هر پرسونا در اصناف تجاری (درصد)</w:t>
      </w:r>
    </w:p>
    <w:p>
      <w:pPr>
        <w:pStyle w:val="Text1"/>
      </w:pPr>
      <w:r>
        <w:rPr>
          <w:rFonts w:hint="cs"/>
          <w:rtl/>
        </w:rPr>
        <w:t>تحلیل رفتاری نشان می‌دهد پرسونای «تجار و عمده‌فروشان آهن و مصالح صنعتی» با میانگین تراکنش ۳۶.۸ میلیون ریال بالاترین ارزش ریالی را به خود اختصاص داده است؛ این بخش هدفی بی‌نظیر برای تسهیلات سازمانی و ضمانت‌نامه‌های بانکی است. پرسونای «سرمایه‌گذاران طلا و کالای لوکس» با میانگین ۱۷.۴ میلیون ریال مخاطب اصلی خدمات صکوک و تسهیلات با پشتوانه طلاست. پرسونای «مسافران و گردشگران پریمیوم» با میانگین ۱۰.۴ میلیون ریال در آژانس‌های مسافرتی فعال بوده و پرسونای «مایحتاج روزمره و مصرف خانوار» با تکرار بالا در سوپرمارکت‌ها تمرکز دارد. شکل (</w:t>
      </w:r>
      <w:r>
        <w:rPr>
          <w:rFonts w:ascii="Times New Roman" w:hAnsi="Times New Roman" w:cs="Times New Roman"/>
        </w:rPr>
        <w:t>5</w:t>
      </w:r>
      <w:r>
        <w:rPr>
          <w:rFonts w:hint="cs"/>
          <w:rtl/>
        </w:rPr>
        <w:t>) تفاوت چندبعدی پرسوناها را بر روی نمودار راداری مصورسازی می‌نماید.</w:t>
      </w:r>
    </w:p>
    <w:p>
      <w:pPr>
        <w:pStyle w:val="FigureText"/>
        <w:keepNext/>
      </w:pPr>
      <w:r>
        <w:drawing>
          <wp:inline xmlns:a="http://schemas.openxmlformats.org/drawingml/2006/main" xmlns:pic="http://schemas.openxmlformats.org/drawingml/2006/picture">
            <wp:extent cx="2592000" cy="2786400"/>
            <wp:docPr id="5" name="Picture 5"/>
            <wp:cNvGraphicFramePr>
              <a:graphicFrameLocks noChangeAspect="1"/>
            </wp:cNvGraphicFramePr>
            <a:graphic>
              <a:graphicData uri="http://schemas.openxmlformats.org/drawingml/2006/picture">
                <pic:pic>
                  <pic:nvPicPr>
                    <pic:cNvPr id="0" name="fig4_radar_fa.png"/>
                    <pic:cNvPicPr/>
                  </pic:nvPicPr>
                  <pic:blipFill>
                    <a:blip r:embed="rId25"/>
                    <a:stretch>
                      <a:fillRect/>
                    </a:stretch>
                  </pic:blipFill>
                  <pic:spPr>
                    <a:xfrm>
                      <a:off x="0" y="0"/>
                      <a:ext cx="2592000" cy="2786400"/>
                    </a:xfrm>
                    <a:prstGeom prst="rect"/>
                  </pic:spPr>
                </pic:pic>
              </a:graphicData>
            </a:graphic>
          </wp:inline>
        </w:drawing>
      </w:r>
    </w:p>
    <w:p>
      <w:pPr>
        <w:pStyle w:val="FigureCaption"/>
      </w:pPr>
      <w:r>
        <w:rPr>
          <w:rFonts w:hint="cs"/>
          <w:rtl/>
        </w:rPr>
        <w:t>شکل (</w:t>
      </w:r>
      <w:r>
        <w:rPr>
          <w:rFonts w:ascii="Times New Roman" w:hAnsi="Times New Roman" w:cs="Times New Roman"/>
        </w:rPr>
        <w:t>5</w:t>
      </w:r>
      <w:r>
        <w:rPr>
          <w:rFonts w:hint="cs"/>
          <w:rtl/>
        </w:rPr>
        <w:t>) : پروفایل ویژگی‌های چندگانه پرسوناهای سازمانی کشف‌شده</w:t>
      </w:r>
    </w:p>
    <w:p>
      <w:pPr>
        <w:pStyle w:val="Heading1"/>
      </w:pPr>
      <w:r>
        <w:rPr>
          <w:rFonts w:hint="cs"/>
          <w:rtl/>
        </w:rPr>
        <w:t>نتیجه‌گیری</w:t>
      </w:r>
    </w:p>
    <w:p>
      <w:pPr>
        <w:pStyle w:val="Text1"/>
      </w:pPr>
      <w:r>
        <w:rPr>
          <w:rFonts w:hint="cs"/>
          <w:rtl/>
        </w:rPr>
        <w:t xml:space="preserve">در این مقاله چارچوب معماری نوین </w:t>
      </w:r>
      <w:r>
        <w:rPr>
          <w:rFonts w:ascii="Times New Roman" w:hAnsi="Times New Roman" w:cs="Times New Roman"/>
        </w:rPr>
        <w:t>HG-CAN</w:t>
      </w:r>
      <w:r>
        <w:rPr>
          <w:rFonts w:hint="cs"/>
          <w:rtl/>
        </w:rPr>
        <w:t xml:space="preserve"> برای تبدیل رکوردهای خام تراکنش به هوشمندی استراتژیک سازمانی ارائه گردید. نوآوری اصلی طرح، به‌کارگیری انحنای گسسته فرمن-ریچی در یک شبکه عصبی گراف توجه‌محور چندسر بود که موجب حل چالش گلوگاه‌های توپولوژیک و یادگیری بازنمایی بسیار تفکیک‌پذیر گردید. این سیستم با دستیابی به </w:t>
      </w:r>
      <w:r>
        <w:rPr>
          <w:rFonts w:ascii="Times New Roman" w:hAnsi="Times New Roman" w:cs="Times New Roman"/>
        </w:rPr>
        <w:t>NMI</w:t>
      </w:r>
      <w:r>
        <w:rPr>
          <w:rFonts w:hint="cs"/>
          <w:rtl/>
        </w:rPr>
        <w:t xml:space="preserve"> معادل ۰.۸۶۷ عملاً خط‌مبنای سنتی </w:t>
      </w:r>
      <w:r>
        <w:rPr>
          <w:rFonts w:ascii="Times New Roman" w:hAnsi="Times New Roman" w:cs="Times New Roman"/>
        </w:rPr>
        <w:t>RFM</w:t>
      </w:r>
      <w:r>
        <w:rPr>
          <w:rFonts w:hint="cs"/>
          <w:rtl/>
        </w:rPr>
        <w:t xml:space="preserve"> را پشت سر گذاشت. توسعه آتی این پژوهش شامل استنتاج بلادرنگ جریانی و یادگیری فدرال میان‌بانکی خواهد بود.</w:t>
      </w:r>
    </w:p>
    <w:p>
      <w:pPr>
        <w:pStyle w:val="Heading0"/>
      </w:pPr>
      <w:r>
        <w:rPr>
          <w:rFonts w:hint="cs"/>
          <w:rtl/>
        </w:rPr>
        <w:t>مراجع</w:t>
      </w:r>
    </w:p>
    <w:p>
      <w:pPr>
        <w:pStyle w:val="ENREF"/>
      </w:pPr>
      <w:r>
        <w:rPr>
          <w:rFonts w:ascii="Times New Roman" w:hAnsi="Times New Roman" w:cs="Times New Roman"/>
        </w:rPr>
        <w:t xml:space="preserve">V. D. Blondel, J.-L. Guillaume, R. Lambiotte, E. Lefebvre, "Fast unfolding of communities in large networks", </w:t>
      </w:r>
      <w:r>
        <w:rPr>
          <w:rFonts w:ascii="Times New Roman" w:hAnsi="Times New Roman" w:cs="Times New Roman"/>
          <w:iCs/>
          <w:i/>
        </w:rPr>
        <w:t>Journal of Statistical Mechanics: Theory and Experiment</w:t>
      </w:r>
      <w:r>
        <w:rPr>
          <w:rFonts w:ascii="Times New Roman" w:hAnsi="Times New Roman" w:cs="Times New Roman"/>
        </w:rPr>
        <w:t>, Vol. 2008, No. 10, P10008, 2008.</w:t>
      </w:r>
    </w:p>
    <w:p>
      <w:pPr>
        <w:pStyle w:val="ENREF"/>
      </w:pPr>
      <w:r>
        <w:rPr>
          <w:rFonts w:ascii="Times New Roman" w:hAnsi="Times New Roman" w:cs="Times New Roman"/>
        </w:rPr>
        <w:t xml:space="preserve">M. M. Bronstein, J. Bruna, Y. LeCun, A. Szlam, P. Vandergheynst, "Geometric deep learning: Going beyond Euclidean data", </w:t>
      </w:r>
      <w:r>
        <w:rPr>
          <w:rFonts w:ascii="Times New Roman" w:hAnsi="Times New Roman" w:cs="Times New Roman"/>
          <w:iCs/>
          <w:i/>
        </w:rPr>
        <w:t>IEEE Signal Processing Magazine</w:t>
      </w:r>
      <w:r>
        <w:rPr>
          <w:rFonts w:ascii="Times New Roman" w:hAnsi="Times New Roman" w:cs="Times New Roman"/>
        </w:rPr>
        <w:t>, Vol. 34, No. 4, pp. 18-42, 2017.</w:t>
      </w:r>
    </w:p>
    <w:p>
      <w:pPr>
        <w:pStyle w:val="ENREF"/>
      </w:pPr>
      <w:r>
        <w:rPr>
          <w:rFonts w:ascii="Times New Roman" w:hAnsi="Times New Roman" w:cs="Times New Roman"/>
        </w:rPr>
        <w:t xml:space="preserve">A. Grover, J. Leskovec, "node2vec: Scalable feature learning for networks", </w:t>
      </w:r>
      <w:r>
        <w:rPr>
          <w:rFonts w:ascii="Times New Roman" w:hAnsi="Times New Roman" w:cs="Times New Roman"/>
          <w:iCs/>
          <w:i/>
        </w:rPr>
        <w:t>Proc. 22nd ACM SIGKDD Int. Conf. on Knowledge Discovery and Data Mining</w:t>
      </w:r>
      <w:r>
        <w:rPr>
          <w:rFonts w:ascii="Times New Roman" w:hAnsi="Times New Roman" w:cs="Times New Roman"/>
        </w:rPr>
        <w:t>, pp. 855-864, 2016.</w:t>
      </w:r>
    </w:p>
    <w:p>
      <w:pPr>
        <w:pStyle w:val="ENREF"/>
      </w:pPr>
      <w:r>
        <w:rPr>
          <w:rFonts w:ascii="Times New Roman" w:hAnsi="Times New Roman" w:cs="Times New Roman"/>
        </w:rPr>
        <w:t xml:space="preserve">W. L. Hamilton, R. Ying, J. Leskovec, "Inductive representation learning on large graphs", </w:t>
      </w:r>
      <w:r>
        <w:rPr>
          <w:rFonts w:ascii="Times New Roman" w:hAnsi="Times New Roman" w:cs="Times New Roman"/>
          <w:iCs/>
          <w:i/>
        </w:rPr>
        <w:t>Advances in Neural Information Processing Systems 30 (NeurIPS)</w:t>
      </w:r>
      <w:r>
        <w:rPr>
          <w:rFonts w:ascii="Times New Roman" w:hAnsi="Times New Roman" w:cs="Times New Roman"/>
        </w:rPr>
        <w:t>, pp. 1024-1034, 2017.</w:t>
      </w:r>
    </w:p>
    <w:p>
      <w:pPr>
        <w:pStyle w:val="ENREF"/>
      </w:pPr>
      <w:r>
        <w:rPr>
          <w:rFonts w:ascii="Times New Roman" w:hAnsi="Times New Roman" w:cs="Times New Roman"/>
        </w:rPr>
        <w:t xml:space="preserve">A. M. Hughes, </w:t>
      </w:r>
      <w:r>
        <w:rPr>
          <w:rFonts w:ascii="Times New Roman" w:hAnsi="Times New Roman" w:cs="Times New Roman"/>
          <w:iCs/>
          <w:i/>
        </w:rPr>
        <w:t>Strategic Database Marketing</w:t>
      </w:r>
      <w:r>
        <w:rPr>
          <w:rFonts w:ascii="Times New Roman" w:hAnsi="Times New Roman" w:cs="Times New Roman"/>
        </w:rPr>
        <w:t>, 3rd ed., McGraw-Hill, 2005.</w:t>
      </w:r>
    </w:p>
    <w:p>
      <w:pPr>
        <w:pStyle w:val="ENREF"/>
      </w:pPr>
      <w:r>
        <w:rPr>
          <w:rFonts w:ascii="Times New Roman" w:hAnsi="Times New Roman" w:cs="Times New Roman"/>
        </w:rPr>
        <w:t xml:space="preserve">T. N. Kipf, M. Welling, "Variational graph auto-encoders", </w:t>
      </w:r>
      <w:r>
        <w:rPr>
          <w:rFonts w:ascii="Times New Roman" w:hAnsi="Times New Roman" w:cs="Times New Roman"/>
          <w:iCs/>
          <w:i/>
        </w:rPr>
        <w:t>NIPS Workshop on Bayesian Deep Learning</w:t>
      </w:r>
      <w:r>
        <w:rPr>
          <w:rFonts w:ascii="Times New Roman" w:hAnsi="Times New Roman" w:cs="Times New Roman"/>
        </w:rPr>
        <w:t>, 2016.</w:t>
      </w:r>
    </w:p>
    <w:p>
      <w:pPr>
        <w:pStyle w:val="ENREF"/>
      </w:pPr>
      <w:r>
        <w:rPr>
          <w:rFonts w:ascii="Times New Roman" w:hAnsi="Times New Roman" w:cs="Times New Roman"/>
        </w:rPr>
        <w:t xml:space="preserve">T. N. Kipf, M. Welling, "Semi-supervised classification with graph convolutional networks", </w:t>
      </w:r>
      <w:r>
        <w:rPr>
          <w:rFonts w:ascii="Times New Roman" w:hAnsi="Times New Roman" w:cs="Times New Roman"/>
          <w:iCs/>
          <w:i/>
        </w:rPr>
        <w:t>Proc. 5th Int. Conf. on Learning Representations (ICLR)</w:t>
      </w:r>
      <w:r>
        <w:rPr>
          <w:rFonts w:ascii="Times New Roman" w:hAnsi="Times New Roman" w:cs="Times New Roman"/>
        </w:rPr>
        <w:t>, 2017.</w:t>
      </w:r>
    </w:p>
    <w:p>
      <w:pPr>
        <w:pStyle w:val="ENREF"/>
      </w:pPr>
      <w:r>
        <w:rPr>
          <w:rFonts w:ascii="Times New Roman" w:hAnsi="Times New Roman" w:cs="Times New Roman"/>
        </w:rPr>
        <w:t xml:space="preserve">P. Veličković, G. Cucurull, A. Casanova, A. Romero, P. Liò, Y. Bengio, "Graph attention networks", </w:t>
      </w:r>
      <w:r>
        <w:rPr>
          <w:rFonts w:ascii="Times New Roman" w:hAnsi="Times New Roman" w:cs="Times New Roman"/>
          <w:iCs/>
          <w:i/>
        </w:rPr>
        <w:t>Proc. 6th Int. Conf. on Learning Representations (ICLR)</w:t>
      </w:r>
      <w:r>
        <w:rPr>
          <w:rFonts w:ascii="Times New Roman" w:hAnsi="Times New Roman" w:cs="Times New Roman"/>
        </w:rPr>
        <w:t>, 2018.</w:t>
      </w:r>
    </w:p>
    <w:p>
      <w:pPr>
        <w:pStyle w:val="ENREF"/>
      </w:pPr>
      <w:r>
        <w:rPr>
          <w:rFonts w:ascii="Times New Roman" w:hAnsi="Times New Roman" w:cs="Times New Roman"/>
        </w:rPr>
        <w:t xml:space="preserve">M. Weber, G. Domeniconi, J. Chen, D. K. I. Weidele, C. Bellei, T. Robinson, C. E. Leiserson, "Anti-money laundering in Bitcoin: Experimenting with graph convolutional networks for financial forensics", </w:t>
      </w:r>
      <w:r>
        <w:rPr>
          <w:rFonts w:ascii="Times New Roman" w:hAnsi="Times New Roman" w:cs="Times New Roman"/>
          <w:iCs/>
          <w:i/>
        </w:rPr>
        <w:t>KDD Workshop on Anomaly Detection in Finance</w:t>
      </w:r>
      <w:r>
        <w:rPr>
          <w:rFonts w:ascii="Times New Roman" w:hAnsi="Times New Roman" w:cs="Times New Roman"/>
        </w:rPr>
        <w:t>, 2019.</w:t>
      </w:r>
    </w:p>
    <w:p>
      <w:pPr>
        <w:pStyle w:val="ENREF"/>
      </w:pPr>
      <w:r>
        <w:rPr>
          <w:rFonts w:ascii="Times New Roman" w:hAnsi="Times New Roman" w:cs="Times New Roman"/>
        </w:rPr>
        <w:t xml:space="preserve">Z. Wu, S. Pan, F. Chen, G. Long, C. Zhang, P. S. Yu, "A comprehensive survey on graph neural networks", </w:t>
      </w:r>
      <w:r>
        <w:rPr>
          <w:rFonts w:ascii="Times New Roman" w:hAnsi="Times New Roman" w:cs="Times New Roman"/>
          <w:iCs/>
          <w:i/>
        </w:rPr>
        <w:t>IEEE Transactions on Neural Networks and Learning Systems</w:t>
      </w:r>
      <w:r>
        <w:rPr>
          <w:rFonts w:ascii="Times New Roman" w:hAnsi="Times New Roman" w:cs="Times New Roman"/>
        </w:rPr>
        <w:t>, Vol. 32, No. 1, pp. 4-24, 2021.</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2977" w:right="1134" w:bottom="1418"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BD884" w14:textId="77777777" w:rsidR="002D1D23" w:rsidRDefault="002D1D23">
    <w:pPr>
      <w:pStyle w:val="Footer"/>
    </w:pPr>
    <w:r>
      <w:rPr>
        <w:noProof/>
      </w:rPr>
      <w:pict w14:anchorId="7112C3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left:0;text-align:left;margin-left:222pt;margin-top:-68.05pt;width:23.25pt;height:81pt;z-index:-251660288">
          <v:imagedata r:id="rId1" o:titl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A8B92" w14:textId="77777777" w:rsidR="00CF38B6" w:rsidRDefault="00CF38B6">
    <w:pPr>
      <w:pStyle w:val="Footer"/>
    </w:pPr>
    <w:r>
      <w:rPr>
        <w:noProof/>
      </w:rPr>
      <w:pict w14:anchorId="3842E9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6" type="#_x0000_t75" style="position:absolute;left:0;text-align:left;margin-left:220.45pt;margin-top:-32pt;width:23.25pt;height:81pt;z-index:-251659264">
          <v:imagedata r:id="rId1" o:titl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580FA" w14:textId="77777777" w:rsidR="0000628F" w:rsidRPr="006832B4" w:rsidRDefault="00A37AEF" w:rsidP="00A3697A">
    <w:pPr>
      <w:pStyle w:val="Header"/>
      <w:ind w:hanging="1134"/>
      <w:rPr>
        <w:rFonts w:hint="cs"/>
        <w:rtl/>
      </w:rPr>
    </w:pPr>
    <w:r>
      <w:rPr>
        <w:rFonts w:hint="cs"/>
        <w:noProof/>
        <w:rtl/>
        <w:lang w:val="fa-IR"/>
      </w:rPr>
      <w:pict w14:anchorId="77EC1D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7" type="#_x0000_t75" style="position:absolute;left:0;text-align:left;margin-left:-56.15pt;margin-top:-4.2pt;width:595.3pt;height:140.95pt;z-index:251659264">
          <v:imagedata r:id="rId1" o:title="سربرگ مقاله"/>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Nazanin"/>
      <w:sz w:val="24"/>
      <w:szCs w:val="24"/>
      <w:lang w:bidi="fa-IR"/>
    </w:rPr>
  </w:style>
  <w:style w:type="paragraph" w:styleId="Heading1">
    <w:name w:val="heading 1"/>
    <w:basedOn w:val="Normal"/>
    <w:next w:val="Normal"/>
    <w:qFormat/>
    <w:rsid w:val="002C23C8"/>
    <w:pPr>
      <w:keepNext/>
      <w:numPr>
        <w:numId w:val="27"/>
      </w:numPr>
      <w:spacing w:before="240" w:after="60"/>
      <w:outlineLvl w:val="0"/>
    </w:pPr>
    <w:rPr>
      <w:rFonts w:cs="B Mitra"/>
      <w:b/>
      <w:bCs/>
      <w:kern w:val="32"/>
      <w:sz w:val="26"/>
      <w:szCs w:val="28"/>
    </w:rPr>
  </w:style>
  <w:style w:type="paragraph" w:styleId="Heading2">
    <w:name w:val="heading 2"/>
    <w:basedOn w:val="Normal"/>
    <w:next w:val="Normal"/>
    <w:qFormat/>
    <w:rsid w:val="002C23C8"/>
    <w:pPr>
      <w:keepNext/>
      <w:numPr>
        <w:ilvl w:val="1"/>
        <w:numId w:val="27"/>
      </w:numPr>
      <w:spacing w:before="240" w:after="60"/>
      <w:outlineLvl w:val="1"/>
    </w:pPr>
    <w:rPr>
      <w:rFonts w:cs="B Mitra"/>
      <w:b/>
      <w:bCs/>
      <w:szCs w:val="26"/>
    </w:rPr>
  </w:style>
  <w:style w:type="paragraph" w:styleId="Heading3">
    <w:name w:val="heading 3"/>
    <w:basedOn w:val="Normal"/>
    <w:next w:val="Normal"/>
    <w:qFormat/>
    <w:rsid w:val="0029327B"/>
    <w:pPr>
      <w:keepNext/>
      <w:numPr>
        <w:ilvl w:val="2"/>
        <w:numId w:val="27"/>
      </w:numPr>
      <w:spacing w:before="240" w:after="60"/>
      <w:outlineLvl w:val="2"/>
    </w:pPr>
    <w:rPr>
      <w:b/>
      <w:bCs/>
      <w:sz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customStyle="1" w:styleId="Text">
    <w:name w:val="Text"/>
    <w:basedOn w:val="Normal"/>
    <w:link w:val="TextChar"/>
    <w:rsid w:val="00401960"/>
    <w:pPr>
      <w:ind w:firstLine="340"/>
      <w:jc w:val="lowKashida"/>
    </w:pPr>
    <w:rPr>
      <w:rFonts w:cs="B Mitra"/>
      <w:sz w:val="20"/>
      <w:szCs w:val="22"/>
    </w:rPr>
  </w:style>
  <w:style w:type="character" w:customStyle="1" w:styleId="TextChar">
    <w:name w:val="Text Char"/>
    <w:link w:val="Text"/>
    <w:rsid w:val="00401960"/>
    <w:rPr>
      <w:rFonts w:cs="B Mitra"/>
      <w:szCs w:val="22"/>
      <w:lang w:bidi="fa-IR"/>
    </w:rPr>
  </w:style>
  <w:style w:type="paragraph" w:customStyle="1" w:styleId="Text1">
    <w:name w:val="Text1"/>
    <w:basedOn w:val="Text"/>
    <w:rsid w:val="002C23C8"/>
    <w:pPr>
      <w:ind w:firstLine="0"/>
    </w:pPr>
  </w:style>
  <w:style w:type="paragraph" w:customStyle="1" w:styleId="Heading0">
    <w:name w:val="Heading 0"/>
    <w:basedOn w:val="Heading1"/>
    <w:rsid w:val="002C23C8"/>
    <w:pPr>
      <w:numPr>
        <w:numId w:val="0"/>
      </w:numPr>
    </w:pPr>
  </w:style>
  <w:style w:type="paragraph" w:customStyle="1" w:styleId="Author">
    <w:name w:val="Author"/>
    <w:basedOn w:val="Normal"/>
    <w:rsid w:val="002C23C8"/>
    <w:pPr>
      <w:jc w:val="center"/>
    </w:pPr>
    <w:rPr>
      <w:rFonts w:cs="B Mitra"/>
      <w:sz w:val="22"/>
    </w:rPr>
  </w:style>
  <w:style w:type="paragraph" w:customStyle="1" w:styleId="Abstract2">
    <w:name w:val="Abstract2"/>
    <w:basedOn w:val="Text"/>
    <w:rsid w:val="002C23C8"/>
    <w:rPr>
      <w:bCs/>
    </w:rPr>
  </w:style>
  <w:style w:type="paragraph" w:customStyle="1" w:styleId="Abstract">
    <w:name w:val="Abstract"/>
    <w:basedOn w:val="Text1"/>
    <w:rsid w:val="002C23C8"/>
    <w:rPr>
      <w:bCs/>
    </w:rPr>
  </w:style>
  <w:style w:type="paragraph" w:styleId="Title">
    <w:name w:val="Title"/>
    <w:basedOn w:val="Normal"/>
    <w:qFormat/>
    <w:rsid w:val="002551F3"/>
    <w:pPr>
      <w:spacing w:before="480" w:after="60"/>
      <w:ind w:left="567" w:right="567"/>
      <w:jc w:val="center"/>
      <w:outlineLvl w:val="0"/>
    </w:pPr>
    <w:rPr>
      <w:rFonts w:cs="B Mitra"/>
      <w:b/>
      <w:bCs/>
      <w:kern w:val="28"/>
      <w:sz w:val="34"/>
      <w:szCs w:val="36"/>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sz w:val="18"/>
      <w:szCs w:val="20"/>
    </w:rPr>
  </w:style>
  <w:style w:type="character" w:styleId="FootnoteReference">
    <w:name w:val="footnote reference"/>
    <w:semiHidden/>
    <w:rsid w:val="00395861"/>
    <w:rPr>
      <w:rFonts w:cs="Nazanin"/>
      <w:vertAlign w:val="superscript"/>
      <w:lang w:bidi="fa-IR"/>
    </w:rPr>
  </w:style>
  <w:style w:type="paragraph" w:customStyle="1" w:styleId="BulletedText">
    <w:name w:val="Bulleted Text"/>
    <w:basedOn w:val="Text1"/>
    <w:rsid w:val="002C23C8"/>
    <w:pPr>
      <w:numPr>
        <w:numId w:val="18"/>
      </w:numPr>
    </w:pPr>
  </w:style>
  <w:style w:type="paragraph" w:customStyle="1" w:styleId="FigureCaption">
    <w:name w:val="Figure Caption"/>
    <w:basedOn w:val="Normal"/>
    <w:rsid w:val="002C23C8"/>
    <w:pPr>
      <w:jc w:val="center"/>
    </w:pPr>
    <w:rPr>
      <w:rFonts w:cs="B Mitra"/>
      <w:b/>
      <w:bCs/>
      <w:sz w:val="18"/>
      <w:szCs w:val="20"/>
    </w:rPr>
  </w:style>
  <w:style w:type="paragraph" w:styleId="Caption">
    <w:name w:val="caption"/>
    <w:basedOn w:val="Normal"/>
    <w:next w:val="Normal"/>
    <w:qFormat/>
    <w:rsid w:val="00382679"/>
    <w:pPr>
      <w:keepLines/>
      <w:widowControl w:val="0"/>
      <w:spacing w:before="60" w:after="60" w:line="228" w:lineRule="auto"/>
      <w:jc w:val="center"/>
    </w:pPr>
    <w:rPr>
      <w:rFonts w:cs="Yagut"/>
      <w:bCs/>
      <w:sz w:val="17"/>
      <w:szCs w:val="20"/>
      <w:lang w:bidi="ar-SA"/>
    </w:rPr>
  </w:style>
  <w:style w:type="paragraph" w:customStyle="1" w:styleId="Equation">
    <w:name w:val="Equation"/>
    <w:next w:val="Normal"/>
    <w:rsid w:val="006E0E21"/>
    <w:pPr>
      <w:spacing w:before="60" w:after="60"/>
      <w:ind w:left="170" w:hanging="170"/>
    </w:pPr>
    <w:rPr>
      <w:rFonts w:cs="Nazanin"/>
      <w:szCs w:val="22"/>
    </w:rPr>
  </w:style>
  <w:style w:type="paragraph" w:customStyle="1" w:styleId="REF">
    <w:name w:val="REF"/>
    <w:basedOn w:val="Normal"/>
    <w:rsid w:val="002C23C8"/>
    <w:pPr>
      <w:numPr>
        <w:numId w:val="33"/>
      </w:numPr>
      <w:jc w:val="both"/>
    </w:pPr>
    <w:rPr>
      <w:rFonts w:cs="B Mitra"/>
      <w:sz w:val="18"/>
      <w:szCs w:val="20"/>
    </w:rPr>
  </w:style>
  <w:style w:type="paragraph" w:customStyle="1" w:styleId="ENREF">
    <w:name w:val="EN_REF"/>
    <w:basedOn w:val="REF"/>
    <w:rsid w:val="002C23C8"/>
    <w:pPr>
      <w:bidi w:val="0"/>
    </w:pPr>
  </w:style>
  <w:style w:type="paragraph" w:customStyle="1" w:styleId="FigureText">
    <w:name w:val="Figure Text"/>
    <w:basedOn w:val="Normal"/>
    <w:rsid w:val="002C23C8"/>
    <w:pPr>
      <w:jc w:val="center"/>
    </w:pPr>
    <w:rPr>
      <w:rFonts w:cs="B Mitra"/>
      <w:sz w:val="16"/>
      <w:szCs w:val="18"/>
    </w:rPr>
  </w:style>
  <w:style w:type="paragraph" w:styleId="EndnoteText">
    <w:name w:val="endnote text"/>
    <w:basedOn w:val="Normal"/>
    <w:semiHidden/>
    <w:rsid w:val="007B0498"/>
    <w:pPr>
      <w:widowControl w:val="0"/>
      <w:spacing w:line="240" w:lineRule="exact"/>
      <w:ind w:firstLine="284"/>
      <w:jc w:val="both"/>
    </w:pPr>
    <w:rPr>
      <w:rFonts w:cs="Yagut"/>
      <w:sz w:val="20"/>
      <w:szCs w:val="22"/>
      <w:lang w:bidi="ar-SA"/>
    </w:rPr>
  </w:style>
  <w:style w:type="character" w:styleId="EndnoteReference">
    <w:name w:val="endnote reference"/>
    <w:semiHidden/>
    <w:rsid w:val="007B0498"/>
    <w:rPr>
      <w:szCs w:val="18"/>
      <w:vertAlign w:val="superscript"/>
    </w:rPr>
  </w:style>
  <w:style w:type="character" w:styleId="Hyperlink">
    <w:name w:val="Hyperlink"/>
    <w:rsid w:val="00D21696"/>
    <w:rPr>
      <w:color w:val="0000FF"/>
      <w:u w:val="single"/>
    </w:rPr>
  </w:style>
  <w:style w:type="paragraph" w:styleId="Date">
    <w:name w:val="Date"/>
    <w:basedOn w:val="Normal"/>
    <w:next w:val="Normal"/>
    <w:link w:val="DateChar"/>
    <w:rsid w:val="00B96167"/>
    <w:pPr>
      <w:bidi w:val="0"/>
    </w:pPr>
    <w:rPr>
      <w:rFonts w:eastAsia="Times New Roman" w:cs="Times New Roman"/>
      <w:lang w:bidi="ar-SA"/>
    </w:rPr>
  </w:style>
  <w:style w:type="character" w:customStyle="1" w:styleId="DateChar">
    <w:name w:val="Date Char"/>
    <w:link w:val="Date"/>
    <w:rsid w:val="00B96167"/>
    <w:rPr>
      <w:rFonts w:eastAsia="Times New Roman"/>
      <w:sz w:val="24"/>
      <w:szCs w:val="24"/>
    </w:rPr>
  </w:style>
  <w:style w:type="paragraph" w:styleId="BalloonText">
    <w:name w:val="Balloon Text"/>
    <w:basedOn w:val="Normal"/>
    <w:link w:val="BalloonTextChar"/>
    <w:rsid w:val="00A90B2C"/>
    <w:rPr>
      <w:rFonts w:ascii="Tahoma" w:hAnsi="Tahoma" w:cs="Tahoma"/>
      <w:sz w:val="16"/>
      <w:szCs w:val="16"/>
    </w:rPr>
  </w:style>
  <w:style w:type="character" w:customStyle="1" w:styleId="BalloonTextChar">
    <w:name w:val="Balloon Text Char"/>
    <w:link w:val="BalloonText"/>
    <w:rsid w:val="00A90B2C"/>
    <w:rPr>
      <w:rFonts w:ascii="Tahoma" w:hAnsi="Tahoma" w:cs="Tahoma"/>
      <w:sz w:val="16"/>
      <w:szCs w:val="16"/>
      <w:lang w:bidi="fa-IR"/>
    </w:rPr>
  </w:style>
  <w:style w:type="paragraph" w:styleId="Header">
    <w:name w:val="header"/>
    <w:basedOn w:val="Normal"/>
    <w:link w:val="HeaderChar"/>
    <w:rsid w:val="00E118FE"/>
    <w:pPr>
      <w:tabs>
        <w:tab w:val="center" w:pos="4680"/>
        <w:tab w:val="right" w:pos="9360"/>
      </w:tabs>
    </w:pPr>
  </w:style>
  <w:style w:type="character" w:customStyle="1" w:styleId="HeaderChar">
    <w:name w:val="Header Char"/>
    <w:link w:val="Header"/>
    <w:rsid w:val="00E118FE"/>
    <w:rPr>
      <w:rFonts w:cs="Nazanin"/>
      <w:sz w:val="24"/>
      <w:szCs w:val="24"/>
      <w:lang w:bidi="fa-IR"/>
    </w:rPr>
  </w:style>
  <w:style w:type="paragraph" w:styleId="Footer">
    <w:name w:val="footer"/>
    <w:basedOn w:val="Normal"/>
    <w:link w:val="FooterChar"/>
    <w:rsid w:val="00E118FE"/>
    <w:pPr>
      <w:tabs>
        <w:tab w:val="center" w:pos="4680"/>
        <w:tab w:val="right" w:pos="9360"/>
      </w:tabs>
    </w:pPr>
  </w:style>
  <w:style w:type="character" w:customStyle="1" w:styleId="FooterChar">
    <w:name w:val="Footer Char"/>
    <w:link w:val="Footer"/>
    <w:rsid w:val="00E118FE"/>
    <w:rPr>
      <w:rFonts w:cs="Nazanin"/>
      <w:sz w:val="24"/>
      <w:szCs w:val="24"/>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