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8D3" w:rsidRDefault="005E35B6" w:rsidP="006618D3">
      <w:pPr>
        <w:bidi/>
        <w:jc w:val="both"/>
        <w:rPr>
          <w:rFonts w:cs="B Badr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31887B1" wp14:editId="2F1A4A79">
                <wp:simplePos x="0" y="0"/>
                <wp:positionH relativeFrom="column">
                  <wp:posOffset>-474980</wp:posOffset>
                </wp:positionH>
                <wp:positionV relativeFrom="paragraph">
                  <wp:posOffset>3465195</wp:posOffset>
                </wp:positionV>
                <wp:extent cx="67627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E35B6" w:rsidRPr="005E35B6" w:rsidRDefault="00854C55" w:rsidP="00854C55">
                            <w:pPr>
                              <w:pStyle w:val="Caption"/>
                              <w:bidi/>
                              <w:jc w:val="center"/>
                              <w:rPr>
                                <w:rFonts w:cs="B Badr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B Badr"/>
                                <w:color w:val="auto"/>
                                <w:sz w:val="22"/>
                                <w:szCs w:val="22"/>
                                <w:rtl/>
                              </w:rPr>
                              <w:t>شک</w:t>
                            </w:r>
                            <w:r>
                              <w:rPr>
                                <w:rFonts w:cs="B Badr" w:hint="cs"/>
                                <w:color w:val="auto"/>
                                <w:sz w:val="22"/>
                                <w:szCs w:val="22"/>
                                <w:rtl/>
                              </w:rPr>
                              <w:t>ل 1</w:t>
                            </w:r>
                            <w:r w:rsidR="005E35B6">
                              <w:rPr>
                                <w:rFonts w:cs="B Badr" w:hint="cs"/>
                                <w:color w:val="auto"/>
                                <w:sz w:val="22"/>
                                <w:szCs w:val="22"/>
                                <w:rtl/>
                              </w:rPr>
                              <w:t>. فرآیند (سامانه) بانک و بازار حقوق آب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1887B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37.4pt;margin-top:272.85pt;width:532.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" stroked="f">
                <v:textbox style="mso-fit-shape-to-text:t" inset="0,0,0,0">
                  <w:txbxContent>
                    <w:p w:rsidR="005E35B6" w:rsidRPr="005E35B6" w:rsidRDefault="00854C55" w:rsidP="00854C55">
                      <w:pPr>
                        <w:pStyle w:val="Caption"/>
                        <w:bidi/>
                        <w:jc w:val="center"/>
                        <w:rPr>
                          <w:rFonts w:cs="B Badr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cs="B Badr"/>
                          <w:color w:val="auto"/>
                          <w:sz w:val="22"/>
                          <w:szCs w:val="22"/>
                          <w:rtl/>
                        </w:rPr>
                        <w:t>شک</w:t>
                      </w:r>
                      <w:r>
                        <w:rPr>
                          <w:rFonts w:cs="B Badr" w:hint="cs"/>
                          <w:color w:val="auto"/>
                          <w:sz w:val="22"/>
                          <w:szCs w:val="22"/>
                          <w:rtl/>
                        </w:rPr>
                        <w:t>ل 1</w:t>
                      </w:r>
                      <w:r w:rsidR="005E35B6">
                        <w:rPr>
                          <w:rFonts w:cs="B Badr" w:hint="cs"/>
                          <w:color w:val="auto"/>
                          <w:sz w:val="22"/>
                          <w:szCs w:val="22"/>
                          <w:rtl/>
                        </w:rPr>
                        <w:t>. فرآیند (سامانه) بانک و بازار حقوق آب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618D3" w:rsidRPr="00E83993">
        <w:rPr>
          <w:rFonts w:cs="B Badr"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6A0D5699" wp14:editId="1CC0221F">
            <wp:simplePos x="0" y="0"/>
            <wp:positionH relativeFrom="margin">
              <wp:posOffset>-475013</wp:posOffset>
            </wp:positionH>
            <wp:positionV relativeFrom="paragraph">
              <wp:posOffset>510581</wp:posOffset>
            </wp:positionV>
            <wp:extent cx="6762750" cy="2897505"/>
            <wp:effectExtent l="0" t="0" r="0" b="0"/>
            <wp:wrapTight wrapText="bothSides">
              <wp:wrapPolygon edited="0">
                <wp:start x="2860" y="0"/>
                <wp:lineTo x="0" y="1136"/>
                <wp:lineTo x="0" y="13633"/>
                <wp:lineTo x="6571" y="13633"/>
                <wp:lineTo x="6571" y="18178"/>
                <wp:lineTo x="9370" y="20308"/>
                <wp:lineTo x="9431" y="20592"/>
                <wp:lineTo x="11926" y="20592"/>
                <wp:lineTo x="11986" y="20308"/>
                <wp:lineTo x="14542" y="18178"/>
                <wp:lineTo x="16611" y="18178"/>
                <wp:lineTo x="19470" y="16899"/>
                <wp:lineTo x="19410" y="15905"/>
                <wp:lineTo x="20444" y="15905"/>
                <wp:lineTo x="21357" y="14769"/>
                <wp:lineTo x="21296" y="9089"/>
                <wp:lineTo x="21539" y="7101"/>
                <wp:lineTo x="21539" y="0"/>
                <wp:lineTo x="2860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270B">
        <w:rPr>
          <w:rFonts w:cs="B Badr" w:hint="cs"/>
          <w:sz w:val="26"/>
          <w:szCs w:val="26"/>
          <w:rtl/>
          <w:lang w:bidi="fa-IR"/>
        </w:rPr>
        <w:t>سامانه‌ی</w:t>
      </w:r>
      <w:r w:rsidR="00DC1439" w:rsidRPr="00E83993">
        <w:rPr>
          <w:rFonts w:cs="B Badr" w:hint="cs"/>
          <w:sz w:val="26"/>
          <w:szCs w:val="26"/>
          <w:rtl/>
          <w:lang w:bidi="fa-IR"/>
        </w:rPr>
        <w:t xml:space="preserve"> بان</w:t>
      </w:r>
      <w:r w:rsidR="006C714C" w:rsidRPr="00E83993">
        <w:rPr>
          <w:rFonts w:cs="B Badr" w:hint="cs"/>
          <w:sz w:val="26"/>
          <w:szCs w:val="26"/>
          <w:rtl/>
          <w:lang w:bidi="fa-IR"/>
        </w:rPr>
        <w:t xml:space="preserve">ک و بازار حقوق آب بطور کلی از 3 </w:t>
      </w:r>
      <w:r w:rsidR="00DC1439" w:rsidRPr="00E83993">
        <w:rPr>
          <w:rFonts w:cs="B Badr" w:hint="cs"/>
          <w:sz w:val="26"/>
          <w:szCs w:val="26"/>
          <w:rtl/>
          <w:lang w:bidi="fa-IR"/>
        </w:rPr>
        <w:t>بخش تشکیل می‌شود</w:t>
      </w:r>
      <w:r w:rsidR="00DC1439">
        <w:rPr>
          <w:rFonts w:cs="B Badr" w:hint="cs"/>
          <w:rtl/>
          <w:lang w:bidi="fa-IR"/>
        </w:rPr>
        <w:t>:</w:t>
      </w:r>
    </w:p>
    <w:p w:rsidR="00DC1439" w:rsidRDefault="006618D3" w:rsidP="006618D3">
      <w:pPr>
        <w:bidi/>
        <w:jc w:val="both"/>
        <w:rPr>
          <w:rFonts w:cs="B Badr"/>
          <w:rtl/>
          <w:lang w:bidi="fa-IR"/>
        </w:rPr>
      </w:pPr>
      <w:r>
        <w:rPr>
          <w:rFonts w:cs="B Badr"/>
          <w:rtl/>
          <w:lang w:bidi="fa-IR"/>
        </w:rPr>
        <w:t xml:space="preserve"> </w:t>
      </w:r>
    </w:p>
    <w:p w:rsidR="006618D3" w:rsidRDefault="006618D3" w:rsidP="006C714C">
      <w:pPr>
        <w:bidi/>
        <w:rPr>
          <w:rFonts w:cs="B Badr"/>
          <w:rtl/>
          <w:lang w:bidi="fa-IR"/>
        </w:rPr>
      </w:pPr>
    </w:p>
    <w:p w:rsidR="006C714C" w:rsidRDefault="00E83993" w:rsidP="00E83993">
      <w:pPr>
        <w:bidi/>
        <w:jc w:val="both"/>
        <w:rPr>
          <w:rFonts w:cs="B Badr"/>
          <w:sz w:val="26"/>
          <w:szCs w:val="26"/>
          <w:rtl/>
          <w:lang w:bidi="fa-IR"/>
        </w:rPr>
      </w:pPr>
      <w:r w:rsidRPr="00E83993">
        <w:rPr>
          <w:rFonts w:cs="B Badr" w:hint="cs"/>
          <w:sz w:val="26"/>
          <w:szCs w:val="26"/>
          <w:rtl/>
          <w:lang w:bidi="fa-IR"/>
        </w:rPr>
        <w:t xml:space="preserve">فرآیند بانک و بازار حقوق آب مطابق با تعریف پروژه‌ی اصلی طراحی شده‌است. در این متن به طراحی فرآیند پیش از بازار و پس از بازار </w:t>
      </w:r>
      <w:r w:rsidR="0059270B">
        <w:rPr>
          <w:rFonts w:cs="B Badr" w:hint="cs"/>
          <w:sz w:val="26"/>
          <w:szCs w:val="26"/>
          <w:rtl/>
          <w:lang w:bidi="fa-IR"/>
        </w:rPr>
        <w:t xml:space="preserve">در سامانه </w:t>
      </w:r>
      <w:r w:rsidRPr="00E83993">
        <w:rPr>
          <w:rFonts w:cs="B Badr" w:hint="cs"/>
          <w:sz w:val="26"/>
          <w:szCs w:val="26"/>
          <w:rtl/>
          <w:lang w:bidi="fa-IR"/>
        </w:rPr>
        <w:t>خواهیم پرداخت.</w:t>
      </w:r>
    </w:p>
    <w:p w:rsidR="00E83993" w:rsidRPr="005E35B6" w:rsidRDefault="005E35B6" w:rsidP="005E35B6">
      <w:pPr>
        <w:bidi/>
        <w:jc w:val="both"/>
        <w:rPr>
          <w:rFonts w:cs="B Badr"/>
          <w:b/>
          <w:bCs/>
          <w:sz w:val="28"/>
          <w:szCs w:val="28"/>
          <w:lang w:bidi="fa-IR"/>
        </w:rPr>
      </w:pPr>
      <w:r w:rsidRPr="005E35B6">
        <w:rPr>
          <w:rFonts w:cs="B Badr" w:hint="cs"/>
          <w:b/>
          <w:bCs/>
          <w:sz w:val="28"/>
          <w:szCs w:val="28"/>
          <w:rtl/>
          <w:lang w:bidi="fa-IR"/>
        </w:rPr>
        <w:t xml:space="preserve">1. </w:t>
      </w:r>
      <w:r w:rsidR="00E83993" w:rsidRPr="005E35B6">
        <w:rPr>
          <w:rFonts w:cs="B Badr" w:hint="cs"/>
          <w:b/>
          <w:bCs/>
          <w:sz w:val="28"/>
          <w:szCs w:val="28"/>
          <w:rtl/>
          <w:lang w:bidi="fa-IR"/>
        </w:rPr>
        <w:t>فرآیند پیش از بازار</w:t>
      </w:r>
    </w:p>
    <w:p w:rsidR="00E83993" w:rsidRDefault="005E35B6" w:rsidP="00E83993">
      <w:pPr>
        <w:bidi/>
        <w:jc w:val="both"/>
        <w:rPr>
          <w:rFonts w:cs="B Badr"/>
          <w:sz w:val="26"/>
          <w:szCs w:val="26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9326301" wp14:editId="0D0CEE37">
                <wp:simplePos x="0" y="0"/>
                <wp:positionH relativeFrom="column">
                  <wp:posOffset>-533041</wp:posOffset>
                </wp:positionH>
                <wp:positionV relativeFrom="paragraph">
                  <wp:posOffset>2035120</wp:posOffset>
                </wp:positionV>
                <wp:extent cx="69253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5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E35B6" w:rsidRPr="005E35B6" w:rsidRDefault="005E35B6" w:rsidP="005E35B6">
                            <w:pPr>
                              <w:pStyle w:val="Caption"/>
                              <w:bidi/>
                              <w:jc w:val="center"/>
                              <w:rPr>
                                <w:rFonts w:cs="B Badr"/>
                                <w:color w:val="auto"/>
                                <w:sz w:val="22"/>
                                <w:szCs w:val="22"/>
                                <w:lang w:bidi="fa-IR"/>
                              </w:rPr>
                            </w:pPr>
                            <w:r w:rsidRPr="005E35B6">
                              <w:rPr>
                                <w:rFonts w:cs="B Badr"/>
                                <w:color w:val="auto"/>
                                <w:sz w:val="22"/>
                                <w:szCs w:val="22"/>
                                <w:rtl/>
                              </w:rPr>
                              <w:t xml:space="preserve">شکل </w:t>
                            </w:r>
                            <w:r>
                              <w:rPr>
                                <w:rFonts w:cs="B Badr" w:hint="cs"/>
                                <w:color w:val="auto"/>
                                <w:sz w:val="22"/>
                                <w:szCs w:val="22"/>
                                <w:rtl/>
                              </w:rPr>
                              <w:t>2</w:t>
                            </w:r>
                            <w:r>
                              <w:rPr>
                                <w:rFonts w:cs="B Badr" w:hint="cs"/>
                                <w:color w:val="auto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. فرآیند پیش از بازار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26301" id="Text Box 1" o:spid="_x0000_s1027" type="#_x0000_t202" style="position:absolute;left:0;text-align:left;margin-left:-41.95pt;margin-top:160.25pt;width:545.3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" stroked="f">
                <v:textbox style="mso-fit-shape-to-text:t" inset="0,0,0,0">
                  <w:txbxContent>
                    <w:p w:rsidR="005E35B6" w:rsidRPr="005E35B6" w:rsidRDefault="005E35B6" w:rsidP="005E35B6">
                      <w:pPr>
                        <w:pStyle w:val="Caption"/>
                        <w:bidi/>
                        <w:jc w:val="center"/>
                        <w:rPr>
                          <w:rFonts w:cs="B Badr"/>
                          <w:color w:val="auto"/>
                          <w:sz w:val="22"/>
                          <w:szCs w:val="22"/>
                          <w:lang w:bidi="fa-IR"/>
                        </w:rPr>
                      </w:pPr>
                      <w:r w:rsidRPr="005E35B6">
                        <w:rPr>
                          <w:rFonts w:cs="B Badr"/>
                          <w:color w:val="auto"/>
                          <w:sz w:val="22"/>
                          <w:szCs w:val="22"/>
                          <w:rtl/>
                        </w:rPr>
                        <w:t xml:space="preserve">شکل </w:t>
                      </w:r>
                      <w:r>
                        <w:rPr>
                          <w:rFonts w:cs="B Badr" w:hint="cs"/>
                          <w:color w:val="auto"/>
                          <w:sz w:val="22"/>
                          <w:szCs w:val="22"/>
                          <w:rtl/>
                        </w:rPr>
                        <w:t>2</w:t>
                      </w:r>
                      <w:r>
                        <w:rPr>
                          <w:rFonts w:cs="B Badr" w:hint="cs"/>
                          <w:color w:val="auto"/>
                          <w:sz w:val="22"/>
                          <w:szCs w:val="22"/>
                          <w:rtl/>
                          <w:lang w:bidi="fa-IR"/>
                        </w:rPr>
                        <w:t>. فرآیند پیش از بازار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9270B">
        <w:rPr>
          <w:rFonts w:cs="B Badr"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0EEF6D45" wp14:editId="123F9981">
            <wp:simplePos x="0" y="0"/>
            <wp:positionH relativeFrom="margin">
              <wp:align>center</wp:align>
            </wp:positionH>
            <wp:positionV relativeFrom="paragraph">
              <wp:posOffset>849436</wp:posOffset>
            </wp:positionV>
            <wp:extent cx="6925310" cy="1049020"/>
            <wp:effectExtent l="0" t="0" r="8890" b="0"/>
            <wp:wrapTight wrapText="bothSides">
              <wp:wrapPolygon edited="0">
                <wp:start x="119" y="0"/>
                <wp:lineTo x="0" y="785"/>
                <wp:lineTo x="0" y="20397"/>
                <wp:lineTo x="119" y="21182"/>
                <wp:lineTo x="21449" y="21182"/>
                <wp:lineTo x="21568" y="20397"/>
                <wp:lineTo x="21568" y="785"/>
                <wp:lineTo x="21449" y="0"/>
                <wp:lineTo x="119" y="0"/>
              </wp:wrapPolygon>
            </wp:wrapTight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53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3993">
        <w:rPr>
          <w:rFonts w:cs="B Badr" w:hint="cs"/>
          <w:sz w:val="26"/>
          <w:szCs w:val="26"/>
          <w:rtl/>
          <w:lang w:bidi="fa-IR"/>
        </w:rPr>
        <w:t>در این فرآیند اطلاعات و پرونده‌های تمامی متقاضیان فروش و خرید</w:t>
      </w:r>
      <w:r>
        <w:rPr>
          <w:rFonts w:cs="B Badr" w:hint="cs"/>
          <w:sz w:val="26"/>
          <w:szCs w:val="26"/>
          <w:rtl/>
          <w:lang w:bidi="fa-IR"/>
        </w:rPr>
        <w:t>،</w:t>
      </w:r>
      <w:r w:rsidR="00E83993">
        <w:rPr>
          <w:rFonts w:cs="B Badr" w:hint="cs"/>
          <w:sz w:val="26"/>
          <w:szCs w:val="26"/>
          <w:rtl/>
          <w:lang w:bidi="fa-IR"/>
        </w:rPr>
        <w:t xml:space="preserve"> بررسی و اعتبارسنجی شده و در صورت عدم وجود نقص و یا رفع ایرادات به فرآیند بانک و بازار وارد خواهند شد. </w:t>
      </w:r>
      <w:r>
        <w:rPr>
          <w:rFonts w:cs="B Badr" w:hint="cs"/>
          <w:sz w:val="26"/>
          <w:szCs w:val="26"/>
          <w:rtl/>
          <w:lang w:bidi="fa-IR"/>
        </w:rPr>
        <w:t>فرآیند پیش از بازار مطابق با شکل 2 می‌باشد</w:t>
      </w:r>
    </w:p>
    <w:p w:rsidR="0059270B" w:rsidRDefault="005E35B6" w:rsidP="005E35B6">
      <w:pPr>
        <w:bidi/>
        <w:jc w:val="both"/>
        <w:rPr>
          <w:rFonts w:cs="B Badr"/>
          <w:b/>
          <w:bCs/>
          <w:sz w:val="26"/>
          <w:szCs w:val="26"/>
          <w:rtl/>
          <w:lang w:bidi="fa-IR"/>
        </w:rPr>
      </w:pPr>
      <w:r w:rsidRPr="005E35B6">
        <w:rPr>
          <w:rFonts w:cs="B Badr" w:hint="cs"/>
          <w:b/>
          <w:bCs/>
          <w:sz w:val="26"/>
          <w:szCs w:val="26"/>
          <w:rtl/>
          <w:lang w:bidi="fa-IR"/>
        </w:rPr>
        <w:t>1-1. ثبت درخواست</w:t>
      </w:r>
    </w:p>
    <w:p w:rsidR="005E35B6" w:rsidRDefault="005E35B6" w:rsidP="005E35B6">
      <w:pPr>
        <w:bidi/>
        <w:jc w:val="both"/>
        <w:rPr>
          <w:rFonts w:cs="B Badr"/>
          <w:sz w:val="26"/>
          <w:szCs w:val="26"/>
          <w:rtl/>
          <w:lang w:bidi="fa-IR"/>
        </w:rPr>
      </w:pPr>
      <w:r>
        <w:rPr>
          <w:rFonts w:cs="B Badr" w:hint="cs"/>
          <w:sz w:val="26"/>
          <w:szCs w:val="26"/>
          <w:rtl/>
          <w:lang w:bidi="fa-IR"/>
        </w:rPr>
        <w:lastRenderedPageBreak/>
        <w:t>ابتدا درخواست اولیه توسط متقاضی فروش و خرید در سامانه ثبت می‌شود. این درخواست صرفا به معنای اظهار تمایل اولیه متقاضیان برای ورود به بانک و بازار حقوق آب است. ثبت درخواست اولیه توسط کارگزار (میرآب) بررسی می‌گردد.</w:t>
      </w:r>
    </w:p>
    <w:p w:rsidR="005E35B6" w:rsidRPr="005E35B6" w:rsidRDefault="005E35B6" w:rsidP="005E35B6">
      <w:pPr>
        <w:bidi/>
        <w:jc w:val="both"/>
        <w:rPr>
          <w:rFonts w:cs="B Badr"/>
          <w:b/>
          <w:bCs/>
          <w:sz w:val="26"/>
          <w:szCs w:val="26"/>
          <w:rtl/>
          <w:lang w:bidi="fa-IR"/>
        </w:rPr>
      </w:pPr>
      <w:r w:rsidRPr="005E35B6">
        <w:rPr>
          <w:rFonts w:cs="B Badr" w:hint="cs"/>
          <w:b/>
          <w:bCs/>
          <w:sz w:val="26"/>
          <w:szCs w:val="26"/>
          <w:rtl/>
          <w:lang w:bidi="fa-IR"/>
        </w:rPr>
        <w:t>2-1. بررسی وضعیت شارژ و اعتبار بهره‌برداران</w:t>
      </w:r>
    </w:p>
    <w:p w:rsidR="008765B5" w:rsidRDefault="005E35B6" w:rsidP="00832969">
      <w:pPr>
        <w:bidi/>
        <w:jc w:val="both"/>
        <w:rPr>
          <w:rFonts w:cs="B Badr"/>
          <w:sz w:val="26"/>
          <w:szCs w:val="26"/>
          <w:rtl/>
          <w:lang w:bidi="fa-IR"/>
        </w:rPr>
      </w:pPr>
      <w:r>
        <w:rPr>
          <w:rFonts w:cs="B Badr" w:hint="cs"/>
          <w:sz w:val="26"/>
          <w:szCs w:val="26"/>
          <w:rtl/>
          <w:lang w:bidi="fa-IR"/>
        </w:rPr>
        <w:t xml:space="preserve">وضعیت سهم‌آب سالانه‌ی </w:t>
      </w:r>
      <w:r w:rsidR="00832969">
        <w:rPr>
          <w:rFonts w:cs="B Badr" w:hint="cs"/>
          <w:sz w:val="26"/>
          <w:szCs w:val="26"/>
          <w:rtl/>
          <w:lang w:bidi="fa-IR"/>
        </w:rPr>
        <w:t>چاه‌وندان</w:t>
      </w:r>
      <w:r>
        <w:rPr>
          <w:rFonts w:cs="B Badr" w:hint="cs"/>
          <w:sz w:val="26"/>
          <w:szCs w:val="26"/>
          <w:rtl/>
          <w:lang w:bidi="fa-IR"/>
        </w:rPr>
        <w:t xml:space="preserve"> در این مرحله </w:t>
      </w:r>
      <w:r w:rsidR="00832969">
        <w:rPr>
          <w:rFonts w:cs="B Badr" w:hint="cs"/>
          <w:sz w:val="26"/>
          <w:szCs w:val="26"/>
          <w:rtl/>
          <w:lang w:bidi="fa-IR"/>
        </w:rPr>
        <w:t xml:space="preserve">بررسی می‌شود. برای اینکه اطلاعات شارژ معتبر و قابل استناد باشد پیشنهاد می‌شود چاه‌وندان 24 تا 72 ساعت قبل از مراجعه به کارشناس اداره منابع آب منطقه، </w:t>
      </w:r>
      <w:r w:rsidR="008765B5">
        <w:rPr>
          <w:rFonts w:cs="B Badr" w:hint="cs"/>
          <w:sz w:val="26"/>
          <w:szCs w:val="26"/>
          <w:rtl/>
          <w:lang w:bidi="fa-IR"/>
        </w:rPr>
        <w:t>کارت را درون کنتور قرار داده و سپس به اداره مراجعه کنند. در این صورت اطلاعات میزان سهم‌آب مصرف شده و باقیمانده بروز و دقیق خواهد بود. لذا بر اساس سهم‌آب سالانه و میزان سهم‌آب مصرف شده، مقدار مجاز سهم‌آب قابل فروش نیز قابل محاسبه است.</w:t>
      </w:r>
    </w:p>
    <w:p w:rsidR="008765B5" w:rsidRDefault="008765B5" w:rsidP="00F311F5">
      <w:pPr>
        <w:bidi/>
        <w:jc w:val="both"/>
        <w:rPr>
          <w:rFonts w:cs="B Badr"/>
          <w:sz w:val="26"/>
          <w:szCs w:val="26"/>
          <w:rtl/>
          <w:lang w:bidi="fa-IR"/>
        </w:rPr>
      </w:pPr>
      <w:r>
        <w:rPr>
          <w:rFonts w:cs="B Badr" w:hint="cs"/>
          <w:sz w:val="26"/>
          <w:szCs w:val="26"/>
          <w:rtl/>
          <w:lang w:bidi="fa-IR"/>
        </w:rPr>
        <w:t>آب‌وندانی که فاقد چاه هستند نیز با مراجعه به اداره منابع آب منطقه، از مقادیر سقف مجاز قابل خرید</w:t>
      </w:r>
      <w:r w:rsidR="00F311F5">
        <w:rPr>
          <w:rFonts w:cs="B Badr" w:hint="cs"/>
          <w:sz w:val="26"/>
          <w:szCs w:val="26"/>
          <w:rtl/>
          <w:lang w:bidi="fa-IR"/>
        </w:rPr>
        <w:t xml:space="preserve"> خود </w:t>
      </w:r>
      <w:r>
        <w:rPr>
          <w:rFonts w:cs="B Badr" w:hint="cs"/>
          <w:sz w:val="26"/>
          <w:szCs w:val="26"/>
          <w:rtl/>
          <w:lang w:bidi="fa-IR"/>
        </w:rPr>
        <w:t>با خبر خواهند شد.</w:t>
      </w:r>
      <w:r w:rsidR="00F311F5">
        <w:rPr>
          <w:rFonts w:cs="B Badr" w:hint="cs"/>
          <w:sz w:val="26"/>
          <w:szCs w:val="26"/>
          <w:rtl/>
          <w:lang w:bidi="fa-IR"/>
        </w:rPr>
        <w:t xml:space="preserve"> علت تعیین وضعیت شارژ در این مرحله به این خاطر است که در صورتی‌که سهم‌آبی برای واگذاری وجود نداشته باشد، مراحل بعدی که زمانبر خواهد بود برای چاه‌وندان طی نشود.</w:t>
      </w:r>
    </w:p>
    <w:p w:rsidR="00F311F5" w:rsidRDefault="00F311F5" w:rsidP="00A15EBF">
      <w:pPr>
        <w:bidi/>
        <w:jc w:val="both"/>
        <w:rPr>
          <w:rFonts w:cs="B Badr"/>
          <w:b/>
          <w:bCs/>
          <w:sz w:val="26"/>
          <w:szCs w:val="26"/>
          <w:rtl/>
          <w:lang w:bidi="fa-IR"/>
        </w:rPr>
      </w:pPr>
      <w:r w:rsidRPr="00F311F5">
        <w:rPr>
          <w:rFonts w:cs="B Badr" w:hint="cs"/>
          <w:b/>
          <w:bCs/>
          <w:sz w:val="26"/>
          <w:szCs w:val="26"/>
          <w:rtl/>
          <w:lang w:bidi="fa-IR"/>
        </w:rPr>
        <w:t xml:space="preserve">3-1. بررسی وضعیت فنی و مالی </w:t>
      </w:r>
      <w:r w:rsidR="00A15EBF">
        <w:rPr>
          <w:rFonts w:cs="B Badr" w:hint="cs"/>
          <w:b/>
          <w:bCs/>
          <w:sz w:val="26"/>
          <w:szCs w:val="26"/>
          <w:rtl/>
          <w:lang w:bidi="fa-IR"/>
        </w:rPr>
        <w:t>پرونده</w:t>
      </w:r>
    </w:p>
    <w:p w:rsidR="00A15EBF" w:rsidRDefault="00A15EBF" w:rsidP="00A15EBF">
      <w:pPr>
        <w:bidi/>
        <w:jc w:val="both"/>
        <w:rPr>
          <w:rFonts w:cs="B Badr"/>
          <w:sz w:val="26"/>
          <w:szCs w:val="26"/>
          <w:rtl/>
          <w:lang w:bidi="fa-IR"/>
        </w:rPr>
      </w:pPr>
      <w:r w:rsidRPr="00A15EBF">
        <w:rPr>
          <w:rFonts w:cs="B Badr" w:hint="cs"/>
          <w:sz w:val="26"/>
          <w:szCs w:val="26"/>
          <w:rtl/>
          <w:lang w:bidi="fa-IR"/>
        </w:rPr>
        <w:t>پس از بررسی وضعیت شارژ بهره‌برداران،</w:t>
      </w:r>
      <w:r>
        <w:rPr>
          <w:rFonts w:cs="B Badr" w:hint="cs"/>
          <w:sz w:val="26"/>
          <w:szCs w:val="26"/>
          <w:rtl/>
          <w:lang w:bidi="fa-IR"/>
        </w:rPr>
        <w:t xml:space="preserve"> در دو بخش، وضعیت چاه بررسی می‌گردد.</w:t>
      </w:r>
    </w:p>
    <w:p w:rsidR="00A15EBF" w:rsidRDefault="00F24A78" w:rsidP="00A15EBF">
      <w:pPr>
        <w:bidi/>
        <w:jc w:val="both"/>
        <w:rPr>
          <w:rFonts w:cs="B Badr"/>
          <w:b/>
          <w:bCs/>
          <w:sz w:val="26"/>
          <w:szCs w:val="26"/>
          <w:rtl/>
          <w:lang w:bidi="fa-IR"/>
        </w:rPr>
      </w:pPr>
      <w:r>
        <w:rPr>
          <w:rFonts w:cs="B Badr" w:hint="cs"/>
          <w:b/>
          <w:bCs/>
          <w:sz w:val="26"/>
          <w:szCs w:val="26"/>
          <w:rtl/>
          <w:lang w:bidi="fa-IR"/>
        </w:rPr>
        <w:t xml:space="preserve">1-3-1. </w:t>
      </w:r>
      <w:r w:rsidR="00A15EBF" w:rsidRPr="00A15EBF">
        <w:rPr>
          <w:rFonts w:cs="B Badr" w:hint="cs"/>
          <w:b/>
          <w:bCs/>
          <w:sz w:val="26"/>
          <w:szCs w:val="26"/>
          <w:rtl/>
          <w:lang w:bidi="fa-IR"/>
        </w:rPr>
        <w:t xml:space="preserve">وضعیت فنی </w:t>
      </w:r>
      <w:r w:rsidR="00A15EBF">
        <w:rPr>
          <w:rFonts w:cs="B Badr" w:hint="cs"/>
          <w:b/>
          <w:bCs/>
          <w:sz w:val="26"/>
          <w:szCs w:val="26"/>
          <w:rtl/>
          <w:lang w:bidi="fa-IR"/>
        </w:rPr>
        <w:t>پرونده</w:t>
      </w:r>
      <w:r w:rsidR="00A15EBF" w:rsidRPr="00A15EBF">
        <w:rPr>
          <w:rFonts w:cs="B Badr" w:hint="cs"/>
          <w:b/>
          <w:bCs/>
          <w:sz w:val="26"/>
          <w:szCs w:val="26"/>
          <w:rtl/>
          <w:lang w:bidi="fa-IR"/>
        </w:rPr>
        <w:t xml:space="preserve"> </w:t>
      </w:r>
    </w:p>
    <w:p w:rsidR="00A15EBF" w:rsidRDefault="00A15EBF" w:rsidP="00A15EBF">
      <w:pPr>
        <w:bidi/>
        <w:jc w:val="both"/>
        <w:rPr>
          <w:rFonts w:cs="B Badr"/>
          <w:sz w:val="26"/>
          <w:szCs w:val="26"/>
          <w:rtl/>
          <w:lang w:bidi="fa-IR"/>
        </w:rPr>
      </w:pPr>
      <w:r>
        <w:rPr>
          <w:rFonts w:cs="B Badr" w:hint="cs"/>
          <w:sz w:val="26"/>
          <w:szCs w:val="26"/>
          <w:rtl/>
          <w:lang w:bidi="fa-IR"/>
        </w:rPr>
        <w:t>در این بخش، معتبر بودن پروانه‌ی بهره‌برداری توسط کارشناس اداره منابع آب بررسی می‌گردد. همزمان، عملکرد بدون ایراد و کالیبره بودن کنتور نیز توسط تشکل‌آب‌بران بررسی می‌گردد. در صورت عدم کالیبره بودن کنتور، درخواست انجام کالیبراسیون توسط تشکل آب‌بران صادر گردیده و پس از انجام عملیات کالیبراسیون، گواهی صحت عملکرد کنتور توسط این نهاد صادر می‌گردد. با تائید معتبر بودن پروانه بهره‌برداری و همچنین صحت عملکرد کنتور، این مرحله تائید می‌شود. پس از انجام مستندات و گواهی‌ها، این مدارک در سامانه بارگذاری و بایگانی می‌گردد.</w:t>
      </w:r>
    </w:p>
    <w:p w:rsidR="00A15EBF" w:rsidRDefault="00F24A78" w:rsidP="00A15EBF">
      <w:pPr>
        <w:bidi/>
        <w:jc w:val="both"/>
        <w:rPr>
          <w:rFonts w:cs="B Badr"/>
          <w:sz w:val="26"/>
          <w:szCs w:val="26"/>
          <w:rtl/>
          <w:lang w:bidi="fa-IR"/>
        </w:rPr>
      </w:pPr>
      <w:r>
        <w:rPr>
          <w:rFonts w:cs="B Badr" w:hint="cs"/>
          <w:sz w:val="26"/>
          <w:szCs w:val="26"/>
          <w:rtl/>
          <w:lang w:bidi="fa-IR"/>
        </w:rPr>
        <w:t xml:space="preserve">2-3-1. </w:t>
      </w:r>
      <w:r w:rsidR="00A15EBF" w:rsidRPr="00A15EBF">
        <w:rPr>
          <w:rFonts w:cs="B Badr" w:hint="cs"/>
          <w:b/>
          <w:bCs/>
          <w:sz w:val="26"/>
          <w:szCs w:val="26"/>
          <w:rtl/>
          <w:lang w:bidi="fa-IR"/>
        </w:rPr>
        <w:t>وضعیت مالی پرونده</w:t>
      </w:r>
    </w:p>
    <w:p w:rsidR="00A15EBF" w:rsidRDefault="00A15EBF" w:rsidP="00A15EBF">
      <w:pPr>
        <w:bidi/>
        <w:jc w:val="both"/>
        <w:rPr>
          <w:rFonts w:cs="B Badr"/>
          <w:sz w:val="26"/>
          <w:szCs w:val="26"/>
          <w:lang w:bidi="fa-IR"/>
        </w:rPr>
      </w:pPr>
      <w:r>
        <w:rPr>
          <w:rFonts w:cs="B Badr" w:hint="cs"/>
          <w:sz w:val="26"/>
          <w:szCs w:val="26"/>
          <w:rtl/>
          <w:lang w:bidi="fa-IR"/>
        </w:rPr>
        <w:t>در این مرحله کارشناس اداره منابع آب، وضعیت تسویه حساب مالی پرونده را بررسی نموده و در صورت وجود خسارات یا حق‌النظاره پرداخت نشده، این دیون را دریافت کرده و وضعیت مالی پرونده را تائید می‌کند.</w:t>
      </w:r>
    </w:p>
    <w:p w:rsidR="00E45150" w:rsidRPr="00F24A78" w:rsidRDefault="00E45150" w:rsidP="00E45150">
      <w:pPr>
        <w:bidi/>
        <w:jc w:val="both"/>
        <w:rPr>
          <w:rFonts w:cs="B Badr" w:hint="cs"/>
          <w:b/>
          <w:bCs/>
          <w:sz w:val="26"/>
          <w:szCs w:val="26"/>
          <w:rtl/>
          <w:lang w:bidi="fa-IR"/>
        </w:rPr>
      </w:pPr>
      <w:r w:rsidRPr="00F24A78">
        <w:rPr>
          <w:rFonts w:cs="B Badr" w:hint="cs"/>
          <w:b/>
          <w:bCs/>
          <w:sz w:val="26"/>
          <w:szCs w:val="26"/>
          <w:rtl/>
          <w:lang w:bidi="fa-IR"/>
        </w:rPr>
        <w:t>4-1. وضعیت اصلاح نام پرونده</w:t>
      </w:r>
    </w:p>
    <w:p w:rsidR="00E45150" w:rsidRDefault="00E45150" w:rsidP="00E45150">
      <w:pPr>
        <w:bidi/>
        <w:jc w:val="both"/>
        <w:rPr>
          <w:rFonts w:cs="B Badr"/>
          <w:sz w:val="26"/>
          <w:szCs w:val="26"/>
          <w:rtl/>
          <w:lang w:bidi="fa-IR"/>
        </w:rPr>
      </w:pPr>
      <w:r>
        <w:rPr>
          <w:rFonts w:cs="B Badr" w:hint="cs"/>
          <w:sz w:val="26"/>
          <w:szCs w:val="26"/>
          <w:rtl/>
          <w:lang w:bidi="fa-IR"/>
        </w:rPr>
        <w:lastRenderedPageBreak/>
        <w:t>غالب چاه‌ها در کشور دارای بهره‌برداران متعددی هستند. لذا عموما چاه‌ها دارای یک نماینده و تعداد زیادی بهره‌بردار روبه‌رو هستند. هر بهره‌بردار سهمی از مقدار سهم‌آب چاه دارد. اداره امور آب منطقه، آخرین وضعیت نمایندگی و بهره‌برداری افراد را بررسی می‌کند. امکان دارد بدلیل فوت، تغییر نماینده، تغییر بهره‌برداران، نیاز باشد که این وضعیت با اصلاح نام در پروانه‌ی بهره‌برداری، بروزرسانی می‌شود. اعتبارسنجی نماینده و بهره‌برداران عموما با مستندات زیر امکان‌پذیر است:</w:t>
      </w:r>
    </w:p>
    <w:p w:rsidR="00E45150" w:rsidRDefault="00E45150" w:rsidP="00E45150">
      <w:pPr>
        <w:pStyle w:val="ListParagraph"/>
        <w:numPr>
          <w:ilvl w:val="0"/>
          <w:numId w:val="4"/>
        </w:numPr>
        <w:bidi/>
        <w:jc w:val="both"/>
        <w:rPr>
          <w:rFonts w:cs="B Badr"/>
          <w:sz w:val="26"/>
          <w:szCs w:val="26"/>
          <w:lang w:bidi="fa-IR"/>
        </w:rPr>
      </w:pPr>
      <w:r>
        <w:rPr>
          <w:rFonts w:cs="B Badr" w:hint="cs"/>
          <w:sz w:val="26"/>
          <w:szCs w:val="26"/>
          <w:rtl/>
          <w:lang w:bidi="fa-IR"/>
        </w:rPr>
        <w:t>گواهی افراز محلی</w:t>
      </w:r>
    </w:p>
    <w:p w:rsidR="00E45150" w:rsidRDefault="00E45150" w:rsidP="00E45150">
      <w:pPr>
        <w:pStyle w:val="ListParagraph"/>
        <w:numPr>
          <w:ilvl w:val="0"/>
          <w:numId w:val="4"/>
        </w:numPr>
        <w:bidi/>
        <w:jc w:val="both"/>
        <w:rPr>
          <w:rFonts w:cs="B Badr" w:hint="cs"/>
          <w:sz w:val="26"/>
          <w:szCs w:val="26"/>
          <w:lang w:bidi="fa-IR"/>
        </w:rPr>
      </w:pPr>
      <w:r>
        <w:rPr>
          <w:rFonts w:cs="B Badr" w:hint="cs"/>
          <w:sz w:val="26"/>
          <w:szCs w:val="26"/>
          <w:rtl/>
          <w:lang w:bidi="fa-IR"/>
        </w:rPr>
        <w:t>سند محضری وکالت در نمایندگی</w:t>
      </w:r>
    </w:p>
    <w:p w:rsidR="00E45150" w:rsidRDefault="00E45150" w:rsidP="00E45150">
      <w:pPr>
        <w:pStyle w:val="ListParagraph"/>
        <w:numPr>
          <w:ilvl w:val="0"/>
          <w:numId w:val="4"/>
        </w:numPr>
        <w:bidi/>
        <w:jc w:val="both"/>
        <w:rPr>
          <w:rFonts w:cs="B Badr"/>
          <w:sz w:val="26"/>
          <w:szCs w:val="26"/>
          <w:lang w:bidi="fa-IR"/>
        </w:rPr>
      </w:pPr>
      <w:r>
        <w:rPr>
          <w:rFonts w:cs="B Badr" w:hint="cs"/>
          <w:sz w:val="26"/>
          <w:szCs w:val="26"/>
          <w:rtl/>
          <w:lang w:bidi="fa-IR"/>
        </w:rPr>
        <w:t>نامه‌ی تائیدیه‌ی از ادارات امور آب و جهاد کشاورزی منطقه</w:t>
      </w:r>
    </w:p>
    <w:p w:rsidR="00E45150" w:rsidRPr="00E45150" w:rsidRDefault="00E45150" w:rsidP="00E45150">
      <w:pPr>
        <w:bidi/>
        <w:jc w:val="both"/>
        <w:rPr>
          <w:rFonts w:cs="B Badr"/>
          <w:sz w:val="26"/>
          <w:szCs w:val="26"/>
          <w:lang w:bidi="fa-IR"/>
        </w:rPr>
      </w:pPr>
      <w:r>
        <w:rPr>
          <w:rFonts w:cs="B Badr" w:hint="cs"/>
          <w:sz w:val="26"/>
          <w:szCs w:val="26"/>
          <w:rtl/>
          <w:lang w:bidi="fa-IR"/>
        </w:rPr>
        <w:t>لذا این مدارک، به عنوان مستندات در این مرحله بارگذاری و بایگانی می‌شود.</w:t>
      </w:r>
    </w:p>
    <w:p w:rsidR="00E45150" w:rsidRPr="00F24A78" w:rsidRDefault="00F24A78" w:rsidP="00E45150">
      <w:pPr>
        <w:bidi/>
        <w:jc w:val="both"/>
        <w:rPr>
          <w:rFonts w:cs="B Badr"/>
          <w:b/>
          <w:bCs/>
          <w:sz w:val="26"/>
          <w:szCs w:val="26"/>
          <w:rtl/>
          <w:lang w:bidi="fa-IR"/>
        </w:rPr>
      </w:pPr>
      <w:r w:rsidRPr="00F24A78">
        <w:rPr>
          <w:rFonts w:cs="B Badr" w:hint="cs"/>
          <w:b/>
          <w:bCs/>
          <w:sz w:val="26"/>
          <w:szCs w:val="26"/>
          <w:rtl/>
          <w:lang w:bidi="fa-IR"/>
        </w:rPr>
        <w:t>5-1. تعهدنامه نمایندگی در فروش</w:t>
      </w:r>
    </w:p>
    <w:p w:rsidR="00F24A78" w:rsidRDefault="007F73B0" w:rsidP="00F24A78">
      <w:pPr>
        <w:bidi/>
        <w:jc w:val="both"/>
        <w:rPr>
          <w:rFonts w:cs="B Badr"/>
          <w:sz w:val="26"/>
          <w:szCs w:val="26"/>
          <w:rtl/>
          <w:lang w:bidi="fa-IR"/>
        </w:rPr>
      </w:pPr>
      <w:r>
        <w:rPr>
          <w:rFonts w:cs="B Badr" w:hint="cs"/>
          <w:sz w:val="26"/>
          <w:szCs w:val="26"/>
          <w:rtl/>
          <w:lang w:bidi="fa-IR"/>
        </w:rPr>
        <w:t>پس از اینکه اطلاعات نمایندگان و بهره‌برداران بروزرسانی شد، نماینده از طرف تمامی بهره‌برداران این نقش را دارد تا به عنوان وکیل از طرف ایشان، در فرآیند واگذاری بخش قابل فروش از سهم‌آب سالانه حاضر شود و پس از انجام معامله، معادل مالی آن را بین نمایندگان تقسیم کند. در این تعهدنامه، نماینده تعهد می‌دهد که:</w:t>
      </w:r>
    </w:p>
    <w:p w:rsidR="007F73B0" w:rsidRDefault="007F73B0" w:rsidP="007F73B0">
      <w:pPr>
        <w:pStyle w:val="ListParagraph"/>
        <w:numPr>
          <w:ilvl w:val="0"/>
          <w:numId w:val="4"/>
        </w:numPr>
        <w:bidi/>
        <w:jc w:val="both"/>
        <w:rPr>
          <w:rFonts w:cs="B Badr"/>
          <w:sz w:val="26"/>
          <w:szCs w:val="26"/>
          <w:lang w:bidi="fa-IR"/>
        </w:rPr>
      </w:pPr>
      <w:r>
        <w:rPr>
          <w:rFonts w:cs="B Badr" w:hint="cs"/>
          <w:sz w:val="26"/>
          <w:szCs w:val="26"/>
          <w:rtl/>
          <w:lang w:bidi="fa-IR"/>
        </w:rPr>
        <w:t>تائیدیه‌ی تمامی بهره‌برداران موافق و مخالف با واگذاری را اخذ نماید. بهره‌برداران موافق، به تناسبِ سهم خویش از سهم‌آب واگذار شده، وجه مالی دریافت می‌کنند و نماینده معادل آن را از ساعت آبیاری‌شان کم می‌کند</w:t>
      </w:r>
      <w:r w:rsidR="00DB2FC6">
        <w:rPr>
          <w:rFonts w:cs="B Badr" w:hint="cs"/>
          <w:sz w:val="26"/>
          <w:szCs w:val="26"/>
          <w:rtl/>
          <w:lang w:bidi="fa-IR"/>
        </w:rPr>
        <w:t xml:space="preserve">. نمایندگان مخالف فروش نیز سهمی از وجه مالی معادل با سهم‌آب واگذار شده دریافت نمی‌کنند و تغییری نیز در ساعت آبیاری‌شان ایجاد نمی‌شود. </w:t>
      </w:r>
    </w:p>
    <w:p w:rsidR="00DB2FC6" w:rsidRDefault="00DB2FC6" w:rsidP="00DB2FC6">
      <w:pPr>
        <w:bidi/>
        <w:jc w:val="both"/>
        <w:rPr>
          <w:rFonts w:cs="B Badr"/>
          <w:sz w:val="26"/>
          <w:szCs w:val="26"/>
          <w:rtl/>
          <w:lang w:bidi="fa-IR"/>
        </w:rPr>
      </w:pPr>
      <w:r>
        <w:rPr>
          <w:rFonts w:cs="B Badr" w:hint="cs"/>
          <w:sz w:val="26"/>
          <w:szCs w:val="26"/>
          <w:rtl/>
          <w:lang w:bidi="fa-IR"/>
        </w:rPr>
        <w:t>با اخذ این تعهدنامه توسط کارگزار، این مرحله نیز تائید می‌شود.</w:t>
      </w:r>
    </w:p>
    <w:p w:rsidR="00DB2FC6" w:rsidRDefault="00DB2FC6" w:rsidP="00DB2FC6">
      <w:pPr>
        <w:bidi/>
        <w:jc w:val="both"/>
        <w:rPr>
          <w:rFonts w:cs="B Badr"/>
          <w:b/>
          <w:bCs/>
          <w:sz w:val="26"/>
          <w:szCs w:val="26"/>
          <w:rtl/>
          <w:lang w:bidi="fa-IR"/>
        </w:rPr>
      </w:pPr>
      <w:r w:rsidRPr="00DB2FC6">
        <w:rPr>
          <w:rFonts w:cs="B Badr" w:hint="cs"/>
          <w:b/>
          <w:bCs/>
          <w:sz w:val="26"/>
          <w:szCs w:val="26"/>
          <w:rtl/>
          <w:lang w:bidi="fa-IR"/>
        </w:rPr>
        <w:t>2. تائید فرآیندها و سطوح دسترسی</w:t>
      </w:r>
    </w:p>
    <w:p w:rsidR="00DB2FC6" w:rsidRDefault="00DB2FC6" w:rsidP="00854C55">
      <w:pPr>
        <w:bidi/>
        <w:jc w:val="both"/>
        <w:rPr>
          <w:rFonts w:cs="B Badr"/>
          <w:sz w:val="26"/>
          <w:szCs w:val="26"/>
          <w:rtl/>
          <w:lang w:bidi="fa-IR"/>
        </w:rPr>
      </w:pPr>
      <w:r w:rsidRPr="00DB2FC6">
        <w:rPr>
          <w:rFonts w:cs="B Badr" w:hint="cs"/>
          <w:sz w:val="26"/>
          <w:szCs w:val="26"/>
          <w:rtl/>
          <w:lang w:bidi="fa-IR"/>
        </w:rPr>
        <w:t>تائید</w:t>
      </w:r>
      <w:r>
        <w:rPr>
          <w:rFonts w:cs="B Badr" w:hint="cs"/>
          <w:sz w:val="26"/>
          <w:szCs w:val="26"/>
          <w:rtl/>
          <w:lang w:bidi="fa-IR"/>
        </w:rPr>
        <w:t xml:space="preserve"> هرکدام از مراحل قبل، بر عهده‌ی سازمان‌های مختلفی است. </w:t>
      </w:r>
      <w:r w:rsidR="00854C55">
        <w:rPr>
          <w:rFonts w:cs="B Badr" w:hint="cs"/>
          <w:sz w:val="26"/>
          <w:szCs w:val="26"/>
          <w:rtl/>
          <w:lang w:bidi="fa-IR"/>
        </w:rPr>
        <w:t>لذا هر سازمان بسته به سطح دسترسی تعریف شده، امکان مشاهده و اعمال اطلاعات، مدارک و مستندات را خواهد داشت. کاربران سامانه بطور کلی در دسته‌های زیر قرار می‌گیرند:</w:t>
      </w:r>
    </w:p>
    <w:p w:rsidR="00DB2FC6" w:rsidRDefault="00DB2FC6" w:rsidP="00DB2FC6">
      <w:pPr>
        <w:pStyle w:val="ListParagraph"/>
        <w:numPr>
          <w:ilvl w:val="0"/>
          <w:numId w:val="4"/>
        </w:numPr>
        <w:bidi/>
        <w:jc w:val="both"/>
        <w:rPr>
          <w:rFonts w:cs="B Badr"/>
          <w:sz w:val="26"/>
          <w:szCs w:val="26"/>
          <w:lang w:bidi="fa-IR"/>
        </w:rPr>
      </w:pPr>
      <w:r>
        <w:rPr>
          <w:rFonts w:cs="B Badr" w:hint="cs"/>
          <w:sz w:val="26"/>
          <w:szCs w:val="26"/>
          <w:rtl/>
          <w:lang w:bidi="fa-IR"/>
        </w:rPr>
        <w:t>کارگزار</w:t>
      </w:r>
    </w:p>
    <w:p w:rsidR="00DB2FC6" w:rsidRDefault="00DB2FC6" w:rsidP="00DB2FC6">
      <w:pPr>
        <w:pStyle w:val="ListParagraph"/>
        <w:numPr>
          <w:ilvl w:val="0"/>
          <w:numId w:val="4"/>
        </w:numPr>
        <w:bidi/>
        <w:jc w:val="both"/>
        <w:rPr>
          <w:rFonts w:cs="B Badr" w:hint="cs"/>
          <w:sz w:val="26"/>
          <w:szCs w:val="26"/>
          <w:lang w:bidi="fa-IR"/>
        </w:rPr>
      </w:pPr>
      <w:r>
        <w:rPr>
          <w:rFonts w:cs="B Badr" w:hint="cs"/>
          <w:sz w:val="26"/>
          <w:szCs w:val="26"/>
          <w:rtl/>
          <w:lang w:bidi="fa-IR"/>
        </w:rPr>
        <w:t>شرکت آب‌منطقه‌ای / اداره امور آب منطقه</w:t>
      </w:r>
    </w:p>
    <w:p w:rsidR="00DB2FC6" w:rsidRDefault="00DB2FC6" w:rsidP="00DB2FC6">
      <w:pPr>
        <w:pStyle w:val="ListParagraph"/>
        <w:numPr>
          <w:ilvl w:val="0"/>
          <w:numId w:val="4"/>
        </w:numPr>
        <w:bidi/>
        <w:jc w:val="both"/>
        <w:rPr>
          <w:rFonts w:cs="B Badr" w:hint="cs"/>
          <w:sz w:val="26"/>
          <w:szCs w:val="26"/>
          <w:lang w:bidi="fa-IR"/>
        </w:rPr>
      </w:pPr>
      <w:r>
        <w:rPr>
          <w:rFonts w:cs="B Badr" w:hint="cs"/>
          <w:sz w:val="26"/>
          <w:szCs w:val="26"/>
          <w:rtl/>
          <w:lang w:bidi="fa-IR"/>
        </w:rPr>
        <w:lastRenderedPageBreak/>
        <w:t>تشکل آب‌بران</w:t>
      </w:r>
    </w:p>
    <w:p w:rsidR="00DB2FC6" w:rsidRDefault="00DB2FC6" w:rsidP="00DB2FC6">
      <w:pPr>
        <w:pStyle w:val="ListParagraph"/>
        <w:numPr>
          <w:ilvl w:val="0"/>
          <w:numId w:val="4"/>
        </w:numPr>
        <w:bidi/>
        <w:jc w:val="both"/>
        <w:rPr>
          <w:rFonts w:cs="B Badr" w:hint="cs"/>
          <w:sz w:val="26"/>
          <w:szCs w:val="26"/>
          <w:lang w:bidi="fa-IR"/>
        </w:rPr>
      </w:pPr>
      <w:r>
        <w:rPr>
          <w:rFonts w:cs="B Badr" w:hint="cs"/>
          <w:sz w:val="26"/>
          <w:szCs w:val="26"/>
          <w:rtl/>
          <w:lang w:bidi="fa-IR"/>
        </w:rPr>
        <w:t>چاه‌وندان و آب‌وندان</w:t>
      </w:r>
    </w:p>
    <w:p w:rsidR="00DB2FC6" w:rsidRDefault="00854C55" w:rsidP="00DB2FC6">
      <w:pPr>
        <w:pStyle w:val="ListParagraph"/>
        <w:numPr>
          <w:ilvl w:val="0"/>
          <w:numId w:val="4"/>
        </w:numPr>
        <w:bidi/>
        <w:jc w:val="both"/>
        <w:rPr>
          <w:rFonts w:cs="B Badr"/>
          <w:sz w:val="26"/>
          <w:szCs w:val="26"/>
          <w:lang w:bidi="fa-IR"/>
        </w:rPr>
      </w:pPr>
      <w:r>
        <w:rPr>
          <w:rFonts w:cs="B Badr" w:hint="cs"/>
          <w:sz w:val="26"/>
          <w:szCs w:val="26"/>
          <w:rtl/>
          <w:lang w:bidi="fa-IR"/>
        </w:rPr>
        <w:t>سایر ذینفعان احتمالی (از جمله وزارت/اداره جهاد کشاورزی و ...)</w:t>
      </w:r>
      <w:r w:rsidR="00DB2FC6" w:rsidRPr="00DB2FC6">
        <w:rPr>
          <w:rFonts w:cs="B Badr" w:hint="cs"/>
          <w:sz w:val="26"/>
          <w:szCs w:val="26"/>
          <w:rtl/>
          <w:lang w:bidi="fa-IR"/>
        </w:rPr>
        <w:t xml:space="preserve"> </w:t>
      </w:r>
    </w:p>
    <w:p w:rsidR="00854C55" w:rsidRPr="00854C55" w:rsidRDefault="00854C55" w:rsidP="00854C55">
      <w:pPr>
        <w:bidi/>
        <w:jc w:val="both"/>
        <w:rPr>
          <w:rFonts w:cs="B Badr" w:hint="cs"/>
          <w:sz w:val="26"/>
          <w:szCs w:val="26"/>
          <w:rtl/>
          <w:lang w:bidi="fa-IR"/>
        </w:rPr>
      </w:pPr>
      <w:r w:rsidRPr="00854C55">
        <w:rPr>
          <w:rFonts w:cs="B Badr"/>
          <w:noProof/>
          <w:sz w:val="26"/>
          <w:szCs w:val="26"/>
          <w:rtl/>
        </w:rPr>
        <w:drawing>
          <wp:anchor distT="0" distB="0" distL="114300" distR="114300" simplePos="0" relativeHeight="251664384" behindDoc="1" locked="0" layoutInCell="1" allowOverlap="1" wp14:anchorId="39F86ACE" wp14:editId="0A26398E">
            <wp:simplePos x="0" y="0"/>
            <wp:positionH relativeFrom="margin">
              <wp:posOffset>-560070</wp:posOffset>
            </wp:positionH>
            <wp:positionV relativeFrom="paragraph">
              <wp:posOffset>1077595</wp:posOffset>
            </wp:positionV>
            <wp:extent cx="6960235" cy="4305300"/>
            <wp:effectExtent l="0" t="0" r="0" b="0"/>
            <wp:wrapTight wrapText="bothSides">
              <wp:wrapPolygon edited="0">
                <wp:start x="0" y="0"/>
                <wp:lineTo x="0" y="21504"/>
                <wp:lineTo x="21519" y="21504"/>
                <wp:lineTo x="21519" y="0"/>
                <wp:lineTo x="0" y="0"/>
              </wp:wrapPolygon>
            </wp:wrapTight>
            <wp:docPr id="3" name="Picture 3" descr="C:\Users\Hasani.Babak\Desktop\meeraab sama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ani.Babak\Desktop\meeraab saman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23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Badr" w:hint="cs"/>
          <w:sz w:val="26"/>
          <w:szCs w:val="26"/>
          <w:rtl/>
          <w:lang w:bidi="fa-IR"/>
        </w:rPr>
        <w:t>فرآیندهای مرحله‌ی 1 از این متن با ترتیبی که در شکل-3 ارائه شده‌است به تائید مسئول/سازمان مربوطه (مرحله‌ی 2 از این متن) خواهد رسید. سبز شدنِ هر مرحله به معنی تائید آن مرحله است. وضعیت هر مرحله با کلیک بر روی آن و دیدن شرح کار، امکان‌پذیر است.</w:t>
      </w:r>
    </w:p>
    <w:p w:rsidR="00854C55" w:rsidRPr="005E35B6" w:rsidRDefault="00854C55" w:rsidP="00854C55">
      <w:pPr>
        <w:pStyle w:val="Caption"/>
        <w:bidi/>
        <w:jc w:val="center"/>
        <w:rPr>
          <w:rFonts w:cs="B Badr"/>
          <w:color w:val="auto"/>
          <w:sz w:val="22"/>
          <w:szCs w:val="22"/>
          <w:lang w:bidi="fa-IR"/>
        </w:rPr>
      </w:pPr>
      <w:r w:rsidRPr="005E35B6">
        <w:rPr>
          <w:rFonts w:cs="B Badr"/>
          <w:color w:val="auto"/>
          <w:sz w:val="22"/>
          <w:szCs w:val="22"/>
          <w:rtl/>
        </w:rPr>
        <w:t xml:space="preserve">شکل </w:t>
      </w:r>
      <w:r>
        <w:rPr>
          <w:rFonts w:cs="B Badr" w:hint="cs"/>
          <w:color w:val="auto"/>
          <w:sz w:val="22"/>
          <w:szCs w:val="22"/>
          <w:rtl/>
        </w:rPr>
        <w:t>3</w:t>
      </w:r>
      <w:r>
        <w:rPr>
          <w:rFonts w:cs="B Badr" w:hint="cs"/>
          <w:color w:val="auto"/>
          <w:sz w:val="22"/>
          <w:szCs w:val="22"/>
          <w:rtl/>
          <w:lang w:bidi="fa-IR"/>
        </w:rPr>
        <w:t xml:space="preserve">. </w:t>
      </w:r>
      <w:r>
        <w:rPr>
          <w:rFonts w:cs="B Badr" w:hint="cs"/>
          <w:color w:val="auto"/>
          <w:sz w:val="22"/>
          <w:szCs w:val="22"/>
          <w:rtl/>
          <w:lang w:bidi="fa-IR"/>
        </w:rPr>
        <w:t>تعیین فرآیندها و سطوح دسترسی</w:t>
      </w:r>
    </w:p>
    <w:p w:rsidR="00DB2FC6" w:rsidRDefault="00854C55" w:rsidP="00854C55">
      <w:pPr>
        <w:bidi/>
        <w:jc w:val="both"/>
        <w:rPr>
          <w:rFonts w:cs="B Badr"/>
          <w:sz w:val="26"/>
          <w:szCs w:val="26"/>
          <w:rtl/>
          <w:lang w:bidi="fa-IR"/>
        </w:rPr>
      </w:pPr>
      <w:r>
        <w:rPr>
          <w:rFonts w:cs="B Badr" w:hint="cs"/>
          <w:sz w:val="26"/>
          <w:szCs w:val="26"/>
          <w:rtl/>
          <w:lang w:bidi="fa-IR"/>
        </w:rPr>
        <w:t>همچنین چون مسئول تائید هر بخش می‌تواند متفاوت باشد، لذا پس از تائید هر بخش، اعلان (</w:t>
      </w:r>
      <w:r>
        <w:rPr>
          <w:rFonts w:cs="B Badr"/>
          <w:sz w:val="26"/>
          <w:szCs w:val="26"/>
          <w:lang w:bidi="fa-IR"/>
        </w:rPr>
        <w:t>Notification</w:t>
      </w:r>
      <w:r>
        <w:rPr>
          <w:rFonts w:cs="B Badr" w:hint="cs"/>
          <w:sz w:val="26"/>
          <w:szCs w:val="26"/>
          <w:rtl/>
          <w:lang w:bidi="fa-IR"/>
        </w:rPr>
        <w:t>) مربوطه به مسئول/سازمان مرتبط ارسال خواهد شد.</w:t>
      </w:r>
    </w:p>
    <w:p w:rsidR="005E35B6" w:rsidRPr="005E35B6" w:rsidRDefault="005E35B6" w:rsidP="00D863B8">
      <w:pPr>
        <w:bidi/>
        <w:jc w:val="both"/>
        <w:rPr>
          <w:rFonts w:cs="B Badr"/>
          <w:sz w:val="26"/>
          <w:szCs w:val="26"/>
          <w:rtl/>
          <w:lang w:bidi="fa-IR"/>
        </w:rPr>
      </w:pPr>
      <w:bookmarkStart w:id="0" w:name="_GoBack"/>
      <w:bookmarkEnd w:id="0"/>
    </w:p>
    <w:sectPr w:rsidR="005E35B6" w:rsidRPr="005E35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A6EEF"/>
    <w:multiLevelType w:val="hybridMultilevel"/>
    <w:tmpl w:val="406CB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4447A"/>
    <w:multiLevelType w:val="multilevel"/>
    <w:tmpl w:val="829E4E76"/>
    <w:lvl w:ilvl="0">
      <w:start w:val="1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183365D"/>
    <w:multiLevelType w:val="hybridMultilevel"/>
    <w:tmpl w:val="E1761416"/>
    <w:lvl w:ilvl="0" w:tplc="CE68E312">
      <w:start w:val="4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Bad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57A50"/>
    <w:multiLevelType w:val="hybridMultilevel"/>
    <w:tmpl w:val="49F21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439"/>
    <w:rsid w:val="004247AE"/>
    <w:rsid w:val="0059270B"/>
    <w:rsid w:val="005E35B6"/>
    <w:rsid w:val="006618D3"/>
    <w:rsid w:val="006C714C"/>
    <w:rsid w:val="007C77D2"/>
    <w:rsid w:val="007F73B0"/>
    <w:rsid w:val="00832969"/>
    <w:rsid w:val="00854C55"/>
    <w:rsid w:val="008765B5"/>
    <w:rsid w:val="00A15EBF"/>
    <w:rsid w:val="00D863B8"/>
    <w:rsid w:val="00DB2FC6"/>
    <w:rsid w:val="00DC1439"/>
    <w:rsid w:val="00DE62C4"/>
    <w:rsid w:val="00E45150"/>
    <w:rsid w:val="00E83993"/>
    <w:rsid w:val="00F24A78"/>
    <w:rsid w:val="00F311F5"/>
    <w:rsid w:val="00F4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86F5A"/>
  <w15:chartTrackingRefBased/>
  <w15:docId w15:val="{8338D333-E6B6-489C-BF34-E9764782C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C14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C1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Hasani</dc:creator>
  <cp:keywords/>
  <dc:description/>
  <cp:lastModifiedBy>Babak Hasani</cp:lastModifiedBy>
  <cp:revision>3</cp:revision>
  <dcterms:created xsi:type="dcterms:W3CDTF">2022-01-10T11:11:00Z</dcterms:created>
  <dcterms:modified xsi:type="dcterms:W3CDTF">2022-01-11T07:04:00Z</dcterms:modified>
</cp:coreProperties>
</file>